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08970" w14:textId="77777777" w:rsidR="00776831" w:rsidRPr="00CA3023" w:rsidRDefault="00776831" w:rsidP="001D7B1E">
      <w:pPr>
        <w:ind w:right="-110"/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bCs/>
          <w:sz w:val="22"/>
          <w:szCs w:val="22"/>
          <w:lang w:eastAsia="en-US"/>
        </w:rPr>
        <w:t>For Public Notice via Internet</w:t>
      </w:r>
    </w:p>
    <w:p w14:paraId="68A54EA6" w14:textId="77777777" w:rsidR="00776831" w:rsidRPr="00CA3023" w:rsidRDefault="00776831" w:rsidP="00F202A5">
      <w:pPr>
        <w:ind w:right="-110"/>
        <w:jc w:val="center"/>
        <w:rPr>
          <w:rFonts w:ascii="Arial" w:hAnsi="Arial" w:cs="Arial"/>
          <w:b/>
          <w:sz w:val="22"/>
          <w:szCs w:val="22"/>
          <w:lang w:eastAsia="en-US"/>
        </w:rPr>
      </w:pPr>
    </w:p>
    <w:p w14:paraId="28C722A7" w14:textId="77777777" w:rsidR="00776831" w:rsidRPr="00CA3023" w:rsidRDefault="00C43161" w:rsidP="00F202A5">
      <w:pPr>
        <w:ind w:right="-110"/>
        <w:jc w:val="both"/>
        <w:rPr>
          <w:rFonts w:ascii="Arial" w:hAnsi="Arial" w:cs="Arial"/>
          <w:b/>
          <w:i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 xml:space="preserve">REASONS FOR </w:t>
      </w:r>
      <w:r w:rsidR="00776831" w:rsidRPr="00CA3023">
        <w:rPr>
          <w:rFonts w:ascii="Arial" w:hAnsi="Arial" w:cs="Arial"/>
          <w:b/>
          <w:sz w:val="22"/>
          <w:szCs w:val="22"/>
          <w:lang w:eastAsia="en-US"/>
        </w:rPr>
        <w:t xml:space="preserve">DECISION UNDER </w:t>
      </w:r>
      <w:r w:rsidR="00776831" w:rsidRPr="00CA3023">
        <w:rPr>
          <w:rFonts w:ascii="Arial" w:hAnsi="Arial" w:cs="Arial"/>
          <w:b/>
          <w:i/>
          <w:sz w:val="22"/>
          <w:szCs w:val="22"/>
          <w:lang w:eastAsia="en-US"/>
        </w:rPr>
        <w:t>ENVIRONMENT EFFECTS ACT 1978</w:t>
      </w:r>
      <w:r w:rsidR="005270D7" w:rsidRPr="00CA3023">
        <w:rPr>
          <w:rFonts w:ascii="Arial" w:hAnsi="Arial" w:cs="Arial"/>
          <w:b/>
          <w:i/>
          <w:sz w:val="22"/>
          <w:szCs w:val="22"/>
          <w:lang w:eastAsia="en-US"/>
        </w:rPr>
        <w:t xml:space="preserve"> </w:t>
      </w:r>
    </w:p>
    <w:p w14:paraId="7A892D2B" w14:textId="77777777" w:rsidR="00E9715D" w:rsidRPr="00CA3023" w:rsidRDefault="00E9715D" w:rsidP="00F202A5">
      <w:pPr>
        <w:ind w:right="-11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7B96B5EA" w14:textId="59D7CA6A" w:rsidR="00776831" w:rsidRPr="00CA3023" w:rsidRDefault="00776831" w:rsidP="0000741F">
      <w:pPr>
        <w:spacing w:after="120"/>
        <w:ind w:right="-110"/>
        <w:jc w:val="both"/>
        <w:rPr>
          <w:rFonts w:ascii="Arial" w:hAnsi="Arial" w:cs="Arial"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Title of Proposal:</w:t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="0042712D">
        <w:rPr>
          <w:rFonts w:ascii="Arial" w:hAnsi="Arial" w:cs="Arial"/>
          <w:b/>
          <w:sz w:val="22"/>
          <w:szCs w:val="22"/>
          <w:lang w:eastAsia="en-US"/>
        </w:rPr>
        <w:t>Golden Beach Gas</w:t>
      </w:r>
      <w:r w:rsidR="001D7B1E" w:rsidRPr="00CA3023">
        <w:rPr>
          <w:rFonts w:ascii="Arial" w:hAnsi="Arial" w:cs="Arial"/>
          <w:b/>
          <w:sz w:val="22"/>
          <w:szCs w:val="22"/>
          <w:lang w:eastAsia="en-US"/>
        </w:rPr>
        <w:t xml:space="preserve"> Project</w:t>
      </w:r>
    </w:p>
    <w:p w14:paraId="5FCDD668" w14:textId="433FE16A" w:rsidR="00776831" w:rsidRPr="00CA3023" w:rsidRDefault="00776831" w:rsidP="00F202A5">
      <w:pPr>
        <w:ind w:right="-110"/>
        <w:jc w:val="both"/>
        <w:rPr>
          <w:rFonts w:ascii="Arial" w:hAnsi="Arial" w:cs="Arial"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Proponent:</w:t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Pr="00CA3023">
        <w:rPr>
          <w:rFonts w:ascii="Arial" w:hAnsi="Arial" w:cs="Arial"/>
          <w:b/>
          <w:sz w:val="22"/>
          <w:szCs w:val="22"/>
          <w:lang w:eastAsia="en-US"/>
        </w:rPr>
        <w:tab/>
      </w:r>
      <w:r w:rsidR="0042712D">
        <w:rPr>
          <w:rFonts w:ascii="Arial" w:hAnsi="Arial" w:cs="Arial"/>
          <w:sz w:val="22"/>
          <w:szCs w:val="22"/>
          <w:lang w:eastAsia="en-US"/>
        </w:rPr>
        <w:t>GB Energy (Vic)</w:t>
      </w:r>
      <w:r w:rsidR="00A101F5" w:rsidRPr="00A101F5">
        <w:rPr>
          <w:rFonts w:ascii="Arial" w:hAnsi="Arial" w:cs="Arial"/>
          <w:sz w:val="22"/>
          <w:szCs w:val="22"/>
          <w:lang w:eastAsia="en-US"/>
        </w:rPr>
        <w:t xml:space="preserve"> Pty Ltd</w:t>
      </w:r>
    </w:p>
    <w:p w14:paraId="76A72C1E" w14:textId="77777777" w:rsidR="00776831" w:rsidRPr="00CA3023" w:rsidRDefault="00776831" w:rsidP="00F202A5">
      <w:pPr>
        <w:ind w:right="-110"/>
        <w:jc w:val="both"/>
        <w:rPr>
          <w:rFonts w:ascii="Arial" w:hAnsi="Arial" w:cs="Arial"/>
          <w:b/>
          <w:sz w:val="22"/>
          <w:szCs w:val="22"/>
          <w:lang w:eastAsia="en-US"/>
        </w:rPr>
      </w:pPr>
    </w:p>
    <w:p w14:paraId="06548106" w14:textId="77777777" w:rsidR="00776831" w:rsidRPr="00CA3023" w:rsidRDefault="00776831" w:rsidP="00CA3023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Description of Project:</w:t>
      </w:r>
    </w:p>
    <w:p w14:paraId="2BDC25E7" w14:textId="54E3E0F0" w:rsidR="003669D0" w:rsidRDefault="00D53094" w:rsidP="00C8098A">
      <w:pPr>
        <w:spacing w:after="120"/>
        <w:ind w:right="-108"/>
        <w:jc w:val="both"/>
        <w:rPr>
          <w:rFonts w:ascii="Arial" w:hAnsi="Arial" w:cs="Arial"/>
          <w:sz w:val="21"/>
          <w:szCs w:val="21"/>
        </w:rPr>
      </w:pPr>
      <w:r w:rsidRPr="004266CB">
        <w:rPr>
          <w:rFonts w:ascii="Arial" w:hAnsi="Arial" w:cs="Arial"/>
          <w:sz w:val="21"/>
          <w:szCs w:val="21"/>
        </w:rPr>
        <w:t>The pro</w:t>
      </w:r>
      <w:r>
        <w:rPr>
          <w:rFonts w:ascii="Arial" w:hAnsi="Arial" w:cs="Arial"/>
          <w:sz w:val="21"/>
          <w:szCs w:val="21"/>
        </w:rPr>
        <w:t>ject</w:t>
      </w:r>
      <w:r w:rsidRPr="004266CB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encompasses c</w:t>
      </w:r>
      <w:r w:rsidR="004266CB" w:rsidRPr="004266CB">
        <w:rPr>
          <w:rFonts w:ascii="Arial" w:hAnsi="Arial" w:cs="Arial"/>
          <w:sz w:val="21"/>
          <w:szCs w:val="21"/>
        </w:rPr>
        <w:t xml:space="preserve">onstruction and operation of a pipeline and gas plant to </w:t>
      </w:r>
      <w:r>
        <w:rPr>
          <w:rFonts w:ascii="Arial" w:hAnsi="Arial" w:cs="Arial"/>
          <w:sz w:val="21"/>
          <w:szCs w:val="21"/>
        </w:rPr>
        <w:t xml:space="preserve">produce gas from the </w:t>
      </w:r>
      <w:r w:rsidR="004266CB" w:rsidRPr="004266CB">
        <w:rPr>
          <w:rFonts w:ascii="Arial" w:hAnsi="Arial" w:cs="Arial"/>
          <w:sz w:val="21"/>
          <w:szCs w:val="21"/>
        </w:rPr>
        <w:t xml:space="preserve">Golden Beach gas field </w:t>
      </w:r>
      <w:r>
        <w:rPr>
          <w:rFonts w:ascii="Arial" w:hAnsi="Arial" w:cs="Arial"/>
          <w:sz w:val="21"/>
          <w:szCs w:val="21"/>
        </w:rPr>
        <w:t xml:space="preserve">(in Victorian waters), for provision </w:t>
      </w:r>
      <w:r w:rsidR="004266CB" w:rsidRPr="004266CB">
        <w:rPr>
          <w:rFonts w:ascii="Arial" w:hAnsi="Arial" w:cs="Arial"/>
          <w:sz w:val="21"/>
          <w:szCs w:val="21"/>
        </w:rPr>
        <w:t xml:space="preserve">to the Victorian Transmission System. The </w:t>
      </w:r>
      <w:r>
        <w:rPr>
          <w:rFonts w:ascii="Arial" w:hAnsi="Arial" w:cs="Arial"/>
          <w:sz w:val="21"/>
          <w:szCs w:val="21"/>
        </w:rPr>
        <w:t xml:space="preserve">gas </w:t>
      </w:r>
      <w:r w:rsidR="004266CB" w:rsidRPr="004266CB">
        <w:rPr>
          <w:rFonts w:ascii="Arial" w:hAnsi="Arial" w:cs="Arial"/>
          <w:sz w:val="21"/>
          <w:szCs w:val="21"/>
        </w:rPr>
        <w:t xml:space="preserve">pipeline will be designed to be bi-directional, allowing for the Golden Beach </w:t>
      </w:r>
      <w:r>
        <w:rPr>
          <w:rFonts w:ascii="Arial" w:hAnsi="Arial" w:cs="Arial"/>
          <w:sz w:val="21"/>
          <w:szCs w:val="21"/>
        </w:rPr>
        <w:t>gas field</w:t>
      </w:r>
      <w:r w:rsidR="004266CB" w:rsidRPr="004266CB">
        <w:rPr>
          <w:rFonts w:ascii="Arial" w:hAnsi="Arial" w:cs="Arial"/>
          <w:sz w:val="21"/>
          <w:szCs w:val="21"/>
        </w:rPr>
        <w:t>, when depleted after 2</w:t>
      </w:r>
      <w:r>
        <w:rPr>
          <w:rFonts w:ascii="Arial" w:hAnsi="Arial" w:cs="Arial"/>
          <w:sz w:val="21"/>
          <w:szCs w:val="21"/>
        </w:rPr>
        <w:t xml:space="preserve"> </w:t>
      </w:r>
      <w:r w:rsidR="004266CB" w:rsidRPr="004266CB">
        <w:rPr>
          <w:rFonts w:ascii="Arial" w:hAnsi="Arial" w:cs="Arial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</w:t>
      </w:r>
      <w:r w:rsidR="004266CB" w:rsidRPr="004266CB">
        <w:rPr>
          <w:rFonts w:ascii="Arial" w:hAnsi="Arial" w:cs="Arial"/>
          <w:sz w:val="21"/>
          <w:szCs w:val="21"/>
        </w:rPr>
        <w:t xml:space="preserve">4 years, to be used as a gas </w:t>
      </w:r>
      <w:r w:rsidRPr="004266CB">
        <w:rPr>
          <w:rFonts w:ascii="Arial" w:hAnsi="Arial" w:cs="Arial"/>
          <w:sz w:val="21"/>
          <w:szCs w:val="21"/>
        </w:rPr>
        <w:t xml:space="preserve">reservoir </w:t>
      </w:r>
      <w:r>
        <w:rPr>
          <w:rFonts w:ascii="Arial" w:hAnsi="Arial" w:cs="Arial"/>
          <w:sz w:val="21"/>
          <w:szCs w:val="21"/>
        </w:rPr>
        <w:t xml:space="preserve">or </w:t>
      </w:r>
      <w:r w:rsidR="004266CB" w:rsidRPr="004266CB">
        <w:rPr>
          <w:rFonts w:ascii="Arial" w:hAnsi="Arial" w:cs="Arial"/>
          <w:sz w:val="21"/>
          <w:szCs w:val="21"/>
        </w:rPr>
        <w:t>storage facility with a 40-year design life.</w:t>
      </w:r>
      <w:r w:rsidR="00954D68" w:rsidRPr="00954D68">
        <w:rPr>
          <w:rFonts w:ascii="Arial" w:hAnsi="Arial" w:cs="Arial"/>
          <w:sz w:val="21"/>
          <w:szCs w:val="21"/>
        </w:rPr>
        <w:t xml:space="preserve"> </w:t>
      </w:r>
    </w:p>
    <w:p w14:paraId="1153E93C" w14:textId="132E2731" w:rsidR="00954D68" w:rsidRPr="00954D68" w:rsidRDefault="00D53094" w:rsidP="00C8098A">
      <w:pPr>
        <w:spacing w:after="120"/>
        <w:ind w:right="-108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It also </w:t>
      </w:r>
      <w:r w:rsidR="004266CB" w:rsidRPr="004266CB">
        <w:rPr>
          <w:rFonts w:ascii="Arial" w:hAnsi="Arial" w:cs="Arial"/>
          <w:sz w:val="21"/>
          <w:szCs w:val="21"/>
        </w:rPr>
        <w:t>includes offshore drilling testing and completion of up to three sub-sea wells; laying of a 3.8</w:t>
      </w:r>
      <w:r w:rsidR="003A6032">
        <w:rPr>
          <w:rFonts w:ascii="Arial" w:hAnsi="Arial" w:cs="Arial"/>
          <w:sz w:val="21"/>
          <w:szCs w:val="21"/>
        </w:rPr>
        <w:t> </w:t>
      </w:r>
      <w:r w:rsidR="004266CB" w:rsidRPr="004266CB">
        <w:rPr>
          <w:rFonts w:ascii="Arial" w:hAnsi="Arial" w:cs="Arial"/>
          <w:sz w:val="21"/>
          <w:szCs w:val="21"/>
        </w:rPr>
        <w:t>km sub-sea pipeline and sub-sea infrastructure; a 1.5 km shoreline crossing by horizontal directional drilling; construction of an 18.5 km buried pipeline in a 30 m right of way; and a gas plant with export metering and connection to the existing transmission pipelines</w:t>
      </w:r>
      <w:r w:rsidR="00954D68" w:rsidRPr="00954D68">
        <w:rPr>
          <w:rFonts w:ascii="Arial" w:hAnsi="Arial" w:cs="Arial"/>
          <w:sz w:val="21"/>
          <w:szCs w:val="21"/>
        </w:rPr>
        <w:t xml:space="preserve"> </w:t>
      </w:r>
    </w:p>
    <w:p w14:paraId="4B022C34" w14:textId="77777777" w:rsidR="00776831" w:rsidRPr="00CA3023" w:rsidRDefault="00776831" w:rsidP="00CA3023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  <w:lang w:eastAsia="en-US"/>
        </w:rPr>
      </w:pPr>
      <w:r w:rsidRPr="00CA3023">
        <w:rPr>
          <w:rFonts w:ascii="Arial" w:hAnsi="Arial" w:cs="Arial"/>
          <w:b/>
          <w:sz w:val="22"/>
          <w:szCs w:val="22"/>
          <w:lang w:eastAsia="en-US"/>
        </w:rPr>
        <w:t>Decision:</w:t>
      </w:r>
    </w:p>
    <w:p w14:paraId="2D66A035" w14:textId="4E5525A5" w:rsidR="00BF41D0" w:rsidRPr="00C24A8E" w:rsidRDefault="00776831" w:rsidP="00F202A5">
      <w:pPr>
        <w:spacing w:before="120"/>
        <w:ind w:right="-110"/>
        <w:jc w:val="both"/>
        <w:rPr>
          <w:rFonts w:ascii="Arial" w:hAnsi="Arial" w:cs="Arial"/>
          <w:sz w:val="21"/>
          <w:szCs w:val="21"/>
          <w:lang w:eastAsia="en-US"/>
        </w:rPr>
      </w:pPr>
      <w:r w:rsidRPr="00C24A8E">
        <w:rPr>
          <w:rFonts w:ascii="Arial" w:hAnsi="Arial" w:cs="Arial"/>
          <w:sz w:val="21"/>
          <w:szCs w:val="21"/>
          <w:lang w:eastAsia="en-US"/>
        </w:rPr>
        <w:t>The Minister for Planning has decided</w:t>
      </w:r>
      <w:r w:rsidR="00BE0747" w:rsidRPr="00C24A8E">
        <w:rPr>
          <w:rFonts w:ascii="Arial" w:hAnsi="Arial" w:cs="Arial"/>
          <w:sz w:val="21"/>
          <w:szCs w:val="21"/>
          <w:lang w:eastAsia="en-US"/>
        </w:rPr>
        <w:t xml:space="preserve"> that</w:t>
      </w:r>
      <w:r w:rsidR="0048197C"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C24A8E">
        <w:rPr>
          <w:rFonts w:ascii="Arial" w:hAnsi="Arial" w:cs="Arial"/>
          <w:sz w:val="21"/>
          <w:szCs w:val="21"/>
          <w:lang w:eastAsia="en-US"/>
        </w:rPr>
        <w:t>an Environment Effects Statement</w:t>
      </w:r>
      <w:r w:rsidR="00E71661" w:rsidRPr="00C24A8E">
        <w:rPr>
          <w:rFonts w:ascii="Arial" w:hAnsi="Arial" w:cs="Arial"/>
          <w:sz w:val="21"/>
          <w:szCs w:val="21"/>
          <w:lang w:eastAsia="en-US"/>
        </w:rPr>
        <w:t xml:space="preserve"> (EES)</w:t>
      </w:r>
      <w:r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Pr="00C24A8E">
        <w:rPr>
          <w:rFonts w:ascii="Arial" w:hAnsi="Arial" w:cs="Arial"/>
          <w:sz w:val="21"/>
          <w:szCs w:val="21"/>
          <w:u w:val="single"/>
          <w:lang w:eastAsia="en-US"/>
        </w:rPr>
        <w:t>is required</w:t>
      </w:r>
      <w:r w:rsidRPr="00C24A8E">
        <w:rPr>
          <w:rFonts w:ascii="Arial" w:hAnsi="Arial" w:cs="Arial"/>
          <w:sz w:val="21"/>
          <w:szCs w:val="21"/>
          <w:lang w:eastAsia="en-US"/>
        </w:rPr>
        <w:t xml:space="preserve"> for the proposed </w:t>
      </w:r>
      <w:r w:rsidR="0042712D">
        <w:rPr>
          <w:rFonts w:ascii="Arial" w:hAnsi="Arial" w:cs="Arial"/>
          <w:sz w:val="21"/>
          <w:szCs w:val="21"/>
          <w:lang w:eastAsia="en-US"/>
        </w:rPr>
        <w:t>Golden Beach Gas</w:t>
      </w:r>
      <w:r w:rsidR="00343CE6" w:rsidRPr="00C24A8E">
        <w:rPr>
          <w:rFonts w:ascii="Arial" w:hAnsi="Arial" w:cs="Arial"/>
          <w:sz w:val="21"/>
          <w:szCs w:val="21"/>
          <w:lang w:eastAsia="en-US"/>
        </w:rPr>
        <w:t xml:space="preserve"> P</w:t>
      </w:r>
      <w:r w:rsidR="00156119" w:rsidRPr="00C24A8E">
        <w:rPr>
          <w:rFonts w:ascii="Arial" w:hAnsi="Arial" w:cs="Arial"/>
          <w:sz w:val="21"/>
          <w:szCs w:val="21"/>
          <w:lang w:eastAsia="en-US"/>
        </w:rPr>
        <w:t>roject</w:t>
      </w:r>
      <w:r w:rsidRPr="00C24A8E">
        <w:rPr>
          <w:rFonts w:ascii="Arial" w:hAnsi="Arial" w:cs="Arial"/>
          <w:sz w:val="21"/>
          <w:szCs w:val="21"/>
          <w:lang w:eastAsia="en-US"/>
        </w:rPr>
        <w:t>, as described in the referral ac</w:t>
      </w:r>
      <w:r w:rsidR="005270D7" w:rsidRPr="00C24A8E">
        <w:rPr>
          <w:rFonts w:ascii="Arial" w:hAnsi="Arial" w:cs="Arial"/>
          <w:sz w:val="21"/>
          <w:szCs w:val="21"/>
          <w:lang w:eastAsia="en-US"/>
        </w:rPr>
        <w:t>cepted on</w:t>
      </w:r>
      <w:r w:rsidR="004C5E1E"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4266CB">
        <w:rPr>
          <w:rFonts w:ascii="Arial" w:hAnsi="Arial" w:cs="Arial"/>
          <w:sz w:val="21"/>
          <w:szCs w:val="21"/>
          <w:lang w:eastAsia="en-US"/>
        </w:rPr>
        <w:t>7</w:t>
      </w:r>
      <w:r w:rsidR="00474F2D"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4266CB">
        <w:rPr>
          <w:rFonts w:ascii="Arial" w:hAnsi="Arial" w:cs="Arial"/>
          <w:sz w:val="21"/>
          <w:szCs w:val="21"/>
          <w:lang w:eastAsia="en-US"/>
        </w:rPr>
        <w:t>August</w:t>
      </w:r>
      <w:r w:rsidR="00BF41D0" w:rsidRPr="00C24A8E">
        <w:rPr>
          <w:rFonts w:ascii="Arial" w:hAnsi="Arial" w:cs="Arial"/>
          <w:sz w:val="21"/>
          <w:szCs w:val="21"/>
          <w:lang w:eastAsia="en-US"/>
        </w:rPr>
        <w:t xml:space="preserve"> </w:t>
      </w:r>
      <w:r w:rsidR="00BF7E17" w:rsidRPr="00C24A8E">
        <w:rPr>
          <w:rFonts w:ascii="Arial" w:hAnsi="Arial" w:cs="Arial"/>
          <w:sz w:val="21"/>
          <w:szCs w:val="21"/>
          <w:lang w:eastAsia="en-US"/>
        </w:rPr>
        <w:t>201</w:t>
      </w:r>
      <w:r w:rsidR="00954D68">
        <w:rPr>
          <w:rFonts w:ascii="Arial" w:hAnsi="Arial" w:cs="Arial"/>
          <w:sz w:val="21"/>
          <w:szCs w:val="21"/>
          <w:lang w:eastAsia="en-US"/>
        </w:rPr>
        <w:t>9</w:t>
      </w:r>
      <w:r w:rsidR="005F7E40" w:rsidRPr="00C24A8E">
        <w:rPr>
          <w:rFonts w:ascii="Arial" w:hAnsi="Arial" w:cs="Arial"/>
          <w:sz w:val="21"/>
          <w:szCs w:val="21"/>
          <w:lang w:eastAsia="en-US"/>
        </w:rPr>
        <w:t>.</w:t>
      </w:r>
    </w:p>
    <w:p w14:paraId="551CD882" w14:textId="77777777" w:rsidR="00776831" w:rsidRPr="00CA3023" w:rsidRDefault="00776831" w:rsidP="00F202A5">
      <w:pPr>
        <w:ind w:right="-110"/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EAAE976" w14:textId="77777777" w:rsidR="00776831" w:rsidRPr="00CA3023" w:rsidRDefault="00776831" w:rsidP="00AE2E04">
      <w:pPr>
        <w:spacing w:after="120"/>
        <w:ind w:right="-108"/>
        <w:jc w:val="both"/>
        <w:rPr>
          <w:rFonts w:ascii="Arial" w:hAnsi="Arial" w:cs="Arial"/>
          <w:b/>
          <w:sz w:val="22"/>
          <w:szCs w:val="22"/>
        </w:rPr>
      </w:pPr>
      <w:r w:rsidRPr="00CA3023">
        <w:rPr>
          <w:rFonts w:ascii="Arial" w:hAnsi="Arial" w:cs="Arial"/>
          <w:b/>
          <w:sz w:val="22"/>
          <w:szCs w:val="22"/>
        </w:rPr>
        <w:t>Reason</w:t>
      </w:r>
      <w:r w:rsidR="00540BE4" w:rsidRPr="00CA3023">
        <w:rPr>
          <w:rFonts w:ascii="Arial" w:hAnsi="Arial" w:cs="Arial"/>
          <w:b/>
          <w:sz w:val="22"/>
          <w:szCs w:val="22"/>
        </w:rPr>
        <w:t>s</w:t>
      </w:r>
      <w:r w:rsidRPr="00CA3023">
        <w:rPr>
          <w:rFonts w:ascii="Arial" w:hAnsi="Arial" w:cs="Arial"/>
          <w:b/>
          <w:sz w:val="22"/>
          <w:szCs w:val="22"/>
        </w:rPr>
        <w:t xml:space="preserve"> for </w:t>
      </w:r>
      <w:r w:rsidR="00862616" w:rsidRPr="00CA3023">
        <w:rPr>
          <w:rFonts w:ascii="Arial" w:hAnsi="Arial" w:cs="Arial"/>
          <w:b/>
          <w:sz w:val="22"/>
          <w:szCs w:val="22"/>
        </w:rPr>
        <w:t>D</w:t>
      </w:r>
      <w:r w:rsidRPr="00CA3023">
        <w:rPr>
          <w:rFonts w:ascii="Arial" w:hAnsi="Arial" w:cs="Arial"/>
          <w:b/>
          <w:sz w:val="22"/>
          <w:szCs w:val="22"/>
        </w:rPr>
        <w:t>ecision:</w:t>
      </w:r>
    </w:p>
    <w:p w14:paraId="0DCB45D6" w14:textId="3EF63018" w:rsidR="00035A1C" w:rsidRPr="00C24A8E" w:rsidRDefault="00781E7F" w:rsidP="00C23D45">
      <w:pPr>
        <w:pStyle w:val="Parah0number"/>
        <w:numPr>
          <w:ilvl w:val="0"/>
          <w:numId w:val="35"/>
        </w:numPr>
        <w:ind w:left="340" w:hanging="340"/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>The project has the</w:t>
      </w:r>
      <w:r w:rsidR="00035A1C" w:rsidRPr="00C24A8E">
        <w:rPr>
          <w:rFonts w:cs="Arial"/>
          <w:sz w:val="21"/>
          <w:szCs w:val="21"/>
        </w:rPr>
        <w:t xml:space="preserve"> potential for </w:t>
      </w:r>
      <w:r w:rsidR="00EC4128" w:rsidRPr="00C24A8E">
        <w:rPr>
          <w:rFonts w:cs="Arial"/>
          <w:sz w:val="21"/>
          <w:szCs w:val="21"/>
        </w:rPr>
        <w:t xml:space="preserve">a range of </w:t>
      </w:r>
      <w:r w:rsidR="00035A1C" w:rsidRPr="00C24A8E">
        <w:rPr>
          <w:rFonts w:cs="Arial"/>
          <w:sz w:val="21"/>
          <w:szCs w:val="21"/>
        </w:rPr>
        <w:t>significant environmental e</w:t>
      </w:r>
      <w:r w:rsidR="005279DB" w:rsidRPr="00C24A8E">
        <w:rPr>
          <w:rFonts w:cs="Arial"/>
          <w:sz w:val="21"/>
          <w:szCs w:val="21"/>
        </w:rPr>
        <w:t>ffects</w:t>
      </w:r>
      <w:r w:rsidR="00C73B58">
        <w:rPr>
          <w:rFonts w:cs="Arial"/>
          <w:sz w:val="21"/>
          <w:szCs w:val="21"/>
        </w:rPr>
        <w:t xml:space="preserve">, </w:t>
      </w:r>
      <w:proofErr w:type="gramStart"/>
      <w:r w:rsidR="00C73B58">
        <w:rPr>
          <w:rFonts w:cs="Arial"/>
          <w:sz w:val="21"/>
          <w:szCs w:val="21"/>
        </w:rPr>
        <w:t xml:space="preserve">in particular </w:t>
      </w:r>
      <w:r w:rsidR="00951FAD" w:rsidRPr="00C24A8E">
        <w:rPr>
          <w:rFonts w:cs="Arial"/>
          <w:sz w:val="21"/>
          <w:szCs w:val="21"/>
        </w:rPr>
        <w:t>on</w:t>
      </w:r>
      <w:proofErr w:type="gramEnd"/>
      <w:r w:rsidR="00035A1C" w:rsidRPr="00C24A8E">
        <w:rPr>
          <w:rFonts w:cs="Arial"/>
          <w:sz w:val="21"/>
          <w:szCs w:val="21"/>
        </w:rPr>
        <w:t>:</w:t>
      </w:r>
    </w:p>
    <w:p w14:paraId="4A42E0C8" w14:textId="4CF7E0B6" w:rsidR="00BF7E17" w:rsidRDefault="004266CB" w:rsidP="00F62CE9">
      <w:pPr>
        <w:pStyle w:val="Parah0number"/>
        <w:numPr>
          <w:ilvl w:val="0"/>
          <w:numId w:val="41"/>
        </w:num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>offshore marine biodiversity values</w:t>
      </w:r>
      <w:r w:rsidR="00AB4812" w:rsidRPr="00C24A8E">
        <w:rPr>
          <w:rFonts w:cs="Arial"/>
          <w:sz w:val="21"/>
          <w:szCs w:val="21"/>
        </w:rPr>
        <w:t>;</w:t>
      </w:r>
    </w:p>
    <w:p w14:paraId="6E409689" w14:textId="42CEE52E" w:rsidR="004266CB" w:rsidRDefault="004266CB" w:rsidP="00F62CE9">
      <w:pPr>
        <w:pStyle w:val="Parah0number"/>
        <w:numPr>
          <w:ilvl w:val="0"/>
          <w:numId w:val="41"/>
        </w:numPr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>Aboriginal cultural heritage values</w:t>
      </w:r>
      <w:r>
        <w:rPr>
          <w:rFonts w:cs="Arial"/>
          <w:sz w:val="21"/>
          <w:szCs w:val="21"/>
        </w:rPr>
        <w:t>; and</w:t>
      </w:r>
    </w:p>
    <w:p w14:paraId="4362E537" w14:textId="55D60578" w:rsidR="004266CB" w:rsidRPr="00C24A8E" w:rsidRDefault="004266CB" w:rsidP="00F62CE9">
      <w:pPr>
        <w:pStyle w:val="Parah0number"/>
        <w:numPr>
          <w:ilvl w:val="0"/>
          <w:numId w:val="41"/>
        </w:numPr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onshore biodiversity values including </w:t>
      </w:r>
      <w:r w:rsidR="002F7A72">
        <w:rPr>
          <w:rFonts w:cs="Arial"/>
          <w:sz w:val="21"/>
          <w:szCs w:val="21"/>
        </w:rPr>
        <w:t xml:space="preserve">Lake Reeve, part of </w:t>
      </w:r>
      <w:r>
        <w:rPr>
          <w:rFonts w:cs="Arial"/>
          <w:sz w:val="21"/>
          <w:szCs w:val="21"/>
        </w:rPr>
        <w:t xml:space="preserve">the Gippsland Lakes Ramsar site.  </w:t>
      </w:r>
    </w:p>
    <w:p w14:paraId="6EAC7072" w14:textId="08E64B4B" w:rsidR="00035A1C" w:rsidRPr="00C24A8E" w:rsidRDefault="00C73B58" w:rsidP="005962F0">
      <w:pPr>
        <w:pStyle w:val="Parah0number"/>
        <w:numPr>
          <w:ilvl w:val="0"/>
          <w:numId w:val="35"/>
        </w:numPr>
        <w:spacing w:before="180"/>
        <w:ind w:left="340" w:hanging="340"/>
        <w:jc w:val="both"/>
        <w:rPr>
          <w:rFonts w:cs="Arial"/>
          <w:sz w:val="21"/>
          <w:szCs w:val="21"/>
        </w:rPr>
      </w:pPr>
      <w:r>
        <w:rPr>
          <w:rFonts w:cs="Arial"/>
          <w:sz w:val="21"/>
          <w:szCs w:val="21"/>
        </w:rPr>
        <w:t xml:space="preserve">There is uncertainty associated with the extent, magnitude and acceptability of potentially significant effects.  An </w:t>
      </w:r>
      <w:r w:rsidR="003C0E59" w:rsidRPr="00C24A8E">
        <w:rPr>
          <w:rFonts w:cs="Arial"/>
          <w:sz w:val="21"/>
          <w:szCs w:val="21"/>
        </w:rPr>
        <w:t xml:space="preserve">integrated </w:t>
      </w:r>
      <w:r>
        <w:rPr>
          <w:rFonts w:cs="Arial"/>
          <w:sz w:val="21"/>
          <w:szCs w:val="21"/>
        </w:rPr>
        <w:t xml:space="preserve">and rigorous </w:t>
      </w:r>
      <w:r w:rsidR="003C0E59" w:rsidRPr="00C24A8E">
        <w:rPr>
          <w:rFonts w:cs="Arial"/>
          <w:sz w:val="21"/>
          <w:szCs w:val="21"/>
        </w:rPr>
        <w:t xml:space="preserve">assessment is necessary </w:t>
      </w:r>
      <w:r w:rsidR="00035A1C" w:rsidRPr="00C24A8E">
        <w:rPr>
          <w:rFonts w:cs="Arial"/>
          <w:sz w:val="21"/>
          <w:szCs w:val="21"/>
        </w:rPr>
        <w:t xml:space="preserve">to </w:t>
      </w:r>
      <w:r w:rsidR="003C0E59" w:rsidRPr="00C24A8E">
        <w:rPr>
          <w:rFonts w:cs="Arial"/>
          <w:sz w:val="21"/>
          <w:szCs w:val="21"/>
        </w:rPr>
        <w:t xml:space="preserve">ensure the range </w:t>
      </w:r>
      <w:r>
        <w:rPr>
          <w:rFonts w:cs="Arial"/>
          <w:sz w:val="21"/>
          <w:szCs w:val="21"/>
        </w:rPr>
        <w:t xml:space="preserve">of </w:t>
      </w:r>
      <w:r w:rsidR="00755586" w:rsidRPr="00C24A8E">
        <w:rPr>
          <w:rFonts w:cs="Arial"/>
          <w:sz w:val="21"/>
          <w:szCs w:val="21"/>
        </w:rPr>
        <w:t xml:space="preserve">adverse </w:t>
      </w:r>
      <w:r w:rsidR="00951FAD" w:rsidRPr="00C24A8E">
        <w:rPr>
          <w:rFonts w:cs="Arial"/>
          <w:sz w:val="21"/>
          <w:szCs w:val="21"/>
        </w:rPr>
        <w:t>effects</w:t>
      </w:r>
      <w:r w:rsidR="003C0E59" w:rsidRPr="00C24A8E">
        <w:rPr>
          <w:rFonts w:cs="Arial"/>
          <w:sz w:val="21"/>
          <w:szCs w:val="21"/>
        </w:rPr>
        <w:t xml:space="preserve"> and related uncertainties are sufficiently investigated</w:t>
      </w:r>
      <w:r w:rsidR="00951FAD" w:rsidRPr="00C24A8E">
        <w:rPr>
          <w:rFonts w:cs="Arial"/>
          <w:sz w:val="21"/>
          <w:szCs w:val="21"/>
        </w:rPr>
        <w:t xml:space="preserve">, in terms of both their </w:t>
      </w:r>
      <w:r w:rsidR="00035A1C" w:rsidRPr="00C24A8E">
        <w:rPr>
          <w:rFonts w:cs="Arial"/>
          <w:sz w:val="21"/>
          <w:szCs w:val="21"/>
        </w:rPr>
        <w:t xml:space="preserve">extent </w:t>
      </w:r>
      <w:r w:rsidR="00951FAD" w:rsidRPr="00C24A8E">
        <w:rPr>
          <w:rFonts w:cs="Arial"/>
          <w:sz w:val="21"/>
          <w:szCs w:val="21"/>
        </w:rPr>
        <w:t xml:space="preserve">and significance, </w:t>
      </w:r>
      <w:r w:rsidR="00EB4622" w:rsidRPr="00C24A8E">
        <w:rPr>
          <w:rFonts w:cs="Arial"/>
          <w:sz w:val="21"/>
          <w:szCs w:val="21"/>
        </w:rPr>
        <w:t xml:space="preserve">and </w:t>
      </w:r>
      <w:r w:rsidR="00035A1C" w:rsidRPr="00C24A8E">
        <w:rPr>
          <w:rFonts w:cs="Arial"/>
          <w:sz w:val="21"/>
          <w:szCs w:val="21"/>
        </w:rPr>
        <w:t xml:space="preserve">how </w:t>
      </w:r>
      <w:r w:rsidR="00755586" w:rsidRPr="00C24A8E">
        <w:rPr>
          <w:rFonts w:cs="Arial"/>
          <w:sz w:val="21"/>
          <w:szCs w:val="21"/>
        </w:rPr>
        <w:t xml:space="preserve">significant </w:t>
      </w:r>
      <w:r w:rsidR="00035A1C" w:rsidRPr="00C24A8E">
        <w:rPr>
          <w:rFonts w:cs="Arial"/>
          <w:sz w:val="21"/>
          <w:szCs w:val="21"/>
        </w:rPr>
        <w:t xml:space="preserve">effects can be avoided and minimised </w:t>
      </w:r>
      <w:r w:rsidR="003C0E59" w:rsidRPr="00C24A8E">
        <w:rPr>
          <w:rFonts w:cs="Arial"/>
          <w:sz w:val="21"/>
          <w:szCs w:val="21"/>
        </w:rPr>
        <w:t>to acceptable levels</w:t>
      </w:r>
      <w:r w:rsidR="00035A1C" w:rsidRPr="00C24A8E">
        <w:rPr>
          <w:rFonts w:cs="Arial"/>
          <w:sz w:val="21"/>
          <w:szCs w:val="21"/>
        </w:rPr>
        <w:t>.</w:t>
      </w:r>
      <w:r w:rsidR="004266CB">
        <w:rPr>
          <w:rFonts w:cs="Arial"/>
          <w:sz w:val="21"/>
          <w:szCs w:val="21"/>
        </w:rPr>
        <w:t xml:space="preserve"> </w:t>
      </w:r>
    </w:p>
    <w:p w14:paraId="6862B8F4" w14:textId="17849566" w:rsidR="00035A1C" w:rsidRPr="00C24A8E" w:rsidRDefault="00035A1C" w:rsidP="005962F0">
      <w:pPr>
        <w:pStyle w:val="Parah0number"/>
        <w:numPr>
          <w:ilvl w:val="0"/>
          <w:numId w:val="35"/>
        </w:numPr>
        <w:spacing w:before="180"/>
        <w:ind w:left="340" w:hanging="340"/>
        <w:jc w:val="both"/>
        <w:rPr>
          <w:rFonts w:cs="Arial"/>
          <w:sz w:val="21"/>
          <w:szCs w:val="21"/>
        </w:rPr>
      </w:pPr>
      <w:r w:rsidRPr="00C24A8E">
        <w:rPr>
          <w:rFonts w:cs="Arial"/>
          <w:sz w:val="21"/>
          <w:szCs w:val="21"/>
        </w:rPr>
        <w:t>An EES would enab</w:t>
      </w:r>
      <w:r w:rsidR="003C0E59" w:rsidRPr="00C24A8E">
        <w:rPr>
          <w:rFonts w:cs="Arial"/>
          <w:sz w:val="21"/>
          <w:szCs w:val="21"/>
        </w:rPr>
        <w:t xml:space="preserve">le a transparent and </w:t>
      </w:r>
      <w:r w:rsidR="00C73B58">
        <w:rPr>
          <w:rFonts w:cs="Arial"/>
          <w:sz w:val="21"/>
          <w:szCs w:val="21"/>
        </w:rPr>
        <w:t xml:space="preserve">thorough </w:t>
      </w:r>
      <w:r w:rsidR="003C0E59" w:rsidRPr="00C24A8E">
        <w:rPr>
          <w:rFonts w:cs="Arial"/>
          <w:sz w:val="21"/>
          <w:szCs w:val="21"/>
        </w:rPr>
        <w:t xml:space="preserve">process for </w:t>
      </w:r>
      <w:r w:rsidR="00DC141B" w:rsidRPr="00C24A8E">
        <w:rPr>
          <w:rFonts w:cs="Arial"/>
          <w:sz w:val="21"/>
          <w:szCs w:val="21"/>
        </w:rPr>
        <w:t xml:space="preserve">consideration of </w:t>
      </w:r>
      <w:r w:rsidRPr="00C24A8E">
        <w:rPr>
          <w:rFonts w:cs="Arial"/>
          <w:sz w:val="21"/>
          <w:szCs w:val="21"/>
        </w:rPr>
        <w:t>po</w:t>
      </w:r>
      <w:r w:rsidR="00781E7F" w:rsidRPr="00C24A8E">
        <w:rPr>
          <w:rFonts w:cs="Arial"/>
          <w:sz w:val="21"/>
          <w:szCs w:val="21"/>
        </w:rPr>
        <w:t xml:space="preserve">tentially significant </w:t>
      </w:r>
      <w:r w:rsidRPr="00C24A8E">
        <w:rPr>
          <w:rFonts w:cs="Arial"/>
          <w:sz w:val="21"/>
          <w:szCs w:val="21"/>
        </w:rPr>
        <w:t>adverse eff</w:t>
      </w:r>
      <w:r w:rsidR="00C834D3" w:rsidRPr="00C24A8E">
        <w:rPr>
          <w:rFonts w:cs="Arial"/>
          <w:sz w:val="21"/>
          <w:szCs w:val="21"/>
        </w:rPr>
        <w:t>ects of the project</w:t>
      </w:r>
      <w:r w:rsidR="00DC141B" w:rsidRPr="00C24A8E">
        <w:rPr>
          <w:rFonts w:cs="Arial"/>
          <w:sz w:val="21"/>
          <w:szCs w:val="21"/>
        </w:rPr>
        <w:t>,</w:t>
      </w:r>
      <w:r w:rsidR="00C834D3" w:rsidRPr="00C24A8E">
        <w:rPr>
          <w:rFonts w:cs="Arial"/>
          <w:sz w:val="21"/>
          <w:szCs w:val="21"/>
        </w:rPr>
        <w:t xml:space="preserve"> </w:t>
      </w:r>
      <w:r w:rsidR="00D53094">
        <w:rPr>
          <w:rFonts w:cs="Arial"/>
          <w:sz w:val="21"/>
          <w:szCs w:val="21"/>
        </w:rPr>
        <w:t xml:space="preserve">including some relevant alternatives, </w:t>
      </w:r>
      <w:r w:rsidR="006B5661" w:rsidRPr="00C24A8E">
        <w:rPr>
          <w:rFonts w:cs="Arial"/>
          <w:sz w:val="21"/>
          <w:szCs w:val="21"/>
        </w:rPr>
        <w:t>prior to an</w:t>
      </w:r>
      <w:r w:rsidR="00980E4B" w:rsidRPr="00C24A8E">
        <w:rPr>
          <w:rFonts w:cs="Arial"/>
          <w:sz w:val="21"/>
          <w:szCs w:val="21"/>
        </w:rPr>
        <w:t>y</w:t>
      </w:r>
      <w:r w:rsidR="006B5661" w:rsidRPr="00C24A8E">
        <w:rPr>
          <w:rFonts w:cs="Arial"/>
          <w:sz w:val="21"/>
          <w:szCs w:val="21"/>
        </w:rPr>
        <w:t xml:space="preserve"> </w:t>
      </w:r>
      <w:r w:rsidRPr="00C24A8E">
        <w:rPr>
          <w:rFonts w:cs="Arial"/>
          <w:sz w:val="21"/>
          <w:szCs w:val="21"/>
        </w:rPr>
        <w:t>r</w:t>
      </w:r>
      <w:r w:rsidR="00C834D3" w:rsidRPr="00C24A8E">
        <w:rPr>
          <w:rFonts w:cs="Arial"/>
          <w:sz w:val="21"/>
          <w:szCs w:val="21"/>
        </w:rPr>
        <w:t>elevant</w:t>
      </w:r>
      <w:r w:rsidR="006B5661" w:rsidRPr="00C24A8E">
        <w:rPr>
          <w:rFonts w:cs="Arial"/>
          <w:sz w:val="21"/>
          <w:szCs w:val="21"/>
        </w:rPr>
        <w:t xml:space="preserve"> statutory decision-making</w:t>
      </w:r>
      <w:r w:rsidRPr="00C24A8E">
        <w:rPr>
          <w:rFonts w:cs="Arial"/>
          <w:sz w:val="21"/>
          <w:szCs w:val="21"/>
        </w:rPr>
        <w:t xml:space="preserve">, including under the </w:t>
      </w:r>
      <w:r w:rsidR="004266CB" w:rsidRPr="004266CB">
        <w:rPr>
          <w:rFonts w:cs="Arial"/>
          <w:i/>
          <w:sz w:val="21"/>
          <w:szCs w:val="21"/>
        </w:rPr>
        <w:t>Offshore Petroleum and Greenhouse Gas Storage Act 2010</w:t>
      </w:r>
      <w:r w:rsidRPr="004266CB">
        <w:rPr>
          <w:rFonts w:cs="Arial"/>
          <w:sz w:val="21"/>
          <w:szCs w:val="21"/>
        </w:rPr>
        <w:t xml:space="preserve">, </w:t>
      </w:r>
      <w:r w:rsidR="004266CB" w:rsidRPr="004266CB">
        <w:rPr>
          <w:rFonts w:cs="Arial"/>
          <w:i/>
          <w:sz w:val="21"/>
          <w:szCs w:val="21"/>
        </w:rPr>
        <w:t>Pipelines Act 2005</w:t>
      </w:r>
      <w:r w:rsidR="004266CB" w:rsidRPr="004266CB">
        <w:rPr>
          <w:rFonts w:cs="Arial"/>
          <w:sz w:val="21"/>
          <w:szCs w:val="21"/>
        </w:rPr>
        <w:t xml:space="preserve">, </w:t>
      </w:r>
      <w:r w:rsidR="004266CB" w:rsidRPr="004266CB">
        <w:rPr>
          <w:rFonts w:cs="Arial"/>
          <w:i/>
          <w:sz w:val="21"/>
          <w:szCs w:val="21"/>
        </w:rPr>
        <w:t>Environment Protection Act 1970</w:t>
      </w:r>
      <w:r w:rsidR="004266CB" w:rsidRPr="004266CB">
        <w:rPr>
          <w:rFonts w:cs="Arial"/>
          <w:sz w:val="21"/>
          <w:szCs w:val="21"/>
        </w:rPr>
        <w:t xml:space="preserve"> </w:t>
      </w:r>
      <w:r w:rsidRPr="00C24A8E">
        <w:rPr>
          <w:rFonts w:cs="Arial"/>
          <w:sz w:val="21"/>
          <w:szCs w:val="21"/>
        </w:rPr>
        <w:t xml:space="preserve">and </w:t>
      </w:r>
      <w:r w:rsidR="004266CB" w:rsidRPr="004266CB">
        <w:rPr>
          <w:rFonts w:cs="Arial"/>
          <w:i/>
          <w:sz w:val="21"/>
          <w:szCs w:val="21"/>
        </w:rPr>
        <w:t>Aboriginal Heritage Act 2006</w:t>
      </w:r>
      <w:r w:rsidRPr="00C24A8E">
        <w:rPr>
          <w:rFonts w:cs="Arial"/>
          <w:sz w:val="21"/>
          <w:szCs w:val="21"/>
        </w:rPr>
        <w:t>.</w:t>
      </w:r>
      <w:r w:rsidR="004266CB">
        <w:rPr>
          <w:rFonts w:cs="Arial"/>
          <w:sz w:val="21"/>
          <w:szCs w:val="21"/>
        </w:rPr>
        <w:t xml:space="preserve"> </w:t>
      </w:r>
    </w:p>
    <w:p w14:paraId="2E5E5D01" w14:textId="77777777" w:rsidR="00E4194E" w:rsidRPr="00CA3023" w:rsidRDefault="00E4194E" w:rsidP="00F202A5">
      <w:pPr>
        <w:ind w:right="-110"/>
        <w:rPr>
          <w:rFonts w:ascii="Arial" w:hAnsi="Arial" w:cs="Arial"/>
          <w:b/>
          <w:sz w:val="22"/>
          <w:szCs w:val="22"/>
        </w:rPr>
      </w:pPr>
    </w:p>
    <w:p w14:paraId="7522CC92" w14:textId="7DC9A8F7" w:rsidR="00776831" w:rsidRPr="00CA3023" w:rsidRDefault="00776831" w:rsidP="00E225A3">
      <w:pPr>
        <w:ind w:right="-110" w:hanging="142"/>
        <w:rPr>
          <w:rFonts w:ascii="Arial" w:hAnsi="Arial" w:cs="Arial"/>
          <w:b/>
          <w:sz w:val="22"/>
          <w:szCs w:val="22"/>
        </w:rPr>
      </w:pPr>
      <w:r w:rsidRPr="00CA3023">
        <w:rPr>
          <w:rFonts w:ascii="Arial" w:hAnsi="Arial" w:cs="Arial"/>
          <w:b/>
          <w:sz w:val="22"/>
          <w:szCs w:val="22"/>
        </w:rPr>
        <w:t>Date of Decision:</w:t>
      </w:r>
      <w:r w:rsidR="006B20AC">
        <w:rPr>
          <w:rFonts w:ascii="Arial" w:hAnsi="Arial" w:cs="Arial"/>
          <w:b/>
          <w:sz w:val="22"/>
          <w:szCs w:val="22"/>
        </w:rPr>
        <w:t xml:space="preserve"> 08/09/2019</w:t>
      </w:r>
      <w:bookmarkStart w:id="0" w:name="_GoBack"/>
      <w:bookmarkEnd w:id="0"/>
    </w:p>
    <w:sectPr w:rsidR="00776831" w:rsidRPr="00CA3023" w:rsidSect="00674358">
      <w:headerReference w:type="default" r:id="rId12"/>
      <w:pgSz w:w="11906" w:h="16838"/>
      <w:pgMar w:top="993" w:right="1416" w:bottom="719" w:left="1418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A76449" w14:textId="77777777" w:rsidR="003C1E55" w:rsidRDefault="003C1E55">
      <w:r>
        <w:separator/>
      </w:r>
    </w:p>
  </w:endnote>
  <w:endnote w:type="continuationSeparator" w:id="0">
    <w:p w14:paraId="6EE58220" w14:textId="77777777" w:rsidR="003C1E55" w:rsidRDefault="003C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573D47" w14:textId="77777777" w:rsidR="003C1E55" w:rsidRDefault="003C1E55">
      <w:r>
        <w:separator/>
      </w:r>
    </w:p>
  </w:footnote>
  <w:footnote w:type="continuationSeparator" w:id="0">
    <w:p w14:paraId="5D10D785" w14:textId="77777777" w:rsidR="003C1E55" w:rsidRDefault="003C1E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69315E" w14:textId="7BF9FC80" w:rsidR="00781E7F" w:rsidRDefault="00781E7F" w:rsidP="00781E7F">
    <w:pPr>
      <w:pStyle w:val="Header"/>
      <w:tabs>
        <w:tab w:val="clear" w:pos="8306"/>
        <w:tab w:val="right" w:pos="9072"/>
      </w:tabs>
      <w:rPr>
        <w:rFonts w:ascii="Arial" w:hAnsi="Arial" w:cs="Arial"/>
        <w:sz w:val="20"/>
        <w:szCs w:val="20"/>
      </w:rPr>
    </w:pPr>
    <w:r>
      <w:tab/>
    </w:r>
    <w:r>
      <w:tab/>
    </w:r>
    <w:r>
      <w:rPr>
        <w:rFonts w:ascii="Arial" w:hAnsi="Arial" w:cs="Arial"/>
        <w:sz w:val="20"/>
        <w:szCs w:val="20"/>
      </w:rPr>
      <w:t>EES R</w:t>
    </w:r>
    <w:r w:rsidRPr="00D976F8">
      <w:rPr>
        <w:rFonts w:ascii="Arial" w:hAnsi="Arial" w:cs="Arial"/>
        <w:sz w:val="20"/>
        <w:szCs w:val="20"/>
      </w:rPr>
      <w:t xml:space="preserve">EFERRAL </w:t>
    </w:r>
    <w:r>
      <w:rPr>
        <w:rFonts w:ascii="Arial" w:hAnsi="Arial" w:cs="Arial"/>
        <w:sz w:val="20"/>
        <w:szCs w:val="20"/>
      </w:rPr>
      <w:t xml:space="preserve">NUMBER </w:t>
    </w:r>
    <w:r w:rsidR="009B7391" w:rsidRPr="005C7E25">
      <w:rPr>
        <w:rFonts w:ascii="Arial" w:hAnsi="Arial" w:cs="Arial"/>
        <w:sz w:val="20"/>
        <w:szCs w:val="20"/>
      </w:rPr>
      <w:t>201</w:t>
    </w:r>
    <w:r w:rsidR="002A652E">
      <w:rPr>
        <w:rFonts w:ascii="Arial" w:hAnsi="Arial" w:cs="Arial"/>
        <w:sz w:val="20"/>
        <w:szCs w:val="20"/>
      </w:rPr>
      <w:t>9</w:t>
    </w:r>
    <w:r w:rsidR="009B7391" w:rsidRPr="005C7E25">
      <w:rPr>
        <w:rFonts w:ascii="Arial" w:hAnsi="Arial" w:cs="Arial"/>
        <w:sz w:val="20"/>
        <w:szCs w:val="20"/>
      </w:rPr>
      <w:t>-0</w:t>
    </w:r>
    <w:r w:rsidR="004518E9">
      <w:rPr>
        <w:rFonts w:ascii="Arial" w:hAnsi="Arial" w:cs="Arial"/>
        <w:sz w:val="20"/>
        <w:szCs w:val="20"/>
      </w:rPr>
      <w:t>6</w:t>
    </w:r>
  </w:p>
  <w:p w14:paraId="5097A3D0" w14:textId="77777777" w:rsidR="001411F8" w:rsidRPr="00D976F8" w:rsidRDefault="001411F8" w:rsidP="00781E7F">
    <w:pPr>
      <w:pStyle w:val="Header"/>
      <w:tabs>
        <w:tab w:val="clear" w:pos="8306"/>
        <w:tab w:val="right" w:pos="9072"/>
      </w:tabs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21E8"/>
    <w:multiLevelType w:val="hybridMultilevel"/>
    <w:tmpl w:val="F5C8B9C6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CB6430"/>
    <w:multiLevelType w:val="hybridMultilevel"/>
    <w:tmpl w:val="9BD81772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032F4DFF"/>
    <w:multiLevelType w:val="hybridMultilevel"/>
    <w:tmpl w:val="FFEA708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E72B6"/>
    <w:multiLevelType w:val="hybridMultilevel"/>
    <w:tmpl w:val="75C2F2F0"/>
    <w:lvl w:ilvl="0" w:tplc="0C090019">
      <w:start w:val="1"/>
      <w:numFmt w:val="lowerLetter"/>
      <w:pStyle w:val="Parah0number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E88B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D3613D4">
      <w:start w:val="1"/>
      <w:numFmt w:val="bullet"/>
      <w:lvlText w:val="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4B6AA4"/>
    <w:multiLevelType w:val="hybridMultilevel"/>
    <w:tmpl w:val="B88C7D0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46D10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50C1034"/>
    <w:multiLevelType w:val="hybridMultilevel"/>
    <w:tmpl w:val="9F029A5E"/>
    <w:lvl w:ilvl="0" w:tplc="0C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1BD90BAF"/>
    <w:multiLevelType w:val="hybridMultilevel"/>
    <w:tmpl w:val="6CBCC692"/>
    <w:lvl w:ilvl="0" w:tplc="B42A29FE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0AF7EB1"/>
    <w:multiLevelType w:val="hybridMultilevel"/>
    <w:tmpl w:val="44FE257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3D4C1C"/>
    <w:multiLevelType w:val="hybridMultilevel"/>
    <w:tmpl w:val="23B8AF9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9C74AC7"/>
    <w:multiLevelType w:val="hybridMultilevel"/>
    <w:tmpl w:val="F822D58C"/>
    <w:lvl w:ilvl="0" w:tplc="0D3613D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i w:val="0"/>
        <w:color w:val="auto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AE88B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D3613D4">
      <w:start w:val="1"/>
      <w:numFmt w:val="bullet"/>
      <w:lvlText w:val=""/>
      <w:lvlJc w:val="left"/>
      <w:pPr>
        <w:tabs>
          <w:tab w:val="num" w:pos="2747"/>
        </w:tabs>
        <w:ind w:left="2747" w:hanging="227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B781B14"/>
    <w:multiLevelType w:val="hybridMultilevel"/>
    <w:tmpl w:val="21D2FB9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F82E945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C561B4"/>
    <w:multiLevelType w:val="hybridMultilevel"/>
    <w:tmpl w:val="EB687FCC"/>
    <w:lvl w:ilvl="0" w:tplc="4082290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BA361A"/>
    <w:multiLevelType w:val="hybridMultilevel"/>
    <w:tmpl w:val="65FA8FC0"/>
    <w:lvl w:ilvl="0" w:tplc="0C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65EE3164"/>
    <w:multiLevelType w:val="hybridMultilevel"/>
    <w:tmpl w:val="3268172A"/>
    <w:lvl w:ilvl="0" w:tplc="0C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9D7697"/>
    <w:multiLevelType w:val="hybridMultilevel"/>
    <w:tmpl w:val="9C40B7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713721"/>
    <w:multiLevelType w:val="hybridMultilevel"/>
    <w:tmpl w:val="49D4B7C0"/>
    <w:lvl w:ilvl="0" w:tplc="28A829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i w:val="0"/>
      </w:rPr>
    </w:lvl>
    <w:lvl w:ilvl="1" w:tplc="0C090019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3960"/>
        </w:tabs>
        <w:ind w:left="39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5400"/>
        </w:tabs>
        <w:ind w:left="54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6120"/>
        </w:tabs>
        <w:ind w:left="61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7560"/>
        </w:tabs>
        <w:ind w:left="75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8280"/>
        </w:tabs>
        <w:ind w:left="8280" w:hanging="360"/>
      </w:pPr>
    </w:lvl>
  </w:abstractNum>
  <w:abstractNum w:abstractNumId="17" w15:restartNumberingAfterBreak="0">
    <w:nsid w:val="6BD87CCA"/>
    <w:multiLevelType w:val="hybridMultilevel"/>
    <w:tmpl w:val="53D806C4"/>
    <w:lvl w:ilvl="0" w:tplc="F82E9454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</w:rPr>
    </w:lvl>
    <w:lvl w:ilvl="1" w:tplc="F82E9454">
      <w:start w:val="1"/>
      <w:numFmt w:val="bullet"/>
      <w:lvlText w:val="-"/>
      <w:lvlJc w:val="left"/>
      <w:pPr>
        <w:ind w:left="1440" w:hanging="360"/>
      </w:pPr>
      <w:rPr>
        <w:rFonts w:ascii="Arial Narrow" w:hAnsi="Arial Narrow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5199"/>
    <w:multiLevelType w:val="hybridMultilevel"/>
    <w:tmpl w:val="6FD6FA9C"/>
    <w:lvl w:ilvl="0" w:tplc="94B805D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161785A"/>
    <w:multiLevelType w:val="hybridMultilevel"/>
    <w:tmpl w:val="DD3E4494"/>
    <w:lvl w:ilvl="0" w:tplc="F084766C">
      <w:start w:val="1"/>
      <w:numFmt w:val="decimal"/>
      <w:lvlText w:val="%1."/>
      <w:lvlJc w:val="left"/>
      <w:pPr>
        <w:tabs>
          <w:tab w:val="num" w:pos="897"/>
        </w:tabs>
        <w:ind w:left="897" w:hanging="357"/>
      </w:pPr>
      <w:rPr>
        <w:rFonts w:hint="default"/>
        <w:i w:val="0"/>
        <w:color w:val="auto"/>
      </w:rPr>
    </w:lvl>
    <w:lvl w:ilvl="1" w:tplc="0C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  <w:color w:val="auto"/>
      </w:rPr>
    </w:lvl>
    <w:lvl w:ilvl="2" w:tplc="0C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i w:val="0"/>
        <w:color w:val="auto"/>
      </w:rPr>
    </w:lvl>
    <w:lvl w:ilvl="3" w:tplc="0C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  <w:color w:val="auto"/>
      </w:r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4286DA1"/>
    <w:multiLevelType w:val="hybridMultilevel"/>
    <w:tmpl w:val="3154CE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00085"/>
    <w:multiLevelType w:val="singleLevel"/>
    <w:tmpl w:val="789C8126"/>
    <w:lvl w:ilvl="0">
      <w:start w:val="1"/>
      <w:numFmt w:val="decimal"/>
      <w:pStyle w:val="NumberedText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21"/>
  </w:num>
  <w:num w:numId="2">
    <w:abstractNumId w:val="0"/>
  </w:num>
  <w:num w:numId="3">
    <w:abstractNumId w:val="6"/>
  </w:num>
  <w:num w:numId="4">
    <w:abstractNumId w:val="1"/>
  </w:num>
  <w:num w:numId="5">
    <w:abstractNumId w:val="8"/>
  </w:num>
  <w:num w:numId="6">
    <w:abstractNumId w:val="9"/>
  </w:num>
  <w:num w:numId="7">
    <w:abstractNumId w:val="21"/>
  </w:num>
  <w:num w:numId="8">
    <w:abstractNumId w:val="21"/>
  </w:num>
  <w:num w:numId="9">
    <w:abstractNumId w:val="12"/>
  </w:num>
  <w:num w:numId="10">
    <w:abstractNumId w:val="21"/>
  </w:num>
  <w:num w:numId="11">
    <w:abstractNumId w:val="13"/>
  </w:num>
  <w:num w:numId="12">
    <w:abstractNumId w:val="15"/>
  </w:num>
  <w:num w:numId="13">
    <w:abstractNumId w:val="2"/>
  </w:num>
  <w:num w:numId="14">
    <w:abstractNumId w:val="14"/>
  </w:num>
  <w:num w:numId="15">
    <w:abstractNumId w:val="3"/>
  </w:num>
  <w:num w:numId="16">
    <w:abstractNumId w:val="7"/>
  </w:num>
  <w:num w:numId="17">
    <w:abstractNumId w:val="3"/>
  </w:num>
  <w:num w:numId="18">
    <w:abstractNumId w:val="3"/>
  </w:num>
  <w:num w:numId="19">
    <w:abstractNumId w:val="18"/>
  </w:num>
  <w:num w:numId="20">
    <w:abstractNumId w:val="3"/>
  </w:num>
  <w:num w:numId="21">
    <w:abstractNumId w:val="3"/>
  </w:num>
  <w:num w:numId="22">
    <w:abstractNumId w:val="3"/>
  </w:num>
  <w:num w:numId="23">
    <w:abstractNumId w:val="19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  <w:lvlOverride w:ilvl="0">
      <w:startOverride w:val="1"/>
    </w:lvlOverride>
    <w:lvlOverride w:ilvl="1"/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</w:num>
  <w:num w:numId="30">
    <w:abstractNumId w:val="10"/>
  </w:num>
  <w:num w:numId="31">
    <w:abstractNumId w:val="3"/>
  </w:num>
  <w:num w:numId="32">
    <w:abstractNumId w:val="3"/>
  </w:num>
  <w:num w:numId="33">
    <w:abstractNumId w:val="3"/>
  </w:num>
  <w:num w:numId="3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3"/>
  </w:num>
  <w:num w:numId="37">
    <w:abstractNumId w:val="3"/>
  </w:num>
  <w:num w:numId="38">
    <w:abstractNumId w:val="3"/>
  </w:num>
  <w:num w:numId="39">
    <w:abstractNumId w:val="4"/>
  </w:num>
  <w:num w:numId="40">
    <w:abstractNumId w:val="11"/>
  </w:num>
  <w:num w:numId="4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6831"/>
    <w:rsid w:val="00005B3B"/>
    <w:rsid w:val="0000600D"/>
    <w:rsid w:val="0000741F"/>
    <w:rsid w:val="000111D7"/>
    <w:rsid w:val="00017BC7"/>
    <w:rsid w:val="00035A1C"/>
    <w:rsid w:val="00075160"/>
    <w:rsid w:val="00093641"/>
    <w:rsid w:val="000C6C4A"/>
    <w:rsid w:val="000F6F92"/>
    <w:rsid w:val="00115FAB"/>
    <w:rsid w:val="0014062B"/>
    <w:rsid w:val="001411F8"/>
    <w:rsid w:val="00144261"/>
    <w:rsid w:val="00156119"/>
    <w:rsid w:val="001632AE"/>
    <w:rsid w:val="0016747D"/>
    <w:rsid w:val="00170C6B"/>
    <w:rsid w:val="00171C67"/>
    <w:rsid w:val="00173AAF"/>
    <w:rsid w:val="001807F6"/>
    <w:rsid w:val="00183655"/>
    <w:rsid w:val="00184B91"/>
    <w:rsid w:val="001B7284"/>
    <w:rsid w:val="001C1F35"/>
    <w:rsid w:val="001D3194"/>
    <w:rsid w:val="001D36D7"/>
    <w:rsid w:val="001D7B1E"/>
    <w:rsid w:val="001D7E25"/>
    <w:rsid w:val="001E2B28"/>
    <w:rsid w:val="001E2D2D"/>
    <w:rsid w:val="001E5EDA"/>
    <w:rsid w:val="001E6D4B"/>
    <w:rsid w:val="001F3979"/>
    <w:rsid w:val="002067DA"/>
    <w:rsid w:val="00207EF2"/>
    <w:rsid w:val="00220964"/>
    <w:rsid w:val="00224FF9"/>
    <w:rsid w:val="00233AC7"/>
    <w:rsid w:val="002612C0"/>
    <w:rsid w:val="00292E1A"/>
    <w:rsid w:val="002A652E"/>
    <w:rsid w:val="002C41DF"/>
    <w:rsid w:val="002C7DA7"/>
    <w:rsid w:val="002D3946"/>
    <w:rsid w:val="002E162B"/>
    <w:rsid w:val="002E2C54"/>
    <w:rsid w:val="002F7A72"/>
    <w:rsid w:val="003363BA"/>
    <w:rsid w:val="00341363"/>
    <w:rsid w:val="00343CE6"/>
    <w:rsid w:val="003446A9"/>
    <w:rsid w:val="00347983"/>
    <w:rsid w:val="003669D0"/>
    <w:rsid w:val="003758DB"/>
    <w:rsid w:val="00393919"/>
    <w:rsid w:val="00395B87"/>
    <w:rsid w:val="003A3432"/>
    <w:rsid w:val="003A3E26"/>
    <w:rsid w:val="003A5A8F"/>
    <w:rsid w:val="003A6032"/>
    <w:rsid w:val="003B0F77"/>
    <w:rsid w:val="003B17F9"/>
    <w:rsid w:val="003C0E59"/>
    <w:rsid w:val="003C1E55"/>
    <w:rsid w:val="003E2740"/>
    <w:rsid w:val="003F6A1B"/>
    <w:rsid w:val="004067EF"/>
    <w:rsid w:val="00412C59"/>
    <w:rsid w:val="00413CC3"/>
    <w:rsid w:val="00417DB7"/>
    <w:rsid w:val="00422F7D"/>
    <w:rsid w:val="004266CB"/>
    <w:rsid w:val="0042712D"/>
    <w:rsid w:val="00435875"/>
    <w:rsid w:val="00444013"/>
    <w:rsid w:val="00447011"/>
    <w:rsid w:val="004518E9"/>
    <w:rsid w:val="00454BC3"/>
    <w:rsid w:val="00457ECD"/>
    <w:rsid w:val="004644CB"/>
    <w:rsid w:val="0047029E"/>
    <w:rsid w:val="004711D5"/>
    <w:rsid w:val="00474F2D"/>
    <w:rsid w:val="00475188"/>
    <w:rsid w:val="0048197C"/>
    <w:rsid w:val="00495F44"/>
    <w:rsid w:val="00496047"/>
    <w:rsid w:val="004A5621"/>
    <w:rsid w:val="004A766A"/>
    <w:rsid w:val="004B4708"/>
    <w:rsid w:val="004C3C68"/>
    <w:rsid w:val="004C5E1E"/>
    <w:rsid w:val="00505C9B"/>
    <w:rsid w:val="005250CA"/>
    <w:rsid w:val="0052535F"/>
    <w:rsid w:val="005270D7"/>
    <w:rsid w:val="005279DB"/>
    <w:rsid w:val="00540BE4"/>
    <w:rsid w:val="005421F6"/>
    <w:rsid w:val="005464FC"/>
    <w:rsid w:val="00547FE6"/>
    <w:rsid w:val="005962F0"/>
    <w:rsid w:val="005A079C"/>
    <w:rsid w:val="005C06ED"/>
    <w:rsid w:val="005C129A"/>
    <w:rsid w:val="005C7E25"/>
    <w:rsid w:val="005D2AC8"/>
    <w:rsid w:val="005D3D8B"/>
    <w:rsid w:val="005D79F7"/>
    <w:rsid w:val="005E112C"/>
    <w:rsid w:val="005E3D0A"/>
    <w:rsid w:val="005F10F7"/>
    <w:rsid w:val="005F33A5"/>
    <w:rsid w:val="005F7E40"/>
    <w:rsid w:val="00602F57"/>
    <w:rsid w:val="006126E3"/>
    <w:rsid w:val="00617B1F"/>
    <w:rsid w:val="00631B56"/>
    <w:rsid w:val="006361F2"/>
    <w:rsid w:val="0063767D"/>
    <w:rsid w:val="00641624"/>
    <w:rsid w:val="00652E75"/>
    <w:rsid w:val="0066225D"/>
    <w:rsid w:val="00674358"/>
    <w:rsid w:val="00676465"/>
    <w:rsid w:val="00680297"/>
    <w:rsid w:val="00684046"/>
    <w:rsid w:val="00686953"/>
    <w:rsid w:val="00687730"/>
    <w:rsid w:val="006A1698"/>
    <w:rsid w:val="006B20AC"/>
    <w:rsid w:val="006B5661"/>
    <w:rsid w:val="006B78DE"/>
    <w:rsid w:val="006C3F38"/>
    <w:rsid w:val="006D6666"/>
    <w:rsid w:val="006F15C5"/>
    <w:rsid w:val="006F15FD"/>
    <w:rsid w:val="006F4212"/>
    <w:rsid w:val="007035CF"/>
    <w:rsid w:val="00707ED2"/>
    <w:rsid w:val="00711A55"/>
    <w:rsid w:val="007135F6"/>
    <w:rsid w:val="00714793"/>
    <w:rsid w:val="007318BF"/>
    <w:rsid w:val="007404FF"/>
    <w:rsid w:val="00742920"/>
    <w:rsid w:val="0074539C"/>
    <w:rsid w:val="00755586"/>
    <w:rsid w:val="0076179F"/>
    <w:rsid w:val="0076774B"/>
    <w:rsid w:val="00776831"/>
    <w:rsid w:val="00781E7F"/>
    <w:rsid w:val="00783ED3"/>
    <w:rsid w:val="00791250"/>
    <w:rsid w:val="007B7C64"/>
    <w:rsid w:val="007C47F7"/>
    <w:rsid w:val="007C5691"/>
    <w:rsid w:val="007C5D39"/>
    <w:rsid w:val="007D23AF"/>
    <w:rsid w:val="007D2F16"/>
    <w:rsid w:val="0080278C"/>
    <w:rsid w:val="00805930"/>
    <w:rsid w:val="00805A0E"/>
    <w:rsid w:val="008107DB"/>
    <w:rsid w:val="008624A5"/>
    <w:rsid w:val="00862616"/>
    <w:rsid w:val="0087136E"/>
    <w:rsid w:val="00873B76"/>
    <w:rsid w:val="008948B2"/>
    <w:rsid w:val="008A70D7"/>
    <w:rsid w:val="008C1F19"/>
    <w:rsid w:val="008C2415"/>
    <w:rsid w:val="008C71D2"/>
    <w:rsid w:val="008D3065"/>
    <w:rsid w:val="009035EA"/>
    <w:rsid w:val="009133C9"/>
    <w:rsid w:val="0092222B"/>
    <w:rsid w:val="00932165"/>
    <w:rsid w:val="00951FAD"/>
    <w:rsid w:val="00954D68"/>
    <w:rsid w:val="00961C35"/>
    <w:rsid w:val="009727BC"/>
    <w:rsid w:val="009777DB"/>
    <w:rsid w:val="00980E4B"/>
    <w:rsid w:val="009A65AD"/>
    <w:rsid w:val="009B4CAD"/>
    <w:rsid w:val="009B7391"/>
    <w:rsid w:val="009D4AFE"/>
    <w:rsid w:val="009E3401"/>
    <w:rsid w:val="00A04438"/>
    <w:rsid w:val="00A0753D"/>
    <w:rsid w:val="00A101F5"/>
    <w:rsid w:val="00A23AAB"/>
    <w:rsid w:val="00A3453B"/>
    <w:rsid w:val="00A442EC"/>
    <w:rsid w:val="00A51F63"/>
    <w:rsid w:val="00A54117"/>
    <w:rsid w:val="00A67C2C"/>
    <w:rsid w:val="00A80B37"/>
    <w:rsid w:val="00AA1D08"/>
    <w:rsid w:val="00AA69AE"/>
    <w:rsid w:val="00AB18AC"/>
    <w:rsid w:val="00AB418C"/>
    <w:rsid w:val="00AB4812"/>
    <w:rsid w:val="00AD6E57"/>
    <w:rsid w:val="00AE2E04"/>
    <w:rsid w:val="00AE4361"/>
    <w:rsid w:val="00AF072E"/>
    <w:rsid w:val="00B02224"/>
    <w:rsid w:val="00B035C5"/>
    <w:rsid w:val="00B3065C"/>
    <w:rsid w:val="00B32FD6"/>
    <w:rsid w:val="00B47629"/>
    <w:rsid w:val="00B66C3E"/>
    <w:rsid w:val="00B738C2"/>
    <w:rsid w:val="00B73B00"/>
    <w:rsid w:val="00B80640"/>
    <w:rsid w:val="00B96E22"/>
    <w:rsid w:val="00BC3092"/>
    <w:rsid w:val="00BC5EBC"/>
    <w:rsid w:val="00BD5E91"/>
    <w:rsid w:val="00BE0747"/>
    <w:rsid w:val="00BE5628"/>
    <w:rsid w:val="00BE5CD7"/>
    <w:rsid w:val="00BF41D0"/>
    <w:rsid w:val="00BF7E17"/>
    <w:rsid w:val="00C0086B"/>
    <w:rsid w:val="00C10A82"/>
    <w:rsid w:val="00C20A36"/>
    <w:rsid w:val="00C23D45"/>
    <w:rsid w:val="00C242C0"/>
    <w:rsid w:val="00C2441E"/>
    <w:rsid w:val="00C24A8E"/>
    <w:rsid w:val="00C30F9B"/>
    <w:rsid w:val="00C43161"/>
    <w:rsid w:val="00C5045F"/>
    <w:rsid w:val="00C51E4B"/>
    <w:rsid w:val="00C54DEB"/>
    <w:rsid w:val="00C5590B"/>
    <w:rsid w:val="00C63D3E"/>
    <w:rsid w:val="00C73B58"/>
    <w:rsid w:val="00C8098A"/>
    <w:rsid w:val="00C834D3"/>
    <w:rsid w:val="00C96195"/>
    <w:rsid w:val="00CA3023"/>
    <w:rsid w:val="00CD2320"/>
    <w:rsid w:val="00CF4470"/>
    <w:rsid w:val="00D04DD5"/>
    <w:rsid w:val="00D04EB4"/>
    <w:rsid w:val="00D14616"/>
    <w:rsid w:val="00D20BAC"/>
    <w:rsid w:val="00D4060F"/>
    <w:rsid w:val="00D46FCB"/>
    <w:rsid w:val="00D51FBF"/>
    <w:rsid w:val="00D53094"/>
    <w:rsid w:val="00D55D55"/>
    <w:rsid w:val="00D81F23"/>
    <w:rsid w:val="00D87960"/>
    <w:rsid w:val="00D976F8"/>
    <w:rsid w:val="00DA633C"/>
    <w:rsid w:val="00DA6385"/>
    <w:rsid w:val="00DB0730"/>
    <w:rsid w:val="00DB0F78"/>
    <w:rsid w:val="00DC141B"/>
    <w:rsid w:val="00DC165B"/>
    <w:rsid w:val="00DC23C6"/>
    <w:rsid w:val="00DE48D4"/>
    <w:rsid w:val="00E15F1D"/>
    <w:rsid w:val="00E1766A"/>
    <w:rsid w:val="00E21FA2"/>
    <w:rsid w:val="00E225A3"/>
    <w:rsid w:val="00E256E0"/>
    <w:rsid w:val="00E3485A"/>
    <w:rsid w:val="00E354B6"/>
    <w:rsid w:val="00E4037D"/>
    <w:rsid w:val="00E4194E"/>
    <w:rsid w:val="00E42316"/>
    <w:rsid w:val="00E45645"/>
    <w:rsid w:val="00E52B54"/>
    <w:rsid w:val="00E70DA3"/>
    <w:rsid w:val="00E71661"/>
    <w:rsid w:val="00E82DB7"/>
    <w:rsid w:val="00E87BF7"/>
    <w:rsid w:val="00E90459"/>
    <w:rsid w:val="00E91DD4"/>
    <w:rsid w:val="00E943CD"/>
    <w:rsid w:val="00E9715D"/>
    <w:rsid w:val="00EA3F06"/>
    <w:rsid w:val="00EA702E"/>
    <w:rsid w:val="00EB02C7"/>
    <w:rsid w:val="00EB4622"/>
    <w:rsid w:val="00EB6275"/>
    <w:rsid w:val="00EC4128"/>
    <w:rsid w:val="00ED6A48"/>
    <w:rsid w:val="00EE72E3"/>
    <w:rsid w:val="00EF54F3"/>
    <w:rsid w:val="00EF6E60"/>
    <w:rsid w:val="00F02188"/>
    <w:rsid w:val="00F04B3C"/>
    <w:rsid w:val="00F202A5"/>
    <w:rsid w:val="00F2464E"/>
    <w:rsid w:val="00F410B8"/>
    <w:rsid w:val="00F5306F"/>
    <w:rsid w:val="00F56CAF"/>
    <w:rsid w:val="00F62CE9"/>
    <w:rsid w:val="00F84373"/>
    <w:rsid w:val="00F9127B"/>
    <w:rsid w:val="00F943B6"/>
    <w:rsid w:val="00FC0E3E"/>
    <w:rsid w:val="00FC4FDE"/>
    <w:rsid w:val="00FC6C70"/>
    <w:rsid w:val="00FC6F26"/>
    <w:rsid w:val="00FD38CB"/>
    <w:rsid w:val="00FD514A"/>
    <w:rsid w:val="00FF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44B845"/>
  <w15:docId w15:val="{2DC33051-EE5E-4A1F-803C-9320382CF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683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6831"/>
    <w:pPr>
      <w:tabs>
        <w:tab w:val="center" w:pos="4153"/>
        <w:tab w:val="right" w:pos="8306"/>
      </w:tabs>
    </w:pPr>
  </w:style>
  <w:style w:type="paragraph" w:customStyle="1" w:styleId="NumberedText">
    <w:name w:val="Numbered Text"/>
    <w:basedOn w:val="Normal"/>
    <w:rsid w:val="00776831"/>
    <w:pPr>
      <w:numPr>
        <w:numId w:val="1"/>
      </w:numPr>
      <w:spacing w:after="120"/>
      <w:jc w:val="both"/>
    </w:pPr>
    <w:rPr>
      <w:szCs w:val="20"/>
    </w:rPr>
  </w:style>
  <w:style w:type="paragraph" w:styleId="Footer">
    <w:name w:val="footer"/>
    <w:basedOn w:val="Normal"/>
    <w:rsid w:val="00776831"/>
    <w:pPr>
      <w:tabs>
        <w:tab w:val="center" w:pos="4153"/>
        <w:tab w:val="right" w:pos="8306"/>
      </w:tabs>
    </w:pPr>
  </w:style>
  <w:style w:type="paragraph" w:customStyle="1" w:styleId="Parah0number">
    <w:name w:val="Parah 0 number"/>
    <w:basedOn w:val="Normal"/>
    <w:rsid w:val="0052535F"/>
    <w:pPr>
      <w:numPr>
        <w:numId w:val="33"/>
      </w:numPr>
      <w:spacing w:after="60"/>
    </w:pPr>
    <w:rPr>
      <w:rFonts w:ascii="Arial" w:hAnsi="Arial"/>
      <w:sz w:val="22"/>
      <w:szCs w:val="22"/>
      <w:lang w:eastAsia="en-US"/>
    </w:rPr>
  </w:style>
  <w:style w:type="paragraph" w:styleId="BalloonText">
    <w:name w:val="Balloon Text"/>
    <w:basedOn w:val="Normal"/>
    <w:semiHidden/>
    <w:rsid w:val="00C4316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B73B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B73B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73B00"/>
  </w:style>
  <w:style w:type="paragraph" w:styleId="CommentSubject">
    <w:name w:val="annotation subject"/>
    <w:basedOn w:val="CommentText"/>
    <w:next w:val="CommentText"/>
    <w:link w:val="CommentSubjectChar"/>
    <w:rsid w:val="00B73B00"/>
    <w:rPr>
      <w:b/>
      <w:bCs/>
    </w:rPr>
  </w:style>
  <w:style w:type="character" w:customStyle="1" w:styleId="CommentSubjectChar">
    <w:name w:val="Comment Subject Char"/>
    <w:link w:val="CommentSubject"/>
    <w:rsid w:val="00B73B00"/>
    <w:rPr>
      <w:b/>
      <w:bCs/>
    </w:rPr>
  </w:style>
  <w:style w:type="character" w:customStyle="1" w:styleId="normaltextrun1">
    <w:name w:val="normaltextrun1"/>
    <w:rsid w:val="00954D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1AF39E995DF744AE1E0BF570A457EC" ma:contentTypeVersion="13" ma:contentTypeDescription="Create a new document." ma:contentTypeScope="" ma:versionID="1aec83198258f60559d5e62bd6e77727">
  <xsd:schema xmlns:xsd="http://www.w3.org/2001/XMLSchema" xmlns:xs="http://www.w3.org/2001/XMLSchema" xmlns:p="http://schemas.microsoft.com/office/2006/metadata/properties" xmlns:ns3="a5f32de4-e402-4188-b034-e71ca7d22e54" xmlns:ns4="12479d3f-626c-4678-8b26-9ad4ef67db15" xmlns:ns5="6c5c1f30-f548-4a79-9734-ea32958c65fd" targetNamespace="http://schemas.microsoft.com/office/2006/metadata/properties" ma:root="true" ma:fieldsID="843a672d8c4ce78fa0343271ebb76041" ns3:_="" ns4:_="" ns5:_="">
    <xsd:import namespace="a5f32de4-e402-4188-b034-e71ca7d22e54"/>
    <xsd:import namespace="12479d3f-626c-4678-8b26-9ad4ef67db15"/>
    <xsd:import namespace="6c5c1f30-f548-4a79-9734-ea32958c65fd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479d3f-626c-4678-8b26-9ad4ef67db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5c1f30-f548-4a79-9734-ea32958c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797aeec6-0273-40f2-ab3e-beee73212332" ContentTypeId="0x0101" PreviousValue="false"/>
</file>

<file path=customXml/item4.xml><?xml version="1.0" encoding="utf-8"?>
<?mso-contentType ?>
<spe:Receivers xmlns:spe="http://schemas.microsoft.com/sharepoint/event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6086C3-531D-4B66-A57A-655F8B2443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A3459B-7015-49E1-904E-D6B05CFE76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12479d3f-626c-4678-8b26-9ad4ef67db15"/>
    <ds:schemaRef ds:uri="6c5c1f30-f548-4a79-9734-ea32958c65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81B3EC-7C7B-43FD-A452-FFB815689C9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7005A06A-0351-43C0-B68B-42C1CF0E78FD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3E8BFD8-2FE1-4578-81FC-BAB5F6FC4F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2</vt:lpstr>
    </vt:vector>
  </TitlesOfParts>
  <Company>DSEDPI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2</dc:title>
  <dc:subject/>
  <dc:creator>mk43</dc:creator>
  <cp:keywords/>
  <cp:lastModifiedBy>Sarah M Burger (DELWP)</cp:lastModifiedBy>
  <cp:revision>12</cp:revision>
  <cp:lastPrinted>2016-11-17T23:24:00Z</cp:lastPrinted>
  <dcterms:created xsi:type="dcterms:W3CDTF">2019-08-21T23:03:00Z</dcterms:created>
  <dcterms:modified xsi:type="dcterms:W3CDTF">2019-09-11T00:51:00Z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0x0101005F1AF39E995DF744AE1E0BF570A457EC</vt:lpwstr>
  </property>
</Properties>
</file>