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38" w:rsidRPr="00472E49" w:rsidRDefault="00F36F38" w:rsidP="00472E49">
      <w:pPr>
        <w:rPr>
          <w:b/>
          <w:sz w:val="20"/>
          <w:szCs w:val="20"/>
          <w:u w:val="single"/>
          <w:lang w:eastAsia="en-US"/>
        </w:rPr>
      </w:pPr>
      <w:r w:rsidRPr="00F079DB">
        <w:rPr>
          <w:rFonts w:ascii="Tahoma" w:hAnsi="Tahoma" w:cs="Tahoma"/>
          <w:b/>
          <w:sz w:val="18"/>
          <w:szCs w:val="20"/>
          <w:u w:val="single"/>
          <w:lang w:eastAsia="en-US"/>
        </w:rPr>
        <w:t>Attachment 2</w:t>
      </w:r>
      <w:r w:rsidRPr="00F079DB">
        <w:rPr>
          <w:rFonts w:ascii="Tahoma" w:hAnsi="Tahoma" w:cs="Tahoma"/>
          <w:b/>
          <w:sz w:val="18"/>
          <w:szCs w:val="20"/>
          <w:lang w:eastAsia="en-US"/>
        </w:rPr>
        <w:t xml:space="preserve">          </w:t>
      </w:r>
    </w:p>
    <w:p w:rsidR="00F36F38" w:rsidRPr="00F079DB" w:rsidRDefault="00F36F38" w:rsidP="00F36F38">
      <w:pPr>
        <w:keepNext/>
        <w:jc w:val="center"/>
        <w:outlineLvl w:val="0"/>
        <w:rPr>
          <w:rFonts w:ascii="Tahoma" w:hAnsi="Tahoma" w:cs="Tahoma"/>
          <w:b/>
          <w:bCs/>
          <w:sz w:val="22"/>
          <w:lang w:eastAsia="en-US"/>
        </w:rPr>
      </w:pPr>
      <w:r w:rsidRPr="00F079DB">
        <w:rPr>
          <w:rFonts w:ascii="Tahoma" w:hAnsi="Tahoma" w:cs="Tahoma"/>
          <w:b/>
          <w:bCs/>
          <w:sz w:val="22"/>
          <w:lang w:eastAsia="en-US"/>
        </w:rPr>
        <w:t>For Public Notice via Internet</w:t>
      </w:r>
    </w:p>
    <w:p w:rsidR="00F36F38" w:rsidRPr="008116B7" w:rsidRDefault="00F36F38" w:rsidP="00F36F38">
      <w:pPr>
        <w:jc w:val="center"/>
        <w:rPr>
          <w:rFonts w:ascii="Tahoma" w:hAnsi="Tahoma" w:cs="Tahoma"/>
          <w:b/>
          <w:szCs w:val="20"/>
          <w:lang w:eastAsia="en-US"/>
        </w:rPr>
      </w:pPr>
    </w:p>
    <w:p w:rsidR="00F36F38" w:rsidRPr="008116B7" w:rsidRDefault="00F36F38" w:rsidP="00F36F38">
      <w:pPr>
        <w:rPr>
          <w:rFonts w:ascii="Tahoma" w:hAnsi="Tahoma" w:cs="Tahoma"/>
          <w:b/>
          <w:szCs w:val="20"/>
          <w:lang w:eastAsia="en-US"/>
        </w:rPr>
      </w:pPr>
    </w:p>
    <w:p w:rsidR="00F36F38" w:rsidRPr="00F079DB" w:rsidRDefault="00F36F38" w:rsidP="00F36F38">
      <w:pPr>
        <w:rPr>
          <w:rFonts w:ascii="Tahoma" w:hAnsi="Tahoma" w:cs="Tahoma"/>
          <w:b/>
          <w:i/>
          <w:sz w:val="22"/>
          <w:szCs w:val="20"/>
          <w:lang w:eastAsia="en-US"/>
        </w:rPr>
      </w:pPr>
      <w:r w:rsidRPr="00F079DB">
        <w:rPr>
          <w:rFonts w:ascii="Tahoma" w:hAnsi="Tahoma" w:cs="Tahoma"/>
          <w:b/>
          <w:sz w:val="22"/>
          <w:szCs w:val="20"/>
          <w:lang w:eastAsia="en-US"/>
        </w:rPr>
        <w:t xml:space="preserve">REASONS FOR DECISION UNDER </w:t>
      </w:r>
      <w:r w:rsidRPr="00F079DB">
        <w:rPr>
          <w:rFonts w:ascii="Tahoma" w:hAnsi="Tahoma" w:cs="Tahoma"/>
          <w:b/>
          <w:i/>
          <w:sz w:val="22"/>
          <w:szCs w:val="20"/>
          <w:lang w:eastAsia="en-US"/>
        </w:rPr>
        <w:t>ENVIRONMENT EFFECTS ACT 1978</w:t>
      </w:r>
    </w:p>
    <w:p w:rsidR="00F36F38" w:rsidRPr="00F079DB" w:rsidRDefault="00F36F38" w:rsidP="00F36F38">
      <w:pPr>
        <w:rPr>
          <w:rFonts w:ascii="Tahoma" w:hAnsi="Tahoma" w:cs="Tahoma"/>
          <w:b/>
          <w:i/>
          <w:sz w:val="22"/>
          <w:szCs w:val="20"/>
          <w:lang w:eastAsia="en-US"/>
        </w:rPr>
      </w:pPr>
    </w:p>
    <w:p w:rsidR="00F36F38" w:rsidRPr="008116B7" w:rsidRDefault="00F36F38" w:rsidP="00F36F38">
      <w:pPr>
        <w:rPr>
          <w:rFonts w:ascii="Tahoma" w:hAnsi="Tahoma" w:cs="Tahoma"/>
          <w:b/>
          <w:szCs w:val="20"/>
          <w:lang w:eastAsia="en-US"/>
        </w:rPr>
      </w:pPr>
    </w:p>
    <w:p w:rsidR="00F36F38" w:rsidRPr="00F079DB" w:rsidRDefault="00F36F38" w:rsidP="00F36F38">
      <w:pPr>
        <w:ind w:left="2880" w:hanging="2880"/>
        <w:rPr>
          <w:rFonts w:ascii="Tahoma" w:hAnsi="Tahoma" w:cs="Tahoma"/>
          <w:b/>
          <w:sz w:val="22"/>
          <w:szCs w:val="22"/>
          <w:lang w:eastAsia="en-US"/>
        </w:rPr>
      </w:pPr>
      <w:r w:rsidRPr="00F079DB">
        <w:rPr>
          <w:rFonts w:ascii="Tahoma" w:hAnsi="Tahoma" w:cs="Tahoma"/>
          <w:b/>
          <w:sz w:val="22"/>
          <w:szCs w:val="22"/>
          <w:lang w:eastAsia="en-US"/>
        </w:rPr>
        <w:t>Title of Proposal:</w:t>
      </w:r>
      <w:r w:rsidRPr="00F079DB">
        <w:rPr>
          <w:rFonts w:ascii="Tahoma" w:hAnsi="Tahoma" w:cs="Tahoma"/>
          <w:b/>
          <w:sz w:val="22"/>
          <w:szCs w:val="22"/>
          <w:lang w:eastAsia="en-US"/>
        </w:rPr>
        <w:tab/>
      </w:r>
      <w:r w:rsidR="004C3951">
        <w:rPr>
          <w:rFonts w:ascii="Tahoma" w:hAnsi="Tahoma" w:cs="Tahoma"/>
          <w:b/>
          <w:sz w:val="22"/>
          <w:szCs w:val="22"/>
          <w:lang w:eastAsia="en-US"/>
        </w:rPr>
        <w:t>Ballarat Line Upgrade</w:t>
      </w:r>
    </w:p>
    <w:p w:rsidR="00F36F38" w:rsidRPr="00F079DB" w:rsidRDefault="00F36F38" w:rsidP="00F36F38">
      <w:pPr>
        <w:rPr>
          <w:rFonts w:ascii="Tahoma" w:hAnsi="Tahoma" w:cs="Tahoma"/>
          <w:b/>
          <w:sz w:val="22"/>
          <w:szCs w:val="22"/>
          <w:lang w:eastAsia="en-US"/>
        </w:rPr>
      </w:pPr>
    </w:p>
    <w:p w:rsidR="00F36F38" w:rsidRPr="00F079DB" w:rsidRDefault="00F36F38" w:rsidP="00F36F38">
      <w:pPr>
        <w:ind w:left="2880" w:hanging="2880"/>
        <w:rPr>
          <w:rFonts w:ascii="Tahoma" w:hAnsi="Tahoma" w:cs="Tahoma"/>
          <w:b/>
          <w:sz w:val="22"/>
          <w:szCs w:val="22"/>
          <w:lang w:eastAsia="en-US"/>
        </w:rPr>
      </w:pPr>
      <w:r w:rsidRPr="00F079DB">
        <w:rPr>
          <w:rFonts w:ascii="Tahoma" w:hAnsi="Tahoma" w:cs="Tahoma"/>
          <w:b/>
          <w:sz w:val="22"/>
          <w:szCs w:val="22"/>
          <w:lang w:eastAsia="en-US"/>
        </w:rPr>
        <w:t>Proponent:</w:t>
      </w:r>
      <w:r w:rsidRPr="00F079DB">
        <w:rPr>
          <w:rFonts w:ascii="Tahoma" w:hAnsi="Tahoma" w:cs="Tahoma"/>
          <w:b/>
          <w:sz w:val="22"/>
          <w:szCs w:val="22"/>
          <w:lang w:eastAsia="en-US"/>
        </w:rPr>
        <w:tab/>
      </w:r>
      <w:r w:rsidR="004F36A9">
        <w:rPr>
          <w:rFonts w:ascii="Tahoma" w:hAnsi="Tahoma" w:cs="Tahoma"/>
          <w:b/>
          <w:sz w:val="22"/>
          <w:szCs w:val="22"/>
          <w:lang w:eastAsia="en-US"/>
        </w:rPr>
        <w:t>Melbourne Metro Rail Authority</w:t>
      </w:r>
    </w:p>
    <w:p w:rsidR="00F36F38" w:rsidRPr="00F079DB" w:rsidRDefault="00F36F38" w:rsidP="00F36F38">
      <w:pPr>
        <w:rPr>
          <w:rFonts w:ascii="Tahoma" w:hAnsi="Tahoma" w:cs="Tahoma"/>
          <w:b/>
          <w:sz w:val="22"/>
          <w:szCs w:val="22"/>
          <w:lang w:eastAsia="en-US"/>
        </w:rPr>
      </w:pPr>
    </w:p>
    <w:p w:rsidR="00F36F38" w:rsidRDefault="00F36F38" w:rsidP="00F36F38">
      <w:pPr>
        <w:rPr>
          <w:rFonts w:ascii="Tahoma" w:hAnsi="Tahoma" w:cs="Tahoma"/>
          <w:b/>
          <w:sz w:val="22"/>
          <w:szCs w:val="22"/>
          <w:lang w:eastAsia="en-US"/>
        </w:rPr>
      </w:pPr>
    </w:p>
    <w:p w:rsidR="00F36F38" w:rsidRPr="00F079DB" w:rsidRDefault="00F36F38" w:rsidP="00F36F38">
      <w:pPr>
        <w:rPr>
          <w:rFonts w:ascii="Tahoma" w:hAnsi="Tahoma" w:cs="Tahoma"/>
          <w:b/>
          <w:sz w:val="22"/>
          <w:szCs w:val="22"/>
          <w:lang w:eastAsia="en-US"/>
        </w:rPr>
      </w:pPr>
      <w:r w:rsidRPr="00F079DB">
        <w:rPr>
          <w:rFonts w:ascii="Tahoma" w:hAnsi="Tahoma" w:cs="Tahoma"/>
          <w:b/>
          <w:sz w:val="22"/>
          <w:szCs w:val="22"/>
          <w:lang w:eastAsia="en-US"/>
        </w:rPr>
        <w:t>Description of Project:</w:t>
      </w:r>
      <w:r w:rsidRPr="00F079DB">
        <w:rPr>
          <w:rFonts w:ascii="Tahoma" w:hAnsi="Tahoma" w:cs="Tahoma"/>
          <w:b/>
          <w:sz w:val="22"/>
          <w:szCs w:val="22"/>
          <w:lang w:eastAsia="en-US"/>
        </w:rPr>
        <w:tab/>
      </w:r>
    </w:p>
    <w:p w:rsidR="00CE5A35" w:rsidRPr="00CE5A35" w:rsidRDefault="00CE5A35" w:rsidP="00CE5A35">
      <w:pPr>
        <w:spacing w:before="180"/>
        <w:jc w:val="both"/>
        <w:rPr>
          <w:rFonts w:ascii="Tahoma" w:hAnsi="Tahoma" w:cs="Tahoma"/>
          <w:sz w:val="22"/>
          <w:szCs w:val="22"/>
        </w:rPr>
      </w:pPr>
      <w:r w:rsidRPr="00CE5A35">
        <w:rPr>
          <w:rFonts w:ascii="Tahoma" w:hAnsi="Tahoma" w:cs="Tahoma"/>
          <w:sz w:val="22"/>
          <w:szCs w:val="22"/>
        </w:rPr>
        <w:t>The Ballarat Line Upgrade (BLU) comprises a series of rail and station upgrades to the existing Ballarat railway line between Deer Park West, in Melbourne’s outer western suburbs and Warrenheip, outside Ballarat to improve transport services. The rail and station upgrades involve the duplication of track and the installation of passing loops, station upgrades, new stabling facilities and associated works, in particular:</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Duplication of approximately 18km of track between Deer Park West and Melton</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Installation of passing loops at Ballan and Spreadeagle</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Station upgrades at Rockbank, Bacchus Marsh and Ballan</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 xml:space="preserve">New stabling facilities at </w:t>
      </w:r>
      <w:proofErr w:type="spellStart"/>
      <w:r w:rsidRPr="00CE5A35">
        <w:rPr>
          <w:rFonts w:ascii="Tahoma" w:hAnsi="Tahoma" w:cs="Tahoma"/>
          <w:sz w:val="22"/>
          <w:szCs w:val="22"/>
        </w:rPr>
        <w:t>Maddingley</w:t>
      </w:r>
      <w:proofErr w:type="spellEnd"/>
      <w:r w:rsidRPr="00CE5A35">
        <w:rPr>
          <w:rFonts w:ascii="Tahoma" w:hAnsi="Tahoma" w:cs="Tahoma"/>
          <w:sz w:val="22"/>
          <w:szCs w:val="22"/>
        </w:rPr>
        <w:t xml:space="preserve"> (</w:t>
      </w:r>
      <w:proofErr w:type="spellStart"/>
      <w:r w:rsidRPr="00CE5A35">
        <w:rPr>
          <w:rFonts w:ascii="Tahoma" w:hAnsi="Tahoma" w:cs="Tahoma"/>
          <w:sz w:val="22"/>
          <w:szCs w:val="22"/>
        </w:rPr>
        <w:t>Kerrs</w:t>
      </w:r>
      <w:proofErr w:type="spellEnd"/>
      <w:r w:rsidRPr="00CE5A35">
        <w:rPr>
          <w:rFonts w:ascii="Tahoma" w:hAnsi="Tahoma" w:cs="Tahoma"/>
          <w:sz w:val="22"/>
          <w:szCs w:val="22"/>
        </w:rPr>
        <w:t xml:space="preserve"> Road)</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Decommissioning of the Bungaree loop</w:t>
      </w:r>
    </w:p>
    <w:p w:rsidR="00CE5A35" w:rsidRPr="00CE5A35" w:rsidRDefault="00CE5A35" w:rsidP="00CE5A35">
      <w:pPr>
        <w:pStyle w:val="ListParagraph"/>
        <w:numPr>
          <w:ilvl w:val="0"/>
          <w:numId w:val="25"/>
        </w:numPr>
        <w:spacing w:before="180"/>
        <w:jc w:val="both"/>
        <w:rPr>
          <w:rFonts w:ascii="Tahoma" w:hAnsi="Tahoma" w:cs="Tahoma"/>
          <w:sz w:val="22"/>
          <w:szCs w:val="22"/>
        </w:rPr>
      </w:pPr>
      <w:r w:rsidRPr="00CE5A35">
        <w:rPr>
          <w:rFonts w:ascii="Tahoma" w:hAnsi="Tahoma" w:cs="Tahoma"/>
          <w:sz w:val="22"/>
          <w:szCs w:val="22"/>
        </w:rPr>
        <w:t>Duplication of approximately 3 km of the track at Warrenheip.</w:t>
      </w:r>
    </w:p>
    <w:p w:rsidR="00CE5A35" w:rsidRDefault="00CE5A35" w:rsidP="00CE5A35">
      <w:pPr>
        <w:spacing w:before="180"/>
        <w:jc w:val="both"/>
        <w:rPr>
          <w:rFonts w:ascii="Tahoma" w:hAnsi="Tahoma" w:cs="Tahoma"/>
          <w:sz w:val="22"/>
          <w:szCs w:val="22"/>
        </w:rPr>
      </w:pPr>
    </w:p>
    <w:p w:rsidR="00F36F38" w:rsidRPr="006079FC" w:rsidRDefault="00F36F38" w:rsidP="00F36F38">
      <w:pPr>
        <w:rPr>
          <w:rFonts w:ascii="Tahoma" w:hAnsi="Tahoma" w:cs="Tahoma"/>
          <w:b/>
          <w:sz w:val="22"/>
          <w:szCs w:val="22"/>
          <w:lang w:eastAsia="en-US"/>
        </w:rPr>
      </w:pPr>
      <w:r w:rsidRPr="006079FC">
        <w:rPr>
          <w:rFonts w:ascii="Tahoma" w:hAnsi="Tahoma" w:cs="Tahoma"/>
          <w:b/>
          <w:sz w:val="22"/>
          <w:szCs w:val="22"/>
          <w:lang w:eastAsia="en-US"/>
        </w:rPr>
        <w:t>Decision:</w:t>
      </w:r>
    </w:p>
    <w:p w:rsidR="00F36F38" w:rsidRPr="006079FC" w:rsidRDefault="00F36F38" w:rsidP="00F36F38">
      <w:pPr>
        <w:spacing w:before="120"/>
        <w:jc w:val="both"/>
        <w:rPr>
          <w:rFonts w:ascii="Tahoma" w:hAnsi="Tahoma" w:cs="Tahoma"/>
          <w:sz w:val="22"/>
          <w:szCs w:val="22"/>
          <w:lang w:eastAsia="en-US"/>
        </w:rPr>
      </w:pPr>
      <w:r w:rsidRPr="006079FC">
        <w:rPr>
          <w:rFonts w:ascii="Tahoma" w:hAnsi="Tahoma" w:cs="Tahoma"/>
          <w:sz w:val="22"/>
          <w:szCs w:val="22"/>
          <w:lang w:eastAsia="en-US"/>
        </w:rPr>
        <w:t xml:space="preserve">The Minister for Planning has decided that an Environment Effects Statement (EES) </w:t>
      </w:r>
      <w:r w:rsidR="005D2E4B" w:rsidRPr="006079FC">
        <w:rPr>
          <w:rFonts w:ascii="Tahoma" w:hAnsi="Tahoma" w:cs="Tahoma"/>
          <w:sz w:val="22"/>
          <w:szCs w:val="22"/>
          <w:u w:val="single"/>
          <w:lang w:eastAsia="en-US"/>
        </w:rPr>
        <w:t xml:space="preserve">is </w:t>
      </w:r>
      <w:r w:rsidRPr="006079FC">
        <w:rPr>
          <w:rFonts w:ascii="Tahoma" w:hAnsi="Tahoma" w:cs="Tahoma"/>
          <w:sz w:val="22"/>
          <w:szCs w:val="22"/>
          <w:u w:val="single"/>
          <w:lang w:eastAsia="en-US"/>
        </w:rPr>
        <w:t>not required</w:t>
      </w:r>
      <w:r w:rsidRPr="006079FC">
        <w:rPr>
          <w:rFonts w:ascii="Tahoma" w:hAnsi="Tahoma" w:cs="Tahoma"/>
          <w:sz w:val="22"/>
          <w:szCs w:val="22"/>
          <w:lang w:eastAsia="en-US"/>
        </w:rPr>
        <w:t xml:space="preserve"> for the </w:t>
      </w:r>
      <w:r w:rsidR="00CE5A35" w:rsidRPr="00CE5A35">
        <w:rPr>
          <w:rFonts w:ascii="Tahoma" w:hAnsi="Tahoma" w:cs="Tahoma"/>
          <w:sz w:val="22"/>
          <w:szCs w:val="22"/>
        </w:rPr>
        <w:t xml:space="preserve">Ballarat Line Upgrade </w:t>
      </w:r>
      <w:r w:rsidR="005D2E4B" w:rsidRPr="006079FC">
        <w:rPr>
          <w:rFonts w:ascii="Tahoma" w:hAnsi="Tahoma" w:cs="Tahoma"/>
          <w:sz w:val="22"/>
          <w:szCs w:val="22"/>
          <w:lang w:eastAsia="en-US"/>
        </w:rPr>
        <w:t>project,</w:t>
      </w:r>
      <w:r w:rsidRPr="006079FC">
        <w:rPr>
          <w:rFonts w:ascii="Tahoma" w:hAnsi="Tahoma" w:cs="Tahoma"/>
          <w:sz w:val="22"/>
          <w:szCs w:val="22"/>
          <w:lang w:eastAsia="en-US"/>
        </w:rPr>
        <w:t xml:space="preserve"> as described in the referral accepted on </w:t>
      </w:r>
      <w:r w:rsidR="003C4016" w:rsidRPr="003C4016">
        <w:rPr>
          <w:rFonts w:ascii="Tahoma" w:hAnsi="Tahoma" w:cs="Tahoma"/>
          <w:sz w:val="22"/>
          <w:szCs w:val="22"/>
          <w:lang w:eastAsia="en-US"/>
        </w:rPr>
        <w:t>21</w:t>
      </w:r>
      <w:r w:rsidR="003C4016" w:rsidRPr="003C4016">
        <w:rPr>
          <w:rFonts w:ascii="Tahoma" w:hAnsi="Tahoma" w:cs="Tahoma"/>
          <w:sz w:val="22"/>
          <w:szCs w:val="22"/>
          <w:vertAlign w:val="superscript"/>
          <w:lang w:eastAsia="en-US"/>
        </w:rPr>
        <w:t>st</w:t>
      </w:r>
      <w:r w:rsidR="003C4016" w:rsidRPr="003C4016">
        <w:rPr>
          <w:rFonts w:ascii="Tahoma" w:hAnsi="Tahoma" w:cs="Tahoma"/>
          <w:sz w:val="22"/>
          <w:szCs w:val="22"/>
          <w:lang w:eastAsia="en-US"/>
        </w:rPr>
        <w:t xml:space="preserve"> July</w:t>
      </w:r>
      <w:r w:rsidR="00CE5A35" w:rsidRPr="003C4016">
        <w:rPr>
          <w:rFonts w:ascii="Tahoma" w:hAnsi="Tahoma" w:cs="Tahoma"/>
          <w:sz w:val="22"/>
          <w:szCs w:val="22"/>
          <w:lang w:eastAsia="en-US"/>
        </w:rPr>
        <w:t xml:space="preserve"> 2017</w:t>
      </w:r>
      <w:r w:rsidRPr="003C4016">
        <w:rPr>
          <w:rFonts w:ascii="Tahoma" w:hAnsi="Tahoma" w:cs="Tahoma"/>
          <w:sz w:val="22"/>
          <w:szCs w:val="22"/>
          <w:lang w:eastAsia="en-US"/>
        </w:rPr>
        <w:t>,</w:t>
      </w:r>
      <w:r w:rsidRPr="006079FC">
        <w:rPr>
          <w:rFonts w:ascii="Tahoma" w:hAnsi="Tahoma" w:cs="Tahoma"/>
          <w:sz w:val="22"/>
          <w:szCs w:val="22"/>
          <w:lang w:eastAsia="en-US"/>
        </w:rPr>
        <w:t xml:space="preserve"> </w:t>
      </w:r>
      <w:r w:rsidRPr="006079FC">
        <w:rPr>
          <w:rFonts w:ascii="Tahoma" w:hAnsi="Tahoma" w:cs="Tahoma"/>
          <w:sz w:val="22"/>
          <w:szCs w:val="22"/>
          <w:u w:val="single"/>
          <w:lang w:eastAsia="en-US"/>
        </w:rPr>
        <w:t>subject to the following condition</w:t>
      </w:r>
      <w:r w:rsidRPr="006079FC">
        <w:rPr>
          <w:rFonts w:ascii="Tahoma" w:hAnsi="Tahoma" w:cs="Tahoma"/>
          <w:sz w:val="22"/>
          <w:szCs w:val="22"/>
          <w:lang w:eastAsia="en-US"/>
        </w:rPr>
        <w:t xml:space="preserve">: </w:t>
      </w:r>
    </w:p>
    <w:p w:rsidR="00F857E2" w:rsidRPr="006A54AE" w:rsidRDefault="00B83196" w:rsidP="00B83196">
      <w:pPr>
        <w:pStyle w:val="ListParagraph"/>
        <w:numPr>
          <w:ilvl w:val="0"/>
          <w:numId w:val="26"/>
        </w:numPr>
        <w:spacing w:before="120"/>
        <w:jc w:val="both"/>
        <w:rPr>
          <w:rFonts w:ascii="Tahoma" w:hAnsi="Tahoma" w:cs="Tahoma"/>
          <w:sz w:val="22"/>
          <w:szCs w:val="22"/>
          <w:lang w:eastAsia="en-US"/>
        </w:rPr>
      </w:pPr>
      <w:r w:rsidRPr="006A54AE">
        <w:rPr>
          <w:rFonts w:ascii="Tahoma" w:hAnsi="Tahoma" w:cs="Tahoma"/>
          <w:sz w:val="22"/>
          <w:szCs w:val="22"/>
          <w:lang w:eastAsia="en-US"/>
        </w:rPr>
        <w:t>An Environment</w:t>
      </w:r>
      <w:r w:rsidR="00FD12F1">
        <w:rPr>
          <w:rFonts w:ascii="Tahoma" w:hAnsi="Tahoma" w:cs="Tahoma"/>
          <w:sz w:val="22"/>
          <w:szCs w:val="22"/>
          <w:lang w:eastAsia="en-US"/>
        </w:rPr>
        <w:t>al</w:t>
      </w:r>
      <w:r w:rsidRPr="006A54AE">
        <w:rPr>
          <w:rFonts w:ascii="Tahoma" w:hAnsi="Tahoma" w:cs="Tahoma"/>
          <w:sz w:val="22"/>
          <w:szCs w:val="22"/>
          <w:lang w:eastAsia="en-US"/>
        </w:rPr>
        <w:t xml:space="preserve"> Management Framework </w:t>
      </w:r>
      <w:r w:rsidR="006A54AE" w:rsidRPr="006A54AE">
        <w:rPr>
          <w:rFonts w:ascii="Tahoma" w:hAnsi="Tahoma" w:cs="Tahoma"/>
          <w:sz w:val="22"/>
          <w:szCs w:val="22"/>
          <w:lang w:eastAsia="en-US"/>
        </w:rPr>
        <w:t xml:space="preserve">is to </w:t>
      </w:r>
      <w:r w:rsidRPr="006A54AE">
        <w:rPr>
          <w:rFonts w:ascii="Tahoma" w:hAnsi="Tahoma" w:cs="Tahoma"/>
          <w:sz w:val="22"/>
          <w:szCs w:val="22"/>
          <w:lang w:eastAsia="en-US"/>
        </w:rPr>
        <w:t>be prepared to the satisfaction of the Minister for Planning</w:t>
      </w:r>
      <w:r w:rsidR="007B79D7" w:rsidRPr="006A54AE">
        <w:rPr>
          <w:rFonts w:ascii="Tahoma" w:hAnsi="Tahoma" w:cs="Tahoma"/>
          <w:sz w:val="22"/>
          <w:szCs w:val="22"/>
          <w:lang w:eastAsia="en-US"/>
        </w:rPr>
        <w:t xml:space="preserve">, </w:t>
      </w:r>
      <w:r w:rsidR="006140CA" w:rsidRPr="006A54AE">
        <w:rPr>
          <w:rFonts w:ascii="Tahoma" w:hAnsi="Tahoma" w:cs="Tahoma"/>
          <w:sz w:val="22"/>
          <w:szCs w:val="22"/>
          <w:lang w:eastAsia="en-US"/>
        </w:rPr>
        <w:t>that incorporates</w:t>
      </w:r>
      <w:r w:rsidR="00EB1F67" w:rsidRPr="006A54AE">
        <w:rPr>
          <w:rFonts w:ascii="Tahoma" w:hAnsi="Tahoma" w:cs="Tahoma"/>
          <w:sz w:val="22"/>
          <w:szCs w:val="22"/>
          <w:lang w:eastAsia="en-US"/>
        </w:rPr>
        <w:t xml:space="preserve"> Environmental Performance Requirements </w:t>
      </w:r>
      <w:r w:rsidR="006140CA" w:rsidRPr="006A54AE">
        <w:rPr>
          <w:rFonts w:ascii="Tahoma" w:hAnsi="Tahoma" w:cs="Tahoma"/>
          <w:sz w:val="22"/>
          <w:szCs w:val="22"/>
          <w:lang w:eastAsia="en-US"/>
        </w:rPr>
        <w:t xml:space="preserve">that define the </w:t>
      </w:r>
      <w:r w:rsidR="004C0A0E">
        <w:rPr>
          <w:rFonts w:ascii="Tahoma" w:hAnsi="Tahoma" w:cs="Tahoma"/>
          <w:sz w:val="22"/>
          <w:szCs w:val="22"/>
          <w:lang w:eastAsia="en-US"/>
        </w:rPr>
        <w:t>outcomes</w:t>
      </w:r>
      <w:r w:rsidR="006140CA" w:rsidRPr="006A54AE">
        <w:rPr>
          <w:rFonts w:ascii="Tahoma" w:hAnsi="Tahoma" w:cs="Tahoma"/>
          <w:sz w:val="22"/>
          <w:szCs w:val="22"/>
          <w:lang w:eastAsia="en-US"/>
        </w:rPr>
        <w:t xml:space="preserve"> to be achieved through project design and construction, </w:t>
      </w:r>
      <w:r w:rsidR="003E1643">
        <w:rPr>
          <w:rFonts w:ascii="Tahoma" w:hAnsi="Tahoma" w:cs="Tahoma"/>
          <w:sz w:val="22"/>
          <w:szCs w:val="22"/>
          <w:lang w:eastAsia="en-US"/>
        </w:rPr>
        <w:t xml:space="preserve">to </w:t>
      </w:r>
      <w:r w:rsidR="007B79D7" w:rsidRPr="006A54AE">
        <w:rPr>
          <w:rFonts w:ascii="Tahoma" w:hAnsi="Tahoma" w:cs="Tahoma"/>
          <w:sz w:val="22"/>
          <w:szCs w:val="22"/>
          <w:lang w:eastAsia="en-US"/>
        </w:rPr>
        <w:t>address</w:t>
      </w:r>
      <w:r w:rsidR="003E1643">
        <w:rPr>
          <w:rFonts w:ascii="Tahoma" w:hAnsi="Tahoma" w:cs="Tahoma"/>
          <w:sz w:val="22"/>
          <w:szCs w:val="22"/>
          <w:lang w:eastAsia="en-US"/>
        </w:rPr>
        <w:t>,</w:t>
      </w:r>
      <w:r w:rsidR="00DA36C8" w:rsidRPr="006A54AE">
        <w:rPr>
          <w:rFonts w:ascii="Tahoma" w:hAnsi="Tahoma" w:cs="Tahoma"/>
          <w:sz w:val="22"/>
          <w:szCs w:val="22"/>
          <w:lang w:eastAsia="en-US"/>
        </w:rPr>
        <w:t xml:space="preserve"> amongst other issues</w:t>
      </w:r>
      <w:r w:rsidR="007B79D7" w:rsidRPr="006A54AE">
        <w:rPr>
          <w:rFonts w:ascii="Tahoma" w:hAnsi="Tahoma" w:cs="Tahoma"/>
          <w:sz w:val="22"/>
          <w:szCs w:val="22"/>
          <w:lang w:eastAsia="en-US"/>
        </w:rPr>
        <w:t>:</w:t>
      </w:r>
      <w:r w:rsidRPr="006A54AE">
        <w:rPr>
          <w:rFonts w:ascii="Tahoma" w:hAnsi="Tahoma" w:cs="Tahoma"/>
          <w:sz w:val="22"/>
          <w:szCs w:val="22"/>
          <w:lang w:eastAsia="en-US"/>
        </w:rPr>
        <w:t xml:space="preserve">  </w:t>
      </w:r>
    </w:p>
    <w:p w:rsidR="00B83196" w:rsidRPr="006A54AE" w:rsidRDefault="00B83196" w:rsidP="00B83196">
      <w:pPr>
        <w:pStyle w:val="ReplyLet"/>
        <w:numPr>
          <w:ilvl w:val="0"/>
          <w:numId w:val="28"/>
        </w:numPr>
        <w:rPr>
          <w:rFonts w:ascii="Tahoma" w:hAnsi="Tahoma" w:cs="Tahoma"/>
          <w:sz w:val="22"/>
          <w:szCs w:val="22"/>
        </w:rPr>
      </w:pPr>
      <w:r w:rsidRPr="006A54AE">
        <w:rPr>
          <w:rFonts w:ascii="Tahoma" w:hAnsi="Tahoma" w:cs="Tahoma"/>
          <w:sz w:val="22"/>
          <w:szCs w:val="22"/>
        </w:rPr>
        <w:t xml:space="preserve">Protection of amenity </w:t>
      </w:r>
      <w:r w:rsidR="006A54AE" w:rsidRPr="006A54AE">
        <w:rPr>
          <w:rFonts w:ascii="Tahoma" w:hAnsi="Tahoma" w:cs="Tahoma"/>
          <w:sz w:val="22"/>
          <w:szCs w:val="22"/>
        </w:rPr>
        <w:t xml:space="preserve">for residents and other sensitive receptors </w:t>
      </w:r>
      <w:r w:rsidRPr="006A54AE">
        <w:rPr>
          <w:rFonts w:ascii="Tahoma" w:hAnsi="Tahoma" w:cs="Tahoma"/>
          <w:sz w:val="22"/>
          <w:szCs w:val="22"/>
        </w:rPr>
        <w:t>from noise and light spill during construction</w:t>
      </w:r>
      <w:r w:rsidR="006A54AE" w:rsidRPr="006A54AE">
        <w:rPr>
          <w:rFonts w:ascii="Tahoma" w:hAnsi="Tahoma" w:cs="Tahoma"/>
          <w:sz w:val="22"/>
          <w:szCs w:val="22"/>
        </w:rPr>
        <w:t xml:space="preserve"> of the project</w:t>
      </w:r>
      <w:r w:rsidRPr="006A54AE">
        <w:rPr>
          <w:rFonts w:ascii="Tahoma" w:hAnsi="Tahoma" w:cs="Tahoma"/>
          <w:sz w:val="22"/>
          <w:szCs w:val="22"/>
        </w:rPr>
        <w:t>, particularly where constru</w:t>
      </w:r>
      <w:r w:rsidR="007B79D7" w:rsidRPr="006A54AE">
        <w:rPr>
          <w:rFonts w:ascii="Tahoma" w:hAnsi="Tahoma" w:cs="Tahoma"/>
          <w:sz w:val="22"/>
          <w:szCs w:val="22"/>
        </w:rPr>
        <w:t>ction works are to take place in the evening and at</w:t>
      </w:r>
      <w:r w:rsidRPr="006A54AE">
        <w:rPr>
          <w:rFonts w:ascii="Tahoma" w:hAnsi="Tahoma" w:cs="Tahoma"/>
          <w:sz w:val="22"/>
          <w:szCs w:val="22"/>
        </w:rPr>
        <w:t xml:space="preserve"> night time</w:t>
      </w:r>
      <w:r w:rsidR="007B79D7" w:rsidRPr="006A54AE">
        <w:rPr>
          <w:rFonts w:ascii="Tahoma" w:hAnsi="Tahoma" w:cs="Tahoma"/>
          <w:sz w:val="22"/>
          <w:szCs w:val="22"/>
        </w:rPr>
        <w:t>.</w:t>
      </w:r>
    </w:p>
    <w:p w:rsidR="00B83196" w:rsidRPr="006A54AE" w:rsidRDefault="00EB1F67" w:rsidP="00B83196">
      <w:pPr>
        <w:pStyle w:val="ReplyLet"/>
        <w:numPr>
          <w:ilvl w:val="0"/>
          <w:numId w:val="28"/>
        </w:numPr>
        <w:rPr>
          <w:rFonts w:ascii="Tahoma" w:hAnsi="Tahoma" w:cs="Tahoma"/>
          <w:sz w:val="22"/>
          <w:szCs w:val="22"/>
        </w:rPr>
      </w:pPr>
      <w:r w:rsidRPr="006A54AE">
        <w:rPr>
          <w:rFonts w:ascii="Tahoma" w:hAnsi="Tahoma" w:cs="Tahoma"/>
          <w:sz w:val="22"/>
          <w:szCs w:val="22"/>
        </w:rPr>
        <w:t>Protection of residential amenity from visual</w:t>
      </w:r>
      <w:r w:rsidR="006A54AE" w:rsidRPr="006A54AE">
        <w:rPr>
          <w:rFonts w:ascii="Tahoma" w:hAnsi="Tahoma" w:cs="Tahoma"/>
          <w:sz w:val="22"/>
          <w:szCs w:val="22"/>
        </w:rPr>
        <w:t xml:space="preserve"> impacts</w:t>
      </w:r>
      <w:r w:rsidR="009154FF">
        <w:rPr>
          <w:rFonts w:ascii="Tahoma" w:hAnsi="Tahoma" w:cs="Tahoma"/>
          <w:sz w:val="22"/>
          <w:szCs w:val="22"/>
        </w:rPr>
        <w:t>,</w:t>
      </w:r>
      <w:r w:rsidRPr="006A54AE">
        <w:rPr>
          <w:rFonts w:ascii="Tahoma" w:hAnsi="Tahoma" w:cs="Tahoma"/>
          <w:sz w:val="22"/>
          <w:szCs w:val="22"/>
        </w:rPr>
        <w:t xml:space="preserve"> light spill</w:t>
      </w:r>
      <w:r w:rsidR="009154FF">
        <w:rPr>
          <w:rFonts w:ascii="Tahoma" w:hAnsi="Tahoma" w:cs="Tahoma"/>
          <w:sz w:val="22"/>
          <w:szCs w:val="22"/>
        </w:rPr>
        <w:t xml:space="preserve"> and noise</w:t>
      </w:r>
      <w:r w:rsidRPr="006A54AE">
        <w:rPr>
          <w:rFonts w:ascii="Tahoma" w:hAnsi="Tahoma" w:cs="Tahoma"/>
          <w:sz w:val="22"/>
          <w:szCs w:val="22"/>
        </w:rPr>
        <w:t xml:space="preserve"> associated with the </w:t>
      </w:r>
      <w:r w:rsidR="006A54AE" w:rsidRPr="006A54AE">
        <w:rPr>
          <w:rFonts w:ascii="Tahoma" w:hAnsi="Tahoma" w:cs="Tahoma"/>
          <w:sz w:val="22"/>
          <w:szCs w:val="22"/>
        </w:rPr>
        <w:t xml:space="preserve">construction and operation of the </w:t>
      </w:r>
      <w:r w:rsidRPr="006A54AE">
        <w:rPr>
          <w:rFonts w:ascii="Tahoma" w:hAnsi="Tahoma" w:cs="Tahoma"/>
          <w:sz w:val="22"/>
          <w:szCs w:val="22"/>
        </w:rPr>
        <w:t xml:space="preserve">proposed </w:t>
      </w:r>
      <w:r w:rsidR="006A54AE" w:rsidRPr="006A54AE">
        <w:rPr>
          <w:rFonts w:ascii="Tahoma" w:hAnsi="Tahoma" w:cs="Tahoma"/>
          <w:sz w:val="22"/>
          <w:szCs w:val="22"/>
        </w:rPr>
        <w:t>new s</w:t>
      </w:r>
      <w:r w:rsidRPr="006A54AE">
        <w:rPr>
          <w:rFonts w:ascii="Tahoma" w:hAnsi="Tahoma" w:cs="Tahoma"/>
          <w:sz w:val="22"/>
          <w:szCs w:val="22"/>
        </w:rPr>
        <w:t xml:space="preserve">tabling </w:t>
      </w:r>
      <w:r w:rsidR="006A54AE" w:rsidRPr="006A54AE">
        <w:rPr>
          <w:rFonts w:ascii="Tahoma" w:hAnsi="Tahoma" w:cs="Tahoma"/>
          <w:sz w:val="22"/>
          <w:szCs w:val="22"/>
        </w:rPr>
        <w:t>facilities at</w:t>
      </w:r>
      <w:r w:rsidR="00B83196" w:rsidRPr="006A54AE">
        <w:rPr>
          <w:rFonts w:ascii="Tahoma" w:hAnsi="Tahoma" w:cs="Tahoma"/>
          <w:sz w:val="22"/>
          <w:szCs w:val="22"/>
        </w:rPr>
        <w:t xml:space="preserve"> </w:t>
      </w:r>
      <w:r w:rsidR="006A54AE" w:rsidRPr="006A54AE">
        <w:rPr>
          <w:rFonts w:ascii="Tahoma" w:hAnsi="Tahoma" w:cs="Tahoma"/>
          <w:sz w:val="22"/>
          <w:szCs w:val="22"/>
        </w:rPr>
        <w:t>Maddingley.</w:t>
      </w:r>
    </w:p>
    <w:p w:rsidR="00B83196" w:rsidRDefault="00B83196" w:rsidP="00B83196">
      <w:pPr>
        <w:spacing w:before="120"/>
        <w:ind w:left="360"/>
        <w:jc w:val="both"/>
        <w:rPr>
          <w:rFonts w:ascii="Tahoma" w:hAnsi="Tahoma" w:cs="Tahoma"/>
          <w:sz w:val="22"/>
          <w:szCs w:val="22"/>
          <w:lang w:eastAsia="en-US"/>
        </w:rPr>
      </w:pPr>
    </w:p>
    <w:p w:rsidR="00551AF3" w:rsidRPr="001F6353" w:rsidRDefault="00F36F38" w:rsidP="00F36F38">
      <w:pPr>
        <w:rPr>
          <w:rFonts w:ascii="Tahoma" w:hAnsi="Tahoma" w:cs="Tahoma"/>
          <w:sz w:val="22"/>
          <w:szCs w:val="20"/>
          <w:lang w:eastAsia="en-US"/>
        </w:rPr>
      </w:pPr>
      <w:r w:rsidRPr="00F079DB">
        <w:rPr>
          <w:rFonts w:ascii="Tahoma" w:hAnsi="Tahoma" w:cs="Tahoma"/>
          <w:b/>
          <w:sz w:val="22"/>
          <w:szCs w:val="20"/>
          <w:lang w:eastAsia="en-US"/>
        </w:rPr>
        <w:t>Reasons for Decision:</w:t>
      </w:r>
      <w:r>
        <w:rPr>
          <w:rFonts w:ascii="Tahoma" w:hAnsi="Tahoma" w:cs="Tahoma"/>
          <w:b/>
          <w:sz w:val="22"/>
          <w:szCs w:val="20"/>
          <w:lang w:eastAsia="en-US"/>
        </w:rPr>
        <w:t xml:space="preserve">   </w:t>
      </w:r>
    </w:p>
    <w:p w:rsidR="001E1130" w:rsidRDefault="001E1130" w:rsidP="00547CED">
      <w:pPr>
        <w:numPr>
          <w:ilvl w:val="0"/>
          <w:numId w:val="14"/>
        </w:numPr>
        <w:autoSpaceDE w:val="0"/>
        <w:autoSpaceDN w:val="0"/>
        <w:adjustRightInd w:val="0"/>
        <w:spacing w:before="180"/>
        <w:jc w:val="both"/>
        <w:rPr>
          <w:rFonts w:ascii="Tahoma" w:hAnsi="Tahoma" w:cs="Tahoma"/>
          <w:sz w:val="22"/>
          <w:szCs w:val="22"/>
          <w:lang w:eastAsia="en-US"/>
        </w:rPr>
      </w:pPr>
      <w:r>
        <w:rPr>
          <w:rFonts w:ascii="Tahoma" w:hAnsi="Tahoma" w:cs="Tahoma"/>
          <w:sz w:val="22"/>
          <w:szCs w:val="22"/>
          <w:lang w:eastAsia="en-US"/>
        </w:rPr>
        <w:t xml:space="preserve">The majority of works will be located within an existing railway corridor and adjoining areas and consequently there are neither significant new forms of effect nor route options that would warrant assessment through an EES. </w:t>
      </w:r>
    </w:p>
    <w:p w:rsidR="00D9438E" w:rsidRDefault="001E1130" w:rsidP="00547CED">
      <w:pPr>
        <w:numPr>
          <w:ilvl w:val="0"/>
          <w:numId w:val="14"/>
        </w:numPr>
        <w:autoSpaceDE w:val="0"/>
        <w:autoSpaceDN w:val="0"/>
        <w:adjustRightInd w:val="0"/>
        <w:spacing w:before="180"/>
        <w:jc w:val="both"/>
        <w:rPr>
          <w:rFonts w:ascii="Tahoma" w:hAnsi="Tahoma" w:cs="Tahoma"/>
          <w:sz w:val="22"/>
          <w:szCs w:val="22"/>
          <w:lang w:eastAsia="en-US"/>
        </w:rPr>
      </w:pPr>
      <w:r>
        <w:rPr>
          <w:rFonts w:ascii="Tahoma" w:hAnsi="Tahoma" w:cs="Tahoma"/>
          <w:sz w:val="22"/>
          <w:szCs w:val="22"/>
          <w:lang w:eastAsia="en-US"/>
        </w:rPr>
        <w:t>The p</w:t>
      </w:r>
      <w:r w:rsidR="00D9438E" w:rsidRPr="00CA0905">
        <w:rPr>
          <w:rFonts w:ascii="Tahoma" w:hAnsi="Tahoma" w:cs="Tahoma"/>
          <w:sz w:val="22"/>
          <w:szCs w:val="22"/>
          <w:lang w:eastAsia="en-US"/>
        </w:rPr>
        <w:t xml:space="preserve">roject’s potential environmental effects are not </w:t>
      </w:r>
      <w:r w:rsidR="002038BC" w:rsidRPr="00CA0905">
        <w:rPr>
          <w:rFonts w:ascii="Tahoma" w:hAnsi="Tahoma" w:cs="Tahoma"/>
          <w:sz w:val="22"/>
          <w:szCs w:val="22"/>
          <w:lang w:eastAsia="en-US"/>
        </w:rPr>
        <w:t xml:space="preserve">sufficiently </w:t>
      </w:r>
      <w:r w:rsidR="00D9438E" w:rsidRPr="00CA0905">
        <w:rPr>
          <w:rFonts w:ascii="Tahoma" w:hAnsi="Tahoma" w:cs="Tahoma"/>
          <w:sz w:val="22"/>
          <w:szCs w:val="22"/>
          <w:lang w:eastAsia="en-US"/>
        </w:rPr>
        <w:t>complex</w:t>
      </w:r>
      <w:r w:rsidR="006207B8" w:rsidRPr="00CA0905">
        <w:rPr>
          <w:rFonts w:ascii="Tahoma" w:hAnsi="Tahoma" w:cs="Tahoma"/>
          <w:sz w:val="22"/>
          <w:szCs w:val="22"/>
          <w:lang w:eastAsia="en-US"/>
        </w:rPr>
        <w:t xml:space="preserve"> or extensive</w:t>
      </w:r>
      <w:r w:rsidR="00D9438E" w:rsidRPr="00CA0905">
        <w:rPr>
          <w:rFonts w:ascii="Tahoma" w:hAnsi="Tahoma" w:cs="Tahoma"/>
          <w:sz w:val="22"/>
          <w:szCs w:val="22"/>
          <w:lang w:eastAsia="en-US"/>
        </w:rPr>
        <w:t xml:space="preserve"> </w:t>
      </w:r>
      <w:r w:rsidR="00733BEE" w:rsidRPr="00CA0905">
        <w:rPr>
          <w:rFonts w:ascii="Tahoma" w:hAnsi="Tahoma" w:cs="Tahoma"/>
          <w:sz w:val="22"/>
          <w:szCs w:val="22"/>
          <w:lang w:eastAsia="en-US"/>
        </w:rPr>
        <w:t xml:space="preserve">to </w:t>
      </w:r>
      <w:r w:rsidR="00D9438E" w:rsidRPr="00CA0905">
        <w:rPr>
          <w:rFonts w:ascii="Tahoma" w:hAnsi="Tahoma" w:cs="Tahoma"/>
          <w:sz w:val="22"/>
          <w:szCs w:val="22"/>
          <w:lang w:eastAsia="en-US"/>
        </w:rPr>
        <w:t xml:space="preserve">warrant </w:t>
      </w:r>
      <w:r w:rsidR="003E1643">
        <w:rPr>
          <w:rFonts w:ascii="Tahoma" w:hAnsi="Tahoma" w:cs="Tahoma"/>
          <w:sz w:val="22"/>
          <w:szCs w:val="22"/>
          <w:lang w:eastAsia="en-US"/>
        </w:rPr>
        <w:t xml:space="preserve">further assessment, such as through </w:t>
      </w:r>
      <w:r w:rsidR="00E31137" w:rsidRPr="00CA0905">
        <w:rPr>
          <w:rFonts w:ascii="Tahoma" w:hAnsi="Tahoma" w:cs="Tahoma"/>
          <w:sz w:val="22"/>
          <w:szCs w:val="22"/>
          <w:lang w:eastAsia="en-US"/>
        </w:rPr>
        <w:t xml:space="preserve">an </w:t>
      </w:r>
      <w:r>
        <w:rPr>
          <w:rFonts w:ascii="Tahoma" w:hAnsi="Tahoma" w:cs="Tahoma"/>
          <w:sz w:val="22"/>
          <w:szCs w:val="22"/>
          <w:lang w:eastAsia="en-US"/>
        </w:rPr>
        <w:t>EES</w:t>
      </w:r>
      <w:r w:rsidR="00D9438E" w:rsidRPr="00CA0905">
        <w:rPr>
          <w:rFonts w:ascii="Tahoma" w:hAnsi="Tahoma" w:cs="Tahoma"/>
          <w:sz w:val="22"/>
          <w:szCs w:val="22"/>
          <w:lang w:eastAsia="en-US"/>
        </w:rPr>
        <w:t>.</w:t>
      </w:r>
    </w:p>
    <w:p w:rsidR="001E1130" w:rsidRDefault="001E1130" w:rsidP="00611247">
      <w:pPr>
        <w:numPr>
          <w:ilvl w:val="0"/>
          <w:numId w:val="14"/>
        </w:numPr>
        <w:autoSpaceDE w:val="0"/>
        <w:autoSpaceDN w:val="0"/>
        <w:adjustRightInd w:val="0"/>
        <w:spacing w:before="180"/>
        <w:jc w:val="both"/>
        <w:rPr>
          <w:rFonts w:ascii="Tahoma" w:hAnsi="Tahoma" w:cs="Tahoma"/>
          <w:sz w:val="22"/>
          <w:szCs w:val="22"/>
          <w:lang w:eastAsia="en-US"/>
        </w:rPr>
      </w:pPr>
      <w:r w:rsidRPr="001E1130">
        <w:rPr>
          <w:rFonts w:ascii="Tahoma" w:hAnsi="Tahoma" w:cs="Tahoma"/>
          <w:sz w:val="22"/>
          <w:szCs w:val="22"/>
          <w:lang w:eastAsia="en-US"/>
        </w:rPr>
        <w:t>Notwithstanding the above, t</w:t>
      </w:r>
      <w:r w:rsidR="000A0A77" w:rsidRPr="001E1130">
        <w:rPr>
          <w:rFonts w:ascii="Tahoma" w:hAnsi="Tahoma" w:cs="Tahoma"/>
          <w:sz w:val="22"/>
          <w:szCs w:val="22"/>
          <w:lang w:eastAsia="en-US"/>
        </w:rPr>
        <w:t xml:space="preserve">here is potential for adverse environmental effects on biodiversity values, Aboriginal cultural heritage, historic heritage, amenity and </w:t>
      </w:r>
      <w:r w:rsidR="000A0A77" w:rsidRPr="001E1130">
        <w:rPr>
          <w:rFonts w:ascii="Tahoma" w:hAnsi="Tahoma" w:cs="Tahoma"/>
          <w:sz w:val="22"/>
          <w:szCs w:val="22"/>
          <w:lang w:eastAsia="en-US"/>
        </w:rPr>
        <w:lastRenderedPageBreak/>
        <w:t>waterways. Effects asso</w:t>
      </w:r>
      <w:r w:rsidR="004510D1" w:rsidRPr="001E1130">
        <w:rPr>
          <w:rFonts w:ascii="Tahoma" w:hAnsi="Tahoma" w:cs="Tahoma"/>
          <w:sz w:val="22"/>
          <w:szCs w:val="22"/>
          <w:lang w:eastAsia="en-US"/>
        </w:rPr>
        <w:t>ciated with construction noise</w:t>
      </w:r>
      <w:r w:rsidR="000A0A77" w:rsidRPr="001E1130">
        <w:rPr>
          <w:rFonts w:ascii="Tahoma" w:hAnsi="Tahoma" w:cs="Tahoma"/>
          <w:sz w:val="22"/>
          <w:szCs w:val="22"/>
          <w:lang w:eastAsia="en-US"/>
        </w:rPr>
        <w:t xml:space="preserve"> and visual amenity can be sufficiently addressed through conditions set out within this decision. </w:t>
      </w:r>
    </w:p>
    <w:p w:rsidR="00611247" w:rsidRPr="001E1130" w:rsidRDefault="00611247" w:rsidP="00611247">
      <w:pPr>
        <w:numPr>
          <w:ilvl w:val="0"/>
          <w:numId w:val="14"/>
        </w:numPr>
        <w:autoSpaceDE w:val="0"/>
        <w:autoSpaceDN w:val="0"/>
        <w:adjustRightInd w:val="0"/>
        <w:spacing w:before="180"/>
        <w:jc w:val="both"/>
        <w:rPr>
          <w:rFonts w:ascii="Tahoma" w:hAnsi="Tahoma" w:cs="Tahoma"/>
          <w:sz w:val="22"/>
          <w:szCs w:val="22"/>
          <w:lang w:eastAsia="en-US"/>
        </w:rPr>
      </w:pPr>
      <w:r w:rsidRPr="001E1130">
        <w:rPr>
          <w:rFonts w:ascii="Tahoma" w:hAnsi="Tahoma" w:cs="Tahoma"/>
          <w:sz w:val="22"/>
          <w:szCs w:val="22"/>
          <w:lang w:eastAsia="en-US"/>
        </w:rPr>
        <w:t>The potential</w:t>
      </w:r>
      <w:r w:rsidR="00E34961" w:rsidRPr="001E1130">
        <w:rPr>
          <w:rFonts w:ascii="Tahoma" w:hAnsi="Tahoma" w:cs="Tahoma"/>
          <w:sz w:val="22"/>
          <w:szCs w:val="22"/>
          <w:lang w:eastAsia="en-US"/>
        </w:rPr>
        <w:t xml:space="preserve"> adverse </w:t>
      </w:r>
      <w:r w:rsidRPr="001E1130">
        <w:rPr>
          <w:rFonts w:ascii="Tahoma" w:hAnsi="Tahoma" w:cs="Tahoma"/>
          <w:sz w:val="22"/>
          <w:szCs w:val="22"/>
          <w:lang w:eastAsia="en-US"/>
        </w:rPr>
        <w:t xml:space="preserve">effects on biodiversity </w:t>
      </w:r>
      <w:r w:rsidR="002038BC" w:rsidRPr="001E1130">
        <w:rPr>
          <w:rFonts w:ascii="Tahoma" w:hAnsi="Tahoma" w:cs="Tahoma"/>
          <w:sz w:val="22"/>
          <w:szCs w:val="22"/>
          <w:lang w:eastAsia="en-US"/>
        </w:rPr>
        <w:t xml:space="preserve">values </w:t>
      </w:r>
      <w:r w:rsidRPr="001E1130">
        <w:rPr>
          <w:rFonts w:ascii="Tahoma" w:hAnsi="Tahoma" w:cs="Tahoma"/>
          <w:sz w:val="22"/>
          <w:szCs w:val="22"/>
          <w:lang w:eastAsia="en-US"/>
        </w:rPr>
        <w:t xml:space="preserve">have been </w:t>
      </w:r>
      <w:r w:rsidR="00A5444A" w:rsidRPr="001E1130">
        <w:rPr>
          <w:rFonts w:ascii="Tahoma" w:hAnsi="Tahoma" w:cs="Tahoma"/>
          <w:sz w:val="22"/>
          <w:szCs w:val="22"/>
          <w:lang w:eastAsia="en-US"/>
        </w:rPr>
        <w:t xml:space="preserve">thoroughly </w:t>
      </w:r>
      <w:r w:rsidR="002038BC" w:rsidRPr="001E1130">
        <w:rPr>
          <w:rFonts w:ascii="Tahoma" w:hAnsi="Tahoma" w:cs="Tahoma"/>
          <w:sz w:val="22"/>
          <w:szCs w:val="22"/>
          <w:lang w:eastAsia="en-US"/>
        </w:rPr>
        <w:t xml:space="preserve">examined as part of the referral and will be further </w:t>
      </w:r>
      <w:r w:rsidRPr="001E1130">
        <w:rPr>
          <w:rFonts w:ascii="Tahoma" w:hAnsi="Tahoma" w:cs="Tahoma"/>
          <w:sz w:val="22"/>
          <w:szCs w:val="22"/>
          <w:lang w:eastAsia="en-US"/>
        </w:rPr>
        <w:t xml:space="preserve">assessed and </w:t>
      </w:r>
      <w:r w:rsidR="002038BC" w:rsidRPr="001E1130">
        <w:rPr>
          <w:rFonts w:ascii="Tahoma" w:hAnsi="Tahoma" w:cs="Tahoma"/>
          <w:sz w:val="22"/>
          <w:szCs w:val="22"/>
          <w:lang w:eastAsia="en-US"/>
        </w:rPr>
        <w:t>managed t</w:t>
      </w:r>
      <w:r w:rsidRPr="001E1130">
        <w:rPr>
          <w:rFonts w:ascii="Tahoma" w:hAnsi="Tahoma" w:cs="Tahoma"/>
          <w:sz w:val="22"/>
          <w:szCs w:val="22"/>
          <w:lang w:eastAsia="en-US"/>
        </w:rPr>
        <w:t>hrough</w:t>
      </w:r>
      <w:r w:rsidR="00E34961" w:rsidRPr="001E1130">
        <w:rPr>
          <w:rFonts w:ascii="Tahoma" w:hAnsi="Tahoma" w:cs="Tahoma"/>
          <w:sz w:val="22"/>
          <w:szCs w:val="22"/>
          <w:lang w:eastAsia="en-US"/>
        </w:rPr>
        <w:t xml:space="preserve"> requirements</w:t>
      </w:r>
      <w:r w:rsidRPr="001E1130">
        <w:rPr>
          <w:rFonts w:ascii="Tahoma" w:hAnsi="Tahoma" w:cs="Tahoma"/>
          <w:sz w:val="22"/>
          <w:szCs w:val="22"/>
          <w:lang w:eastAsia="en-US"/>
        </w:rPr>
        <w:t xml:space="preserve"> under the </w:t>
      </w:r>
      <w:r w:rsidRPr="001E1130">
        <w:rPr>
          <w:rFonts w:ascii="Tahoma" w:hAnsi="Tahoma" w:cs="Tahoma"/>
          <w:i/>
          <w:sz w:val="22"/>
          <w:szCs w:val="22"/>
          <w:lang w:eastAsia="en-US"/>
        </w:rPr>
        <w:t>Planning and Environment Act 1987</w:t>
      </w:r>
      <w:r w:rsidR="00D772A0" w:rsidRPr="001E1130">
        <w:rPr>
          <w:rFonts w:ascii="Tahoma" w:hAnsi="Tahoma" w:cs="Tahoma"/>
          <w:sz w:val="22"/>
          <w:szCs w:val="22"/>
          <w:lang w:eastAsia="en-US"/>
        </w:rPr>
        <w:t xml:space="preserve"> and the </w:t>
      </w:r>
      <w:r w:rsidR="002038BC" w:rsidRPr="001E1130">
        <w:rPr>
          <w:rFonts w:ascii="Tahoma" w:hAnsi="Tahoma" w:cs="Tahoma"/>
          <w:i/>
          <w:sz w:val="22"/>
          <w:szCs w:val="22"/>
          <w:lang w:eastAsia="en-US"/>
        </w:rPr>
        <w:t>Flora and Fauna Guarantee Act 1988</w:t>
      </w:r>
      <w:r w:rsidR="002038BC" w:rsidRPr="001E1130">
        <w:rPr>
          <w:rFonts w:ascii="Tahoma" w:hAnsi="Tahoma" w:cs="Tahoma"/>
          <w:sz w:val="22"/>
          <w:szCs w:val="22"/>
          <w:lang w:eastAsia="en-US"/>
        </w:rPr>
        <w:t>.</w:t>
      </w:r>
      <w:r w:rsidRPr="001E1130">
        <w:rPr>
          <w:rFonts w:ascii="Tahoma" w:hAnsi="Tahoma" w:cs="Tahoma"/>
          <w:sz w:val="22"/>
          <w:szCs w:val="22"/>
          <w:lang w:eastAsia="en-US"/>
        </w:rPr>
        <w:t xml:space="preserve"> </w:t>
      </w:r>
      <w:r w:rsidR="002038BC" w:rsidRPr="001E1130">
        <w:rPr>
          <w:rFonts w:ascii="Tahoma" w:hAnsi="Tahoma" w:cs="Tahoma"/>
          <w:sz w:val="22"/>
          <w:szCs w:val="22"/>
          <w:lang w:eastAsia="en-US"/>
        </w:rPr>
        <w:t xml:space="preserve"> This will </w:t>
      </w:r>
      <w:r w:rsidRPr="001E1130">
        <w:rPr>
          <w:rFonts w:ascii="Tahoma" w:hAnsi="Tahoma" w:cs="Tahoma"/>
          <w:sz w:val="22"/>
          <w:szCs w:val="22"/>
          <w:lang w:eastAsia="en-US"/>
        </w:rPr>
        <w:t>includ</w:t>
      </w:r>
      <w:r w:rsidR="002038BC" w:rsidRPr="001E1130">
        <w:rPr>
          <w:rFonts w:ascii="Tahoma" w:hAnsi="Tahoma" w:cs="Tahoma"/>
          <w:sz w:val="22"/>
          <w:szCs w:val="22"/>
          <w:lang w:eastAsia="en-US"/>
        </w:rPr>
        <w:t>e</w:t>
      </w:r>
      <w:r w:rsidRPr="001E1130">
        <w:rPr>
          <w:rFonts w:ascii="Tahoma" w:hAnsi="Tahoma" w:cs="Tahoma"/>
          <w:sz w:val="22"/>
          <w:szCs w:val="22"/>
          <w:lang w:eastAsia="en-US"/>
        </w:rPr>
        <w:t xml:space="preserve"> </w:t>
      </w:r>
      <w:r w:rsidR="002038BC" w:rsidRPr="001E1130">
        <w:rPr>
          <w:rFonts w:ascii="Tahoma" w:hAnsi="Tahoma" w:cs="Tahoma"/>
          <w:sz w:val="22"/>
          <w:szCs w:val="22"/>
          <w:lang w:eastAsia="en-US"/>
        </w:rPr>
        <w:t xml:space="preserve">ensuring </w:t>
      </w:r>
      <w:r w:rsidRPr="001E1130">
        <w:rPr>
          <w:rFonts w:ascii="Tahoma" w:hAnsi="Tahoma" w:cs="Tahoma"/>
          <w:sz w:val="22"/>
          <w:szCs w:val="22"/>
          <w:lang w:eastAsia="en-US"/>
        </w:rPr>
        <w:t>appropriate mitigation and offsets</w:t>
      </w:r>
      <w:r w:rsidR="002038BC" w:rsidRPr="001E1130">
        <w:rPr>
          <w:rFonts w:ascii="Tahoma" w:hAnsi="Tahoma" w:cs="Tahoma"/>
          <w:sz w:val="22"/>
          <w:szCs w:val="22"/>
          <w:lang w:eastAsia="en-US"/>
        </w:rPr>
        <w:t xml:space="preserve"> in accordance with state and </w:t>
      </w:r>
      <w:r w:rsidR="00F45C3F" w:rsidRPr="001E1130">
        <w:rPr>
          <w:rFonts w:ascii="Tahoma" w:hAnsi="Tahoma" w:cs="Tahoma"/>
          <w:sz w:val="22"/>
          <w:szCs w:val="22"/>
          <w:lang w:eastAsia="en-US"/>
        </w:rPr>
        <w:t>c</w:t>
      </w:r>
      <w:r w:rsidR="002038BC" w:rsidRPr="001E1130">
        <w:rPr>
          <w:rFonts w:ascii="Tahoma" w:hAnsi="Tahoma" w:cs="Tahoma"/>
          <w:sz w:val="22"/>
          <w:szCs w:val="22"/>
          <w:lang w:eastAsia="en-US"/>
        </w:rPr>
        <w:t>ommonwealth</w:t>
      </w:r>
      <w:r w:rsidR="00E34961" w:rsidRPr="001E1130">
        <w:rPr>
          <w:rFonts w:ascii="Tahoma" w:hAnsi="Tahoma" w:cs="Tahoma"/>
          <w:sz w:val="22"/>
          <w:szCs w:val="22"/>
          <w:lang w:eastAsia="en-US"/>
        </w:rPr>
        <w:t xml:space="preserve"> </w:t>
      </w:r>
      <w:r w:rsidR="000E6BC9" w:rsidRPr="001E1130">
        <w:rPr>
          <w:rFonts w:ascii="Tahoma" w:hAnsi="Tahoma" w:cs="Tahoma"/>
          <w:sz w:val="22"/>
          <w:szCs w:val="22"/>
          <w:lang w:eastAsia="en-US"/>
        </w:rPr>
        <w:t>legislation</w:t>
      </w:r>
      <w:r w:rsidR="00CA0905" w:rsidRPr="001E1130">
        <w:rPr>
          <w:rFonts w:ascii="Tahoma" w:hAnsi="Tahoma" w:cs="Tahoma"/>
          <w:sz w:val="22"/>
          <w:szCs w:val="22"/>
          <w:lang w:eastAsia="en-US"/>
        </w:rPr>
        <w:t xml:space="preserve">, including </w:t>
      </w:r>
      <w:r w:rsidR="00D772A0" w:rsidRPr="001E1130">
        <w:rPr>
          <w:rFonts w:ascii="Tahoma" w:hAnsi="Tahoma" w:cs="Tahoma"/>
          <w:sz w:val="22"/>
          <w:szCs w:val="22"/>
          <w:lang w:eastAsia="en-US"/>
        </w:rPr>
        <w:t xml:space="preserve">in accordance with the </w:t>
      </w:r>
      <w:r w:rsidR="00D772A0" w:rsidRPr="001E1130">
        <w:rPr>
          <w:rFonts w:ascii="Arial" w:hAnsi="Arial"/>
          <w:i/>
          <w:sz w:val="20"/>
          <w:szCs w:val="20"/>
        </w:rPr>
        <w:t>Biodiversity Conservation Strategy for Melbourne’s Growth.</w:t>
      </w:r>
      <w:r w:rsidR="00D772A0" w:rsidRPr="001E1130">
        <w:rPr>
          <w:rFonts w:ascii="Tahoma" w:hAnsi="Tahoma" w:cs="Tahoma"/>
          <w:sz w:val="22"/>
          <w:szCs w:val="22"/>
          <w:lang w:eastAsia="en-US"/>
        </w:rPr>
        <w:t xml:space="preserve"> Areas (</w:t>
      </w:r>
      <w:r w:rsidR="003C4016" w:rsidRPr="001E1130">
        <w:rPr>
          <w:rFonts w:ascii="Arial" w:hAnsi="Arial"/>
        </w:rPr>
        <w:t>DEPI, 2013</w:t>
      </w:r>
      <w:r w:rsidR="00D772A0" w:rsidRPr="001E1130">
        <w:rPr>
          <w:rFonts w:ascii="Tahoma" w:hAnsi="Tahoma" w:cs="Tahoma"/>
          <w:sz w:val="22"/>
          <w:szCs w:val="22"/>
          <w:lang w:eastAsia="en-US"/>
        </w:rPr>
        <w:t>)</w:t>
      </w:r>
      <w:r w:rsidR="002038BC" w:rsidRPr="001E1130">
        <w:rPr>
          <w:rFonts w:ascii="Tahoma" w:hAnsi="Tahoma" w:cs="Tahoma"/>
          <w:sz w:val="22"/>
          <w:szCs w:val="22"/>
          <w:lang w:eastAsia="en-US"/>
        </w:rPr>
        <w:t>.</w:t>
      </w:r>
      <w:r w:rsidRPr="001E1130">
        <w:rPr>
          <w:rFonts w:ascii="Tahoma" w:hAnsi="Tahoma" w:cs="Tahoma"/>
          <w:sz w:val="22"/>
          <w:szCs w:val="22"/>
          <w:lang w:eastAsia="en-US"/>
        </w:rPr>
        <w:t xml:space="preserve"> </w:t>
      </w:r>
    </w:p>
    <w:p w:rsidR="003C397B" w:rsidRDefault="003C397B" w:rsidP="003C397B">
      <w:pPr>
        <w:numPr>
          <w:ilvl w:val="0"/>
          <w:numId w:val="14"/>
        </w:numPr>
        <w:autoSpaceDE w:val="0"/>
        <w:autoSpaceDN w:val="0"/>
        <w:adjustRightInd w:val="0"/>
        <w:spacing w:before="180"/>
        <w:jc w:val="both"/>
        <w:rPr>
          <w:rFonts w:ascii="Tahoma" w:hAnsi="Tahoma" w:cs="Tahoma"/>
          <w:sz w:val="22"/>
          <w:szCs w:val="22"/>
          <w:lang w:eastAsia="en-US"/>
        </w:rPr>
      </w:pPr>
      <w:r w:rsidRPr="00CA0905">
        <w:rPr>
          <w:rFonts w:ascii="Tahoma" w:hAnsi="Tahoma" w:cs="Tahoma"/>
          <w:sz w:val="22"/>
          <w:szCs w:val="22"/>
          <w:lang w:eastAsia="en-US"/>
        </w:rPr>
        <w:t>Potential</w:t>
      </w:r>
      <w:r w:rsidR="000E6BC9" w:rsidRPr="00CA0905">
        <w:rPr>
          <w:rFonts w:ascii="Tahoma" w:hAnsi="Tahoma" w:cs="Tahoma"/>
          <w:sz w:val="22"/>
          <w:szCs w:val="22"/>
          <w:lang w:eastAsia="en-US"/>
        </w:rPr>
        <w:t xml:space="preserve"> adverse </w:t>
      </w:r>
      <w:r w:rsidRPr="00CA0905">
        <w:rPr>
          <w:rFonts w:ascii="Tahoma" w:hAnsi="Tahoma" w:cs="Tahoma"/>
          <w:sz w:val="22"/>
          <w:szCs w:val="22"/>
          <w:lang w:eastAsia="en-US"/>
        </w:rPr>
        <w:t>effects on Aboriginal cultural heritage values</w:t>
      </w:r>
      <w:r w:rsidR="000A0A77">
        <w:rPr>
          <w:rFonts w:ascii="Tahoma" w:hAnsi="Tahoma" w:cs="Tahoma"/>
          <w:sz w:val="22"/>
          <w:szCs w:val="22"/>
          <w:lang w:eastAsia="en-US"/>
        </w:rPr>
        <w:t xml:space="preserve"> and historic heritage values </w:t>
      </w:r>
      <w:r w:rsidRPr="00CA0905">
        <w:rPr>
          <w:rFonts w:ascii="Tahoma" w:hAnsi="Tahoma" w:cs="Tahoma"/>
          <w:sz w:val="22"/>
          <w:szCs w:val="22"/>
          <w:lang w:eastAsia="en-US"/>
        </w:rPr>
        <w:t xml:space="preserve">can be addressed through the statutory requirements under the </w:t>
      </w:r>
      <w:r w:rsidRPr="00CA0905">
        <w:rPr>
          <w:rFonts w:ascii="Tahoma" w:hAnsi="Tahoma" w:cs="Tahoma"/>
          <w:i/>
          <w:sz w:val="22"/>
          <w:szCs w:val="22"/>
          <w:lang w:eastAsia="en-US"/>
        </w:rPr>
        <w:t>Aboriginal Heritage Act 2006</w:t>
      </w:r>
      <w:r w:rsidR="004510D1">
        <w:rPr>
          <w:rFonts w:ascii="Tahoma" w:hAnsi="Tahoma" w:cs="Tahoma"/>
          <w:sz w:val="22"/>
          <w:szCs w:val="22"/>
          <w:lang w:eastAsia="en-US"/>
        </w:rPr>
        <w:t xml:space="preserve">, </w:t>
      </w:r>
      <w:r w:rsidR="000A0A77" w:rsidRPr="000A0A77">
        <w:rPr>
          <w:rFonts w:ascii="Tahoma" w:hAnsi="Tahoma" w:cs="Tahoma"/>
          <w:sz w:val="22"/>
          <w:szCs w:val="22"/>
          <w:lang w:eastAsia="en-US"/>
        </w:rPr>
        <w:t>the</w:t>
      </w:r>
      <w:r w:rsidR="000A0A77">
        <w:rPr>
          <w:rFonts w:ascii="Tahoma" w:hAnsi="Tahoma" w:cs="Tahoma"/>
          <w:i/>
          <w:sz w:val="22"/>
          <w:szCs w:val="22"/>
          <w:lang w:eastAsia="en-US"/>
        </w:rPr>
        <w:t xml:space="preserve"> </w:t>
      </w:r>
      <w:r w:rsidR="000A0A77" w:rsidRPr="00CA0905">
        <w:rPr>
          <w:rFonts w:ascii="Tahoma" w:hAnsi="Tahoma" w:cs="Tahoma"/>
          <w:i/>
          <w:sz w:val="22"/>
          <w:szCs w:val="22"/>
          <w:lang w:eastAsia="en-US"/>
        </w:rPr>
        <w:t xml:space="preserve">Heritage Act </w:t>
      </w:r>
      <w:r w:rsidR="000A0A77">
        <w:rPr>
          <w:rFonts w:ascii="Tahoma" w:hAnsi="Tahoma" w:cs="Tahoma"/>
          <w:i/>
          <w:sz w:val="22"/>
          <w:szCs w:val="22"/>
          <w:lang w:eastAsia="en-US"/>
        </w:rPr>
        <w:t>1995</w:t>
      </w:r>
      <w:r w:rsidR="004510D1">
        <w:rPr>
          <w:rFonts w:ascii="Tahoma" w:hAnsi="Tahoma" w:cs="Tahoma"/>
          <w:i/>
          <w:sz w:val="22"/>
          <w:szCs w:val="22"/>
          <w:lang w:eastAsia="en-US"/>
        </w:rPr>
        <w:t xml:space="preserve"> </w:t>
      </w:r>
      <w:r w:rsidR="004510D1">
        <w:rPr>
          <w:rFonts w:ascii="Tahoma" w:hAnsi="Tahoma" w:cs="Tahoma"/>
          <w:sz w:val="22"/>
          <w:szCs w:val="22"/>
          <w:lang w:eastAsia="en-US"/>
        </w:rPr>
        <w:t>and the</w:t>
      </w:r>
      <w:r w:rsidR="004510D1" w:rsidRPr="004510D1">
        <w:rPr>
          <w:rFonts w:ascii="Tahoma" w:hAnsi="Tahoma" w:cs="Tahoma"/>
          <w:i/>
          <w:sz w:val="22"/>
          <w:szCs w:val="22"/>
          <w:lang w:eastAsia="en-US"/>
        </w:rPr>
        <w:t xml:space="preserve"> </w:t>
      </w:r>
      <w:r w:rsidR="004510D1" w:rsidRPr="00CA0905">
        <w:rPr>
          <w:rFonts w:ascii="Tahoma" w:hAnsi="Tahoma" w:cs="Tahoma"/>
          <w:i/>
          <w:sz w:val="22"/>
          <w:szCs w:val="22"/>
          <w:lang w:eastAsia="en-US"/>
        </w:rPr>
        <w:t>Planning and Environment Act 1987</w:t>
      </w:r>
      <w:r w:rsidR="004510D1">
        <w:rPr>
          <w:rFonts w:ascii="Tahoma" w:hAnsi="Tahoma" w:cs="Tahoma"/>
          <w:sz w:val="22"/>
          <w:szCs w:val="22"/>
          <w:lang w:eastAsia="en-US"/>
        </w:rPr>
        <w:t xml:space="preserve"> </w:t>
      </w:r>
      <w:r w:rsidRPr="00CA0905">
        <w:rPr>
          <w:rFonts w:ascii="Tahoma" w:hAnsi="Tahoma" w:cs="Tahoma"/>
          <w:sz w:val="22"/>
          <w:szCs w:val="22"/>
          <w:lang w:eastAsia="en-US"/>
        </w:rPr>
        <w:t>.</w:t>
      </w:r>
    </w:p>
    <w:p w:rsidR="00611247" w:rsidRDefault="00611247" w:rsidP="00611247">
      <w:pPr>
        <w:numPr>
          <w:ilvl w:val="0"/>
          <w:numId w:val="14"/>
        </w:numPr>
        <w:autoSpaceDE w:val="0"/>
        <w:autoSpaceDN w:val="0"/>
        <w:adjustRightInd w:val="0"/>
        <w:spacing w:before="180"/>
        <w:jc w:val="both"/>
        <w:rPr>
          <w:rFonts w:ascii="Tahoma" w:hAnsi="Tahoma" w:cs="Tahoma"/>
          <w:sz w:val="22"/>
          <w:szCs w:val="22"/>
          <w:lang w:eastAsia="en-US"/>
        </w:rPr>
      </w:pPr>
      <w:r w:rsidRPr="00CA0905">
        <w:rPr>
          <w:rFonts w:ascii="Tahoma" w:hAnsi="Tahoma" w:cs="Tahoma"/>
          <w:sz w:val="22"/>
          <w:szCs w:val="22"/>
          <w:lang w:eastAsia="en-US"/>
        </w:rPr>
        <w:t xml:space="preserve">Other </w:t>
      </w:r>
      <w:r w:rsidR="000E6BC9" w:rsidRPr="00CA0905">
        <w:rPr>
          <w:rFonts w:ascii="Tahoma" w:hAnsi="Tahoma" w:cs="Tahoma"/>
          <w:sz w:val="22"/>
          <w:szCs w:val="22"/>
          <w:lang w:eastAsia="en-US"/>
        </w:rPr>
        <w:t xml:space="preserve">residual </w:t>
      </w:r>
      <w:r w:rsidRPr="00CA0905">
        <w:rPr>
          <w:rFonts w:ascii="Tahoma" w:hAnsi="Tahoma" w:cs="Tahoma"/>
          <w:sz w:val="22"/>
          <w:szCs w:val="22"/>
          <w:lang w:eastAsia="en-US"/>
        </w:rPr>
        <w:t xml:space="preserve">potential effects should be readily addressed through </w:t>
      </w:r>
      <w:r w:rsidR="000E6BC9" w:rsidRPr="00CA0905">
        <w:rPr>
          <w:rFonts w:ascii="Tahoma" w:hAnsi="Tahoma" w:cs="Tahoma"/>
          <w:sz w:val="22"/>
          <w:szCs w:val="22"/>
          <w:lang w:eastAsia="en-US"/>
        </w:rPr>
        <w:t xml:space="preserve">respective </w:t>
      </w:r>
      <w:r w:rsidRPr="00CA0905">
        <w:rPr>
          <w:rFonts w:ascii="Tahoma" w:hAnsi="Tahoma" w:cs="Tahoma"/>
          <w:sz w:val="22"/>
          <w:szCs w:val="22"/>
          <w:lang w:eastAsia="en-US"/>
        </w:rPr>
        <w:t xml:space="preserve">statutory requirements under the </w:t>
      </w:r>
      <w:r w:rsidRPr="00CA0905">
        <w:rPr>
          <w:rFonts w:ascii="Tahoma" w:hAnsi="Tahoma" w:cs="Tahoma"/>
          <w:i/>
          <w:sz w:val="22"/>
          <w:szCs w:val="22"/>
          <w:lang w:eastAsia="en-US"/>
        </w:rPr>
        <w:t>Planning and Environment Act 1987</w:t>
      </w:r>
      <w:r w:rsidRPr="00CA0905">
        <w:rPr>
          <w:rFonts w:ascii="Tahoma" w:hAnsi="Tahoma" w:cs="Tahoma"/>
          <w:sz w:val="22"/>
          <w:szCs w:val="22"/>
          <w:lang w:eastAsia="en-US"/>
        </w:rPr>
        <w:t xml:space="preserve"> and </w:t>
      </w:r>
      <w:r w:rsidRPr="00CA0905">
        <w:rPr>
          <w:rFonts w:ascii="Tahoma" w:hAnsi="Tahoma" w:cs="Tahoma"/>
          <w:i/>
          <w:sz w:val="22"/>
          <w:szCs w:val="22"/>
          <w:lang w:eastAsia="en-US"/>
        </w:rPr>
        <w:t>Water Act 1970</w:t>
      </w:r>
      <w:r w:rsidRPr="00CA0905">
        <w:rPr>
          <w:rFonts w:ascii="Tahoma" w:hAnsi="Tahoma" w:cs="Tahoma"/>
          <w:sz w:val="22"/>
          <w:szCs w:val="22"/>
          <w:lang w:eastAsia="en-US"/>
        </w:rPr>
        <w:t>.</w:t>
      </w:r>
    </w:p>
    <w:p w:rsidR="00D9438E" w:rsidRPr="00253BD5" w:rsidRDefault="00D9438E" w:rsidP="00F36F38">
      <w:pPr>
        <w:rPr>
          <w:rFonts w:ascii="Tahoma" w:hAnsi="Tahoma" w:cs="Tahoma"/>
          <w:b/>
          <w:sz w:val="22"/>
          <w:szCs w:val="20"/>
          <w:lang w:eastAsia="en-US"/>
        </w:rPr>
      </w:pPr>
    </w:p>
    <w:p w:rsidR="00B04BD0" w:rsidRDefault="00B04BD0" w:rsidP="00F36F38">
      <w:pPr>
        <w:rPr>
          <w:rFonts w:ascii="Tahoma" w:hAnsi="Tahoma" w:cs="Tahoma"/>
          <w:b/>
          <w:sz w:val="22"/>
          <w:szCs w:val="20"/>
          <w:lang w:eastAsia="en-US"/>
        </w:rPr>
      </w:pPr>
    </w:p>
    <w:p w:rsidR="00551AF3" w:rsidRDefault="00F36F38" w:rsidP="00F36F38">
      <w:pPr>
        <w:rPr>
          <w:rFonts w:ascii="Tahoma" w:hAnsi="Tahoma" w:cs="Tahoma"/>
          <w:b/>
          <w:sz w:val="22"/>
          <w:szCs w:val="20"/>
          <w:lang w:eastAsia="en-US"/>
        </w:rPr>
      </w:pPr>
      <w:r w:rsidRPr="00F079DB">
        <w:rPr>
          <w:rFonts w:ascii="Tahoma" w:hAnsi="Tahoma" w:cs="Tahoma"/>
          <w:b/>
          <w:sz w:val="22"/>
          <w:szCs w:val="20"/>
          <w:lang w:eastAsia="en-US"/>
        </w:rPr>
        <w:t>Date of Decision:</w:t>
      </w:r>
      <w:r w:rsidRPr="00F079DB">
        <w:rPr>
          <w:rFonts w:ascii="Tahoma" w:hAnsi="Tahoma" w:cs="Tahoma"/>
          <w:b/>
          <w:sz w:val="22"/>
          <w:szCs w:val="20"/>
          <w:lang w:eastAsia="en-US"/>
        </w:rPr>
        <w:tab/>
      </w:r>
      <w:r w:rsidR="00281EB0">
        <w:rPr>
          <w:rFonts w:ascii="Tahoma" w:hAnsi="Tahoma" w:cs="Tahoma"/>
          <w:b/>
          <w:sz w:val="22"/>
          <w:szCs w:val="20"/>
          <w:lang w:eastAsia="en-US"/>
        </w:rPr>
        <w:t>10 August 2017</w:t>
      </w:r>
    </w:p>
    <w:p w:rsidR="00B83196" w:rsidRDefault="00B83196" w:rsidP="00F36F38">
      <w:pPr>
        <w:rPr>
          <w:rFonts w:ascii="Tahoma" w:hAnsi="Tahoma" w:cs="Tahoma"/>
          <w:b/>
          <w:sz w:val="22"/>
          <w:szCs w:val="20"/>
          <w:lang w:eastAsia="en-US"/>
        </w:rPr>
      </w:pPr>
    </w:p>
    <w:p w:rsidR="00B83196" w:rsidRDefault="00B83196" w:rsidP="00F36F38">
      <w:pPr>
        <w:rPr>
          <w:rFonts w:ascii="Tahoma" w:hAnsi="Tahoma" w:cs="Tahoma"/>
          <w:b/>
          <w:sz w:val="22"/>
          <w:szCs w:val="20"/>
          <w:lang w:eastAsia="en-US"/>
        </w:rPr>
      </w:pPr>
    </w:p>
    <w:p w:rsidR="00B83196" w:rsidRDefault="00B83196" w:rsidP="00F36F38">
      <w:pPr>
        <w:rPr>
          <w:rFonts w:ascii="Tahoma" w:hAnsi="Tahoma" w:cs="Tahoma"/>
          <w:b/>
          <w:sz w:val="22"/>
          <w:szCs w:val="20"/>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bookmarkStart w:id="0" w:name="_GoBack"/>
      <w:bookmarkEnd w:id="0"/>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p w:rsidR="00B83196" w:rsidRDefault="00B83196" w:rsidP="00B83196">
      <w:pPr>
        <w:spacing w:before="120"/>
        <w:jc w:val="both"/>
        <w:rPr>
          <w:rFonts w:ascii="Tahoma" w:hAnsi="Tahoma" w:cs="Tahoma"/>
          <w:sz w:val="22"/>
          <w:szCs w:val="22"/>
          <w:lang w:eastAsia="en-US"/>
        </w:rPr>
      </w:pPr>
    </w:p>
    <w:sectPr w:rsidR="00B83196" w:rsidSect="00472E49">
      <w:headerReference w:type="default" r:id="rId9"/>
      <w:pgSz w:w="11907" w:h="16840" w:code="9"/>
      <w:pgMar w:top="1440" w:right="1440" w:bottom="1134"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52" w:rsidRDefault="00AD4F52">
      <w:r>
        <w:separator/>
      </w:r>
    </w:p>
  </w:endnote>
  <w:endnote w:type="continuationSeparator" w:id="0">
    <w:p w:rsidR="00AD4F52" w:rsidRDefault="00AD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52" w:rsidRDefault="00AD4F52">
      <w:r>
        <w:separator/>
      </w:r>
    </w:p>
  </w:footnote>
  <w:footnote w:type="continuationSeparator" w:id="0">
    <w:p w:rsidR="00AD4F52" w:rsidRDefault="00AD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F079DB" w:rsidRDefault="00C70D80">
    <w:pPr>
      <w:pStyle w:val="Header"/>
      <w:jc w:val="right"/>
      <w:rPr>
        <w:rFonts w:ascii="Tahoma" w:hAnsi="Tahoma" w:cs="Tahoma"/>
        <w:sz w:val="22"/>
      </w:rPr>
    </w:pPr>
    <w:r w:rsidRPr="004510D1">
      <w:rPr>
        <w:rFonts w:ascii="Tahoma" w:hAnsi="Tahoma" w:cs="Tahoma"/>
        <w:sz w:val="22"/>
      </w:rPr>
      <w:t xml:space="preserve">REFERRAL NUMBER </w:t>
    </w:r>
    <w:r w:rsidR="00CE5A35" w:rsidRPr="004510D1">
      <w:rPr>
        <w:rFonts w:ascii="Tahoma" w:hAnsi="Tahoma" w:cs="Tahoma"/>
        <w:sz w:val="22"/>
      </w:rPr>
      <w:t>2017</w:t>
    </w:r>
    <w:r w:rsidR="00867966" w:rsidRPr="004510D1">
      <w:rPr>
        <w:rFonts w:ascii="Tahoma" w:hAnsi="Tahoma" w:cs="Tahoma"/>
        <w:sz w:val="22"/>
      </w:rPr>
      <w:t>-R</w:t>
    </w:r>
    <w:r w:rsidR="004510D1" w:rsidRPr="004510D1">
      <w:rPr>
        <w:rFonts w:ascii="Tahoma" w:hAnsi="Tahoma" w:cs="Tahoma"/>
        <w:sz w:val="22"/>
      </w:rPr>
      <w:t>0007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0E6A30ED"/>
    <w:multiLevelType w:val="hybridMultilevel"/>
    <w:tmpl w:val="9D649D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4B57240"/>
    <w:multiLevelType w:val="hybridMultilevel"/>
    <w:tmpl w:val="8B2C8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A7091A"/>
    <w:multiLevelType w:val="hybridMultilevel"/>
    <w:tmpl w:val="C4101D6E"/>
    <w:lvl w:ilvl="0" w:tplc="0C090017">
      <w:start w:val="1"/>
      <w:numFmt w:val="lowerLetter"/>
      <w:lvlText w:val="%1)"/>
      <w:lvlJc w:val="left"/>
      <w:pPr>
        <w:ind w:left="720" w:hanging="360"/>
      </w:pPr>
      <w:rPr>
        <w:rFonts w:hint="default"/>
      </w:rPr>
    </w:lvl>
    <w:lvl w:ilvl="1" w:tplc="3C4EF18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3568218E"/>
    <w:multiLevelType w:val="hybridMultilevel"/>
    <w:tmpl w:val="E7A0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11">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3">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4">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6">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E1E2383"/>
    <w:multiLevelType w:val="hybridMultilevel"/>
    <w:tmpl w:val="7BEA2440"/>
    <w:lvl w:ilvl="0" w:tplc="CF1CEF2E">
      <w:numFmt w:val="bullet"/>
      <w:lvlText w:val="•"/>
      <w:lvlJc w:val="left"/>
      <w:pPr>
        <w:ind w:left="720" w:hanging="720"/>
      </w:pPr>
      <w:rPr>
        <w:rFonts w:ascii="Tahoma" w:eastAsia="Times New Roman" w:hAnsi="Tahoma"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6872E30"/>
    <w:multiLevelType w:val="singleLevel"/>
    <w:tmpl w:val="7AF6CB6E"/>
    <w:lvl w:ilvl="0">
      <w:numFmt w:val="bullet"/>
      <w:lvlText w:val="-"/>
      <w:lvlJc w:val="left"/>
      <w:pPr>
        <w:tabs>
          <w:tab w:val="num" w:pos="720"/>
        </w:tabs>
        <w:ind w:left="720" w:hanging="360"/>
      </w:pPr>
      <w:rPr>
        <w:rFonts w:hint="default"/>
      </w:rPr>
    </w:lvl>
  </w:abstractNum>
  <w:abstractNum w:abstractNumId="20">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1">
    <w:nsid w:val="699D7697"/>
    <w:multiLevelType w:val="hybridMultilevel"/>
    <w:tmpl w:val="47A4D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4">
    <w:nsid w:val="722B1CC9"/>
    <w:multiLevelType w:val="hybridMultilevel"/>
    <w:tmpl w:val="C4101D6E"/>
    <w:lvl w:ilvl="0" w:tplc="0C090017">
      <w:start w:val="1"/>
      <w:numFmt w:val="lowerLetter"/>
      <w:lvlText w:val="%1)"/>
      <w:lvlJc w:val="left"/>
      <w:pPr>
        <w:ind w:left="720" w:hanging="360"/>
      </w:pPr>
      <w:rPr>
        <w:rFonts w:hint="default"/>
      </w:rPr>
    </w:lvl>
    <w:lvl w:ilvl="1" w:tplc="3C4EF18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26">
    <w:nsid w:val="7F0A0294"/>
    <w:multiLevelType w:val="hybridMultilevel"/>
    <w:tmpl w:val="3892890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16"/>
  </w:num>
  <w:num w:numId="3">
    <w:abstractNumId w:val="5"/>
  </w:num>
  <w:num w:numId="4">
    <w:abstractNumId w:val="14"/>
  </w:num>
  <w:num w:numId="5">
    <w:abstractNumId w:val="23"/>
  </w:num>
  <w:num w:numId="6">
    <w:abstractNumId w:val="4"/>
  </w:num>
  <w:num w:numId="7">
    <w:abstractNumId w:val="19"/>
  </w:num>
  <w:num w:numId="8">
    <w:abstractNumId w:val="25"/>
  </w:num>
  <w:num w:numId="9">
    <w:abstractNumId w:val="10"/>
  </w:num>
  <w:num w:numId="10">
    <w:abstractNumId w:val="15"/>
  </w:num>
  <w:num w:numId="11">
    <w:abstractNumId w:val="12"/>
  </w:num>
  <w:num w:numId="12">
    <w:abstractNumId w:val="13"/>
  </w:num>
  <w:num w:numId="13">
    <w:abstractNumId w:val="8"/>
  </w:num>
  <w:num w:numId="14">
    <w:abstractNumId w:val="21"/>
  </w:num>
  <w:num w:numId="15">
    <w:abstractNumId w:val="11"/>
  </w:num>
  <w:num w:numId="16">
    <w:abstractNumId w:val="0"/>
  </w:num>
  <w:num w:numId="17">
    <w:abstractNumId w:val="22"/>
  </w:num>
  <w:num w:numId="18">
    <w:abstractNumId w:val="2"/>
  </w:num>
  <w:num w:numId="19">
    <w:abstractNumId w:val="3"/>
  </w:num>
  <w:num w:numId="20">
    <w:abstractNumId w:val="17"/>
  </w:num>
  <w:num w:numId="21">
    <w:abstractNumId w:val="24"/>
  </w:num>
  <w:num w:numId="22">
    <w:abstractNumId w:val="0"/>
  </w:num>
  <w:num w:numId="23">
    <w:abstractNumId w:val="7"/>
  </w:num>
  <w:num w:numId="24">
    <w:abstractNumId w:val="6"/>
  </w:num>
  <w:num w:numId="25">
    <w:abstractNumId w:val="18"/>
  </w:num>
  <w:num w:numId="26">
    <w:abstractNumId w:val="1"/>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2C4E"/>
    <w:rsid w:val="00005D79"/>
    <w:rsid w:val="00015498"/>
    <w:rsid w:val="00024702"/>
    <w:rsid w:val="00025F57"/>
    <w:rsid w:val="00026458"/>
    <w:rsid w:val="00026EF4"/>
    <w:rsid w:val="000343A5"/>
    <w:rsid w:val="00041135"/>
    <w:rsid w:val="000438BA"/>
    <w:rsid w:val="00044272"/>
    <w:rsid w:val="00044E7B"/>
    <w:rsid w:val="00050F4B"/>
    <w:rsid w:val="00055CF8"/>
    <w:rsid w:val="00071011"/>
    <w:rsid w:val="00076F36"/>
    <w:rsid w:val="00077812"/>
    <w:rsid w:val="00086380"/>
    <w:rsid w:val="00093233"/>
    <w:rsid w:val="00096190"/>
    <w:rsid w:val="000A0A77"/>
    <w:rsid w:val="000E6BC9"/>
    <w:rsid w:val="001031D8"/>
    <w:rsid w:val="00107A1F"/>
    <w:rsid w:val="00120BD1"/>
    <w:rsid w:val="0012303B"/>
    <w:rsid w:val="001353B7"/>
    <w:rsid w:val="00143057"/>
    <w:rsid w:val="00147339"/>
    <w:rsid w:val="0016003C"/>
    <w:rsid w:val="0017777F"/>
    <w:rsid w:val="00182EB0"/>
    <w:rsid w:val="00187BB6"/>
    <w:rsid w:val="0019050D"/>
    <w:rsid w:val="001962B7"/>
    <w:rsid w:val="001A0D93"/>
    <w:rsid w:val="001A3A86"/>
    <w:rsid w:val="001B611D"/>
    <w:rsid w:val="001D1019"/>
    <w:rsid w:val="001E1130"/>
    <w:rsid w:val="001F486B"/>
    <w:rsid w:val="002038BC"/>
    <w:rsid w:val="00207FE8"/>
    <w:rsid w:val="0022764C"/>
    <w:rsid w:val="00243B5C"/>
    <w:rsid w:val="00247B5D"/>
    <w:rsid w:val="00277B9D"/>
    <w:rsid w:val="00281EB0"/>
    <w:rsid w:val="00282F6C"/>
    <w:rsid w:val="0029150F"/>
    <w:rsid w:val="002A063F"/>
    <w:rsid w:val="002A31B4"/>
    <w:rsid w:val="002A798E"/>
    <w:rsid w:val="002B27C8"/>
    <w:rsid w:val="002E664E"/>
    <w:rsid w:val="00300C56"/>
    <w:rsid w:val="00302656"/>
    <w:rsid w:val="0031652C"/>
    <w:rsid w:val="00322DA1"/>
    <w:rsid w:val="0032465E"/>
    <w:rsid w:val="003571C5"/>
    <w:rsid w:val="00376F3F"/>
    <w:rsid w:val="0038672F"/>
    <w:rsid w:val="00390623"/>
    <w:rsid w:val="00396D7A"/>
    <w:rsid w:val="003A3B1D"/>
    <w:rsid w:val="003C397B"/>
    <w:rsid w:val="003C4016"/>
    <w:rsid w:val="003C6208"/>
    <w:rsid w:val="003E1643"/>
    <w:rsid w:val="003E36F8"/>
    <w:rsid w:val="003F01F9"/>
    <w:rsid w:val="003F1D4C"/>
    <w:rsid w:val="0040600E"/>
    <w:rsid w:val="004510D1"/>
    <w:rsid w:val="00461E83"/>
    <w:rsid w:val="004632F1"/>
    <w:rsid w:val="00472E49"/>
    <w:rsid w:val="00485346"/>
    <w:rsid w:val="0048710B"/>
    <w:rsid w:val="00487AF7"/>
    <w:rsid w:val="004A032C"/>
    <w:rsid w:val="004B0421"/>
    <w:rsid w:val="004C0A0E"/>
    <w:rsid w:val="004C3951"/>
    <w:rsid w:val="004E20BF"/>
    <w:rsid w:val="004F36A9"/>
    <w:rsid w:val="005016E9"/>
    <w:rsid w:val="005448BE"/>
    <w:rsid w:val="00547CED"/>
    <w:rsid w:val="00551AF3"/>
    <w:rsid w:val="00556675"/>
    <w:rsid w:val="0058319A"/>
    <w:rsid w:val="00586208"/>
    <w:rsid w:val="005916A7"/>
    <w:rsid w:val="005A0E4A"/>
    <w:rsid w:val="005A3A2B"/>
    <w:rsid w:val="005B0ACD"/>
    <w:rsid w:val="005D2E4B"/>
    <w:rsid w:val="005E1354"/>
    <w:rsid w:val="005F6BC4"/>
    <w:rsid w:val="006079FC"/>
    <w:rsid w:val="00607C09"/>
    <w:rsid w:val="00607D41"/>
    <w:rsid w:val="00611247"/>
    <w:rsid w:val="006140CA"/>
    <w:rsid w:val="006207B8"/>
    <w:rsid w:val="006244E1"/>
    <w:rsid w:val="00652CFC"/>
    <w:rsid w:val="00657A5F"/>
    <w:rsid w:val="00666C2F"/>
    <w:rsid w:val="0067075B"/>
    <w:rsid w:val="0067222B"/>
    <w:rsid w:val="00677C32"/>
    <w:rsid w:val="006A54AE"/>
    <w:rsid w:val="006C59D4"/>
    <w:rsid w:val="00727595"/>
    <w:rsid w:val="00733BEE"/>
    <w:rsid w:val="00740579"/>
    <w:rsid w:val="00747FD3"/>
    <w:rsid w:val="00775245"/>
    <w:rsid w:val="007B1605"/>
    <w:rsid w:val="007B79D7"/>
    <w:rsid w:val="007C2D75"/>
    <w:rsid w:val="007E0467"/>
    <w:rsid w:val="0080125B"/>
    <w:rsid w:val="008116B7"/>
    <w:rsid w:val="00821D5C"/>
    <w:rsid w:val="00822B07"/>
    <w:rsid w:val="00831438"/>
    <w:rsid w:val="00867966"/>
    <w:rsid w:val="00875BC9"/>
    <w:rsid w:val="00877176"/>
    <w:rsid w:val="00877812"/>
    <w:rsid w:val="00894308"/>
    <w:rsid w:val="008A3FE6"/>
    <w:rsid w:val="008A4A5C"/>
    <w:rsid w:val="008C3510"/>
    <w:rsid w:val="008D4931"/>
    <w:rsid w:val="008F56E7"/>
    <w:rsid w:val="00903ED9"/>
    <w:rsid w:val="00904114"/>
    <w:rsid w:val="009154FF"/>
    <w:rsid w:val="00916285"/>
    <w:rsid w:val="009319BB"/>
    <w:rsid w:val="00933705"/>
    <w:rsid w:val="00940740"/>
    <w:rsid w:val="00941B74"/>
    <w:rsid w:val="00950B65"/>
    <w:rsid w:val="00985A26"/>
    <w:rsid w:val="009D0F0F"/>
    <w:rsid w:val="009D22C5"/>
    <w:rsid w:val="009D26C1"/>
    <w:rsid w:val="009D75E9"/>
    <w:rsid w:val="009E036B"/>
    <w:rsid w:val="009E5F66"/>
    <w:rsid w:val="00A105A6"/>
    <w:rsid w:val="00A20F6A"/>
    <w:rsid w:val="00A213A8"/>
    <w:rsid w:val="00A22A76"/>
    <w:rsid w:val="00A30BB7"/>
    <w:rsid w:val="00A33712"/>
    <w:rsid w:val="00A4539D"/>
    <w:rsid w:val="00A5444A"/>
    <w:rsid w:val="00A550F5"/>
    <w:rsid w:val="00A60FD7"/>
    <w:rsid w:val="00A72E7B"/>
    <w:rsid w:val="00AA29FA"/>
    <w:rsid w:val="00AB3DF9"/>
    <w:rsid w:val="00AC2222"/>
    <w:rsid w:val="00AD1C2D"/>
    <w:rsid w:val="00AD4F52"/>
    <w:rsid w:val="00AD5BB3"/>
    <w:rsid w:val="00AE0D44"/>
    <w:rsid w:val="00B0262D"/>
    <w:rsid w:val="00B04BD0"/>
    <w:rsid w:val="00B14022"/>
    <w:rsid w:val="00B2038A"/>
    <w:rsid w:val="00B20E5E"/>
    <w:rsid w:val="00B20EF3"/>
    <w:rsid w:val="00B32C33"/>
    <w:rsid w:val="00B35E76"/>
    <w:rsid w:val="00B45295"/>
    <w:rsid w:val="00B50488"/>
    <w:rsid w:val="00B51159"/>
    <w:rsid w:val="00B572CE"/>
    <w:rsid w:val="00B65956"/>
    <w:rsid w:val="00B76483"/>
    <w:rsid w:val="00B83196"/>
    <w:rsid w:val="00B90DA4"/>
    <w:rsid w:val="00BC5B3E"/>
    <w:rsid w:val="00BD1913"/>
    <w:rsid w:val="00BD71BC"/>
    <w:rsid w:val="00C0568D"/>
    <w:rsid w:val="00C14D37"/>
    <w:rsid w:val="00C26AD9"/>
    <w:rsid w:val="00C55427"/>
    <w:rsid w:val="00C70D80"/>
    <w:rsid w:val="00C737F9"/>
    <w:rsid w:val="00C73EE1"/>
    <w:rsid w:val="00C87125"/>
    <w:rsid w:val="00C928D9"/>
    <w:rsid w:val="00CA0905"/>
    <w:rsid w:val="00CB1B7D"/>
    <w:rsid w:val="00CC757B"/>
    <w:rsid w:val="00CD589D"/>
    <w:rsid w:val="00CE5A35"/>
    <w:rsid w:val="00D02B60"/>
    <w:rsid w:val="00D218B3"/>
    <w:rsid w:val="00D360E8"/>
    <w:rsid w:val="00D44D28"/>
    <w:rsid w:val="00D63849"/>
    <w:rsid w:val="00D65AF1"/>
    <w:rsid w:val="00D66C41"/>
    <w:rsid w:val="00D772A0"/>
    <w:rsid w:val="00D9438E"/>
    <w:rsid w:val="00D97A57"/>
    <w:rsid w:val="00DA3277"/>
    <w:rsid w:val="00DA36C8"/>
    <w:rsid w:val="00DB304D"/>
    <w:rsid w:val="00DC3E46"/>
    <w:rsid w:val="00DE3E2B"/>
    <w:rsid w:val="00E301C9"/>
    <w:rsid w:val="00E31137"/>
    <w:rsid w:val="00E334E9"/>
    <w:rsid w:val="00E34961"/>
    <w:rsid w:val="00E40698"/>
    <w:rsid w:val="00E773E0"/>
    <w:rsid w:val="00E92729"/>
    <w:rsid w:val="00E933EB"/>
    <w:rsid w:val="00EA2267"/>
    <w:rsid w:val="00EB1F67"/>
    <w:rsid w:val="00EC2AAE"/>
    <w:rsid w:val="00EC3761"/>
    <w:rsid w:val="00EC3788"/>
    <w:rsid w:val="00EC4D2F"/>
    <w:rsid w:val="00EC5EB3"/>
    <w:rsid w:val="00ED3042"/>
    <w:rsid w:val="00ED3DF5"/>
    <w:rsid w:val="00EF6D74"/>
    <w:rsid w:val="00EF7E70"/>
    <w:rsid w:val="00F00840"/>
    <w:rsid w:val="00F079DB"/>
    <w:rsid w:val="00F07E14"/>
    <w:rsid w:val="00F11F7D"/>
    <w:rsid w:val="00F146DF"/>
    <w:rsid w:val="00F24300"/>
    <w:rsid w:val="00F260DA"/>
    <w:rsid w:val="00F33924"/>
    <w:rsid w:val="00F36F38"/>
    <w:rsid w:val="00F45C3F"/>
    <w:rsid w:val="00F50D84"/>
    <w:rsid w:val="00F549C6"/>
    <w:rsid w:val="00F57CDC"/>
    <w:rsid w:val="00F621C5"/>
    <w:rsid w:val="00F62B91"/>
    <w:rsid w:val="00F64DB9"/>
    <w:rsid w:val="00F67CD2"/>
    <w:rsid w:val="00F73BCE"/>
    <w:rsid w:val="00F857E2"/>
    <w:rsid w:val="00F87E3E"/>
    <w:rsid w:val="00F94DED"/>
    <w:rsid w:val="00FA7D55"/>
    <w:rsid w:val="00FC26E3"/>
    <w:rsid w:val="00FC6A17"/>
    <w:rsid w:val="00FD12F1"/>
    <w:rsid w:val="00FD7E06"/>
    <w:rsid w:val="00FE60D9"/>
    <w:rsid w:val="00FE7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CE5A35"/>
    <w:pPr>
      <w:ind w:left="720"/>
      <w:contextualSpacing/>
    </w:pPr>
  </w:style>
  <w:style w:type="paragraph" w:customStyle="1" w:styleId="ReplyLet">
    <w:name w:val="ReplyLet"/>
    <w:basedOn w:val="Normal"/>
    <w:link w:val="ReplyLetChar"/>
    <w:qFormat/>
    <w:rsid w:val="00B83196"/>
    <w:pPr>
      <w:jc w:val="both"/>
    </w:pPr>
    <w:rPr>
      <w:rFonts w:ascii="Arial" w:hAnsi="Arial" w:cs="Arial"/>
      <w:sz w:val="23"/>
      <w:szCs w:val="20"/>
      <w:lang w:eastAsia="en-US"/>
    </w:rPr>
  </w:style>
  <w:style w:type="character" w:customStyle="1" w:styleId="ReplyLetChar">
    <w:name w:val="ReplyLet Char"/>
    <w:link w:val="ReplyLet"/>
    <w:rsid w:val="00B83196"/>
    <w:rPr>
      <w:rFonts w:ascii="Arial" w:hAnsi="Arial" w:cs="Arial"/>
      <w:sz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CE5A35"/>
    <w:pPr>
      <w:ind w:left="720"/>
      <w:contextualSpacing/>
    </w:pPr>
  </w:style>
  <w:style w:type="paragraph" w:customStyle="1" w:styleId="ReplyLet">
    <w:name w:val="ReplyLet"/>
    <w:basedOn w:val="Normal"/>
    <w:link w:val="ReplyLetChar"/>
    <w:qFormat/>
    <w:rsid w:val="00B83196"/>
    <w:pPr>
      <w:jc w:val="both"/>
    </w:pPr>
    <w:rPr>
      <w:rFonts w:ascii="Arial" w:hAnsi="Arial" w:cs="Arial"/>
      <w:sz w:val="23"/>
      <w:szCs w:val="20"/>
      <w:lang w:eastAsia="en-US"/>
    </w:rPr>
  </w:style>
  <w:style w:type="character" w:customStyle="1" w:styleId="ReplyLetChar">
    <w:name w:val="ReplyLet Char"/>
    <w:link w:val="ReplyLet"/>
    <w:rsid w:val="00B83196"/>
    <w:rPr>
      <w:rFonts w:ascii="Arial" w:hAnsi="Arial" w:cs="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 w:id="1367216763">
      <w:bodyDiv w:val="1"/>
      <w:marLeft w:val="0"/>
      <w:marRight w:val="0"/>
      <w:marTop w:val="0"/>
      <w:marBottom w:val="0"/>
      <w:divBdr>
        <w:top w:val="none" w:sz="0" w:space="0" w:color="auto"/>
        <w:left w:val="none" w:sz="0" w:space="0" w:color="auto"/>
        <w:bottom w:val="none" w:sz="0" w:space="0" w:color="auto"/>
        <w:right w:val="none" w:sz="0" w:space="0" w:color="auto"/>
      </w:divBdr>
    </w:div>
    <w:div w:id="20235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55C7-9C09-4FE8-AAA1-551A006D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Ashleigh Evans</cp:lastModifiedBy>
  <cp:revision>2</cp:revision>
  <cp:lastPrinted>2017-08-07T03:23:00Z</cp:lastPrinted>
  <dcterms:created xsi:type="dcterms:W3CDTF">2017-08-10T06:47:00Z</dcterms:created>
  <dcterms:modified xsi:type="dcterms:W3CDTF">2017-08-10T06:47:00Z</dcterms:modified>
</cp:coreProperties>
</file>