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eastAsia="MS P????" w:hAnsi="Arial" w:cs="Arial"/>
          <w:b/>
          <w:bCs/>
          <w:noProof/>
          <w:color w:val="E8C454"/>
          <w:kern w:val="32"/>
          <w:sz w:val="32"/>
          <w:szCs w:val="32"/>
          <w:lang w:val="en-US" w:eastAsia="en-US"/>
        </w:rPr>
        <w:id w:val="-1923085269"/>
        <w:docPartObj>
          <w:docPartGallery w:val="Cover Pages"/>
          <w:docPartUnique/>
        </w:docPartObj>
      </w:sdtPr>
      <w:sdtEndPr>
        <w:rPr>
          <w:rFonts w:asciiTheme="minorHAnsi" w:eastAsia="Times New Roman" w:hAnsiTheme="minorHAnsi" w:cstheme="minorBidi"/>
          <w:bCs w:val="0"/>
          <w:kern w:val="0"/>
          <w:sz w:val="34"/>
          <w:szCs w:val="34"/>
          <w:lang w:val="en-AU" w:eastAsia="en-AU"/>
        </w:rPr>
      </w:sdtEndPr>
      <w:sdtContent>
        <w:p w:rsidR="0073453E" w:rsidRDefault="0073453E" w:rsidP="00D34F87">
          <w:pPr>
            <w:tabs>
              <w:tab w:val="left" w:pos="8931"/>
            </w:tabs>
            <w:rPr>
              <w:rFonts w:ascii="Arial" w:eastAsia="MS P????" w:hAnsi="Arial" w:cs="Arial"/>
              <w:b/>
              <w:bCs/>
              <w:noProof/>
              <w:kern w:val="32"/>
              <w:sz w:val="32"/>
              <w:szCs w:val="32"/>
              <w:lang w:val="en-US" w:eastAsia="en-US"/>
            </w:rPr>
          </w:pPr>
        </w:p>
        <w:p w:rsidR="00DE1C1D" w:rsidRPr="004B5371" w:rsidRDefault="00DE1C1D" w:rsidP="00D34F87">
          <w:pPr>
            <w:tabs>
              <w:tab w:val="left" w:pos="8931"/>
            </w:tabs>
            <w:rPr>
              <w:rFonts w:eastAsiaTheme="majorEastAsia" w:cstheme="minorHAnsi"/>
              <w:spacing w:val="5"/>
              <w:kern w:val="28"/>
              <w:sz w:val="52"/>
              <w:szCs w:val="52"/>
            </w:rPr>
          </w:pPr>
        </w:p>
        <w:p w:rsidR="00DE1C1D" w:rsidRDefault="0073453E" w:rsidP="00D34F87">
          <w:pPr>
            <w:tabs>
              <w:tab w:val="left" w:pos="8931"/>
            </w:tabs>
            <w:rPr>
              <w:rFonts w:eastAsiaTheme="majorEastAsia" w:cstheme="minorHAnsi"/>
              <w:spacing w:val="5"/>
              <w:kern w:val="28"/>
              <w:sz w:val="52"/>
              <w:szCs w:val="52"/>
            </w:rPr>
          </w:pPr>
          <w:r w:rsidRPr="0073453E">
            <w:rPr>
              <w:rFonts w:eastAsiaTheme="majorEastAsia" w:cstheme="minorHAnsi"/>
              <w:spacing w:val="5"/>
              <w:kern w:val="28"/>
              <w:sz w:val="52"/>
              <w:szCs w:val="52"/>
            </w:rPr>
            <w:t>Regional Growth Plan</w:t>
          </w:r>
        </w:p>
        <w:p w:rsidR="00496242" w:rsidRPr="0073453E" w:rsidRDefault="00DE1C1D" w:rsidP="00D34F87">
          <w:pPr>
            <w:tabs>
              <w:tab w:val="left" w:pos="8931"/>
            </w:tabs>
            <w:rPr>
              <w:rFonts w:eastAsiaTheme="majorEastAsia" w:cstheme="minorHAnsi"/>
              <w:spacing w:val="5"/>
              <w:kern w:val="28"/>
              <w:sz w:val="52"/>
              <w:szCs w:val="52"/>
            </w:rPr>
          </w:pPr>
          <w:r>
            <w:rPr>
              <w:rFonts w:eastAsiaTheme="majorEastAsia" w:cstheme="minorHAnsi"/>
              <w:spacing w:val="5"/>
              <w:kern w:val="28"/>
              <w:sz w:val="52"/>
              <w:szCs w:val="52"/>
            </w:rPr>
            <w:t>Background Report</w:t>
          </w:r>
        </w:p>
        <w:p w:rsidR="00496242" w:rsidRPr="0073453E" w:rsidRDefault="00496242" w:rsidP="00D34F87">
          <w:pPr>
            <w:pStyle w:val="Subtitle"/>
            <w:tabs>
              <w:tab w:val="left" w:pos="8931"/>
            </w:tabs>
            <w:spacing w:before="100" w:beforeAutospacing="1" w:after="120"/>
            <w:jc w:val="both"/>
            <w:rPr>
              <w:rFonts w:cstheme="minorHAnsi"/>
              <w:color w:val="auto"/>
              <w:sz w:val="24"/>
              <w:szCs w:val="24"/>
            </w:rPr>
          </w:pPr>
        </w:p>
        <w:p w:rsidR="00AC7AEC" w:rsidRPr="00B17D15" w:rsidRDefault="00AC7AEC" w:rsidP="00D34F87">
          <w:pPr>
            <w:tabs>
              <w:tab w:val="left" w:pos="8931"/>
            </w:tabs>
            <w:rPr>
              <w:rFonts w:ascii="Arial" w:eastAsia="MS P????" w:hAnsi="Arial" w:cs="Arial"/>
              <w:b/>
              <w:bCs/>
              <w:noProof/>
              <w:kern w:val="32"/>
              <w:sz w:val="32"/>
              <w:szCs w:val="32"/>
              <w:lang w:val="en-US" w:eastAsia="en-US"/>
            </w:rPr>
            <w:sectPr w:rsidR="00AC7AEC" w:rsidRPr="00B17D15" w:rsidSect="00496242">
              <w:headerReference w:type="default" r:id="rId9"/>
              <w:pgSz w:w="11907" w:h="16839" w:code="9"/>
              <w:pgMar w:top="3261" w:right="1417" w:bottom="0" w:left="1418" w:header="0" w:footer="0" w:gutter="0"/>
              <w:cols w:space="708"/>
              <w:docGrid w:linePitch="360"/>
            </w:sectPr>
          </w:pPr>
        </w:p>
        <w:p w:rsidR="00AD0EAA" w:rsidRDefault="00AD0EAA" w:rsidP="00AD0EAA">
          <w:pPr>
            <w:pStyle w:val="bt"/>
          </w:pPr>
          <w:r>
            <w:lastRenderedPageBreak/>
            <w:t>Authorised and published by the Victorian Government, 1 Treasury Place, Melbourne</w:t>
          </w:r>
        </w:p>
        <w:p w:rsidR="00AD0EAA" w:rsidRDefault="00AD0EAA" w:rsidP="00AD0EAA">
          <w:pPr>
            <w:pStyle w:val="bt"/>
          </w:pPr>
          <w:r>
            <w:t>Printed by Finsbury Green, Melbourne</w:t>
          </w:r>
        </w:p>
        <w:p w:rsidR="00AD0EAA" w:rsidRPr="00116E6E" w:rsidRDefault="00AD0EAA" w:rsidP="00AD0EAA">
          <w:pPr>
            <w:pStyle w:val="bt"/>
            <w:rPr>
              <w:sz w:val="28"/>
              <w:szCs w:val="28"/>
            </w:rPr>
          </w:pPr>
          <w:r w:rsidRPr="00116E6E">
            <w:rPr>
              <w:sz w:val="28"/>
              <w:szCs w:val="28"/>
            </w:rPr>
            <w:t>If you would like to receive this publication in an accessible format, please telephone 1300 366 356.</w:t>
          </w:r>
        </w:p>
        <w:p w:rsidR="00AD0EAA" w:rsidRDefault="00AD0EAA" w:rsidP="00AD0EAA">
          <w:pPr>
            <w:pStyle w:val="bt"/>
          </w:pPr>
          <w:r>
            <w:t xml:space="preserve">This document is also available in Word format at </w:t>
          </w:r>
          <w:hyperlink r:id="rId10" w:history="1">
            <w:r>
              <w:rPr>
                <w:color w:val="0000FF"/>
                <w:u w:val="single"/>
              </w:rPr>
              <w:t>www.dtpli.vic.gov.au/regionalgrowthplans</w:t>
            </w:r>
          </w:hyperlink>
        </w:p>
        <w:p w:rsidR="00AD0EAA" w:rsidRDefault="00AD0EAA" w:rsidP="00AD0EAA">
          <w:pPr>
            <w:pStyle w:val="bt"/>
          </w:pPr>
          <w:r>
            <w:t>Unless indicated otherwise, this work is made available under the terms of the Creative Commons Attribution 3.0 Australia licence.</w:t>
          </w:r>
        </w:p>
        <w:p w:rsidR="00AD0EAA" w:rsidRDefault="00AD0EAA" w:rsidP="00AD0EAA">
          <w:pPr>
            <w:pStyle w:val="bt"/>
          </w:pPr>
          <w:r>
            <w:t>To view a copy of the licence, visit creativecommons.org/licences/by/3.0/au</w:t>
          </w:r>
        </w:p>
        <w:p w:rsidR="00AD0EAA" w:rsidRDefault="00AD0EAA" w:rsidP="00AD0EAA">
          <w:pPr>
            <w:pStyle w:val="bt"/>
          </w:pPr>
          <w:r>
            <w:t>It is a condition of this Creative Commons Attribution 3.0 Licence that you must give credit to the original author who is the State of Victoria.</w:t>
          </w:r>
        </w:p>
        <w:p w:rsidR="00AD0EAA" w:rsidRDefault="00AD0EAA" w:rsidP="00AD0EAA">
          <w:pPr>
            <w:pStyle w:val="bt"/>
            <w:rPr>
              <w:b/>
              <w:bCs/>
            </w:rPr>
          </w:pPr>
          <w:r>
            <w:rPr>
              <w:b/>
              <w:bCs/>
            </w:rPr>
            <w:t>Disclaimer</w:t>
          </w:r>
        </w:p>
        <w:p w:rsidR="00AD0EAA" w:rsidRDefault="00AD0EAA" w:rsidP="00AD0EAA">
          <w:pPr>
            <w:pStyle w:val="b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AD0EAA" w:rsidRDefault="002E60CF" w:rsidP="00AD0EAA">
          <w:pPr>
            <w:pStyle w:val="bt"/>
            <w:rPr>
              <w:rFonts w:cs="Calibri"/>
              <w:bCs/>
              <w:color w:val="000000" w:themeColor="text1"/>
            </w:rPr>
          </w:pPr>
          <w:r>
            <w:rPr>
              <w:b/>
              <w:bCs/>
            </w:rPr>
            <w:t>April</w:t>
          </w:r>
          <w:r w:rsidR="00AD0EAA" w:rsidRPr="00E4257C">
            <w:rPr>
              <w:b/>
              <w:bCs/>
            </w:rPr>
            <w:t xml:space="preserve"> 2014</w:t>
          </w:r>
        </w:p>
        <w:p w:rsidR="0073453E" w:rsidRPr="00B01656" w:rsidRDefault="0073453E" w:rsidP="00D34F87">
          <w:pPr>
            <w:tabs>
              <w:tab w:val="left" w:pos="8931"/>
            </w:tabs>
            <w:rPr>
              <w:rFonts w:eastAsia="MS P????" w:cstheme="minorHAnsi"/>
              <w:b/>
              <w:bCs/>
              <w:noProof/>
              <w:kern w:val="32"/>
              <w:sz w:val="32"/>
              <w:szCs w:val="32"/>
              <w:lang w:val="en-US" w:eastAsia="en-US"/>
            </w:rPr>
            <w:sectPr w:rsidR="0073453E" w:rsidRPr="00B01656" w:rsidSect="00AD0EAA">
              <w:headerReference w:type="default" r:id="rId11"/>
              <w:footerReference w:type="default" r:id="rId12"/>
              <w:pgSz w:w="11907" w:h="16839" w:code="9"/>
              <w:pgMar w:top="8647" w:right="1417" w:bottom="993" w:left="1418" w:header="708" w:footer="244" w:gutter="0"/>
              <w:cols w:space="708"/>
              <w:docGrid w:linePitch="360"/>
            </w:sectPr>
          </w:pPr>
        </w:p>
        <w:p w:rsidR="00B17D15" w:rsidRDefault="006C4F4D" w:rsidP="00D34F87">
          <w:pPr>
            <w:pStyle w:val="TableofContents-heading"/>
          </w:pPr>
          <w:bookmarkStart w:id="1" w:name="OLE_LINK3"/>
          <w:bookmarkStart w:id="2" w:name="OLE_LINK4"/>
          <w:r w:rsidRPr="00890B20">
            <w:lastRenderedPageBreak/>
            <w:t>Table of contents</w:t>
          </w:r>
        </w:p>
      </w:sdtContent>
    </w:sdt>
    <w:bookmarkEnd w:id="2" w:displacedByCustomXml="prev"/>
    <w:bookmarkEnd w:id="1" w:displacedByCustomXml="prev"/>
    <w:p w:rsidR="008B0247" w:rsidRDefault="00162534">
      <w:pPr>
        <w:pStyle w:val="TOC1"/>
        <w:rPr>
          <w:rFonts w:eastAsiaTheme="minorEastAsia" w:cstheme="minorBidi"/>
          <w:szCs w:val="22"/>
          <w:lang w:eastAsia="en-AU"/>
        </w:rPr>
      </w:pPr>
      <w:r w:rsidRPr="00225D10">
        <w:rPr>
          <w:rFonts w:cs="Calibri"/>
          <w:szCs w:val="20"/>
        </w:rPr>
        <w:fldChar w:fldCharType="begin"/>
      </w:r>
      <w:r w:rsidR="00903654" w:rsidRPr="00225D10">
        <w:rPr>
          <w:rFonts w:cs="Calibri"/>
          <w:szCs w:val="20"/>
        </w:rPr>
        <w:instrText xml:space="preserve"> TOC \o "1-3" \h \z \u </w:instrText>
      </w:r>
      <w:r w:rsidRPr="00225D10">
        <w:rPr>
          <w:rFonts w:cs="Calibri"/>
          <w:szCs w:val="20"/>
        </w:rPr>
        <w:fldChar w:fldCharType="separate"/>
      </w:r>
      <w:hyperlink w:anchor="_Toc374530842" w:history="1">
        <w:r w:rsidR="008B0247" w:rsidRPr="00FD3DEE">
          <w:rPr>
            <w:rStyle w:val="Hyperlink"/>
          </w:rPr>
          <w:t>1</w:t>
        </w:r>
        <w:r w:rsidR="008B0247">
          <w:rPr>
            <w:rFonts w:eastAsiaTheme="minorEastAsia" w:cstheme="minorBidi"/>
            <w:szCs w:val="22"/>
            <w:lang w:eastAsia="en-AU"/>
          </w:rPr>
          <w:tab/>
        </w:r>
        <w:r w:rsidR="008B0247" w:rsidRPr="00FD3DEE">
          <w:rPr>
            <w:rStyle w:val="Hyperlink"/>
          </w:rPr>
          <w:t>Introduction</w:t>
        </w:r>
        <w:r w:rsidR="008B0247">
          <w:rPr>
            <w:webHidden/>
          </w:rPr>
          <w:tab/>
        </w:r>
        <w:r>
          <w:rPr>
            <w:webHidden/>
          </w:rPr>
          <w:fldChar w:fldCharType="begin"/>
        </w:r>
        <w:r w:rsidR="008B0247">
          <w:rPr>
            <w:webHidden/>
          </w:rPr>
          <w:instrText xml:space="preserve"> PAGEREF _Toc374530842 \h </w:instrText>
        </w:r>
        <w:r>
          <w:rPr>
            <w:webHidden/>
          </w:rPr>
        </w:r>
        <w:r>
          <w:rPr>
            <w:webHidden/>
          </w:rPr>
          <w:fldChar w:fldCharType="separate"/>
        </w:r>
        <w:r w:rsidR="005D4215">
          <w:rPr>
            <w:webHidden/>
          </w:rPr>
          <w:t>1</w:t>
        </w:r>
        <w:r>
          <w:rPr>
            <w:webHidden/>
          </w:rPr>
          <w:fldChar w:fldCharType="end"/>
        </w:r>
      </w:hyperlink>
    </w:p>
    <w:p w:rsidR="008B0247" w:rsidRDefault="00680EEE">
      <w:pPr>
        <w:pStyle w:val="TOC1"/>
        <w:rPr>
          <w:rFonts w:eastAsiaTheme="minorEastAsia" w:cstheme="minorBidi"/>
          <w:szCs w:val="22"/>
          <w:lang w:eastAsia="en-AU"/>
        </w:rPr>
      </w:pPr>
      <w:hyperlink w:anchor="_Toc374530843" w:history="1">
        <w:r w:rsidR="008B0247" w:rsidRPr="00FD3DEE">
          <w:rPr>
            <w:rStyle w:val="Hyperlink"/>
          </w:rPr>
          <w:t>2</w:t>
        </w:r>
        <w:r w:rsidR="008B0247">
          <w:rPr>
            <w:rFonts w:eastAsiaTheme="minorEastAsia" w:cstheme="minorBidi"/>
            <w:szCs w:val="22"/>
            <w:lang w:eastAsia="en-AU"/>
          </w:rPr>
          <w:tab/>
        </w:r>
        <w:r w:rsidR="008B0247" w:rsidRPr="00FD3DEE">
          <w:rPr>
            <w:rStyle w:val="Hyperlink"/>
          </w:rPr>
          <w:t>Project information</w:t>
        </w:r>
        <w:r w:rsidR="008B0247">
          <w:rPr>
            <w:webHidden/>
          </w:rPr>
          <w:tab/>
        </w:r>
        <w:r w:rsidR="00162534">
          <w:rPr>
            <w:webHidden/>
          </w:rPr>
          <w:fldChar w:fldCharType="begin"/>
        </w:r>
        <w:r w:rsidR="008B0247">
          <w:rPr>
            <w:webHidden/>
          </w:rPr>
          <w:instrText xml:space="preserve"> PAGEREF _Toc374530843 \h </w:instrText>
        </w:r>
        <w:r w:rsidR="00162534">
          <w:rPr>
            <w:webHidden/>
          </w:rPr>
        </w:r>
        <w:r w:rsidR="00162534">
          <w:rPr>
            <w:webHidden/>
          </w:rPr>
          <w:fldChar w:fldCharType="separate"/>
        </w:r>
        <w:r w:rsidR="005D4215">
          <w:rPr>
            <w:webHidden/>
          </w:rPr>
          <w:t>2</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44" w:history="1">
        <w:r w:rsidR="008B0247" w:rsidRPr="00FD3DEE">
          <w:rPr>
            <w:rStyle w:val="Hyperlink"/>
          </w:rPr>
          <w:t>2.1</w:t>
        </w:r>
        <w:r w:rsidR="008B0247">
          <w:rPr>
            <w:rFonts w:eastAsiaTheme="minorEastAsia" w:cstheme="minorBidi"/>
            <w:bCs w:val="0"/>
            <w:sz w:val="22"/>
            <w:szCs w:val="22"/>
          </w:rPr>
          <w:tab/>
        </w:r>
        <w:r w:rsidR="008B0247" w:rsidRPr="00FD3DEE">
          <w:rPr>
            <w:rStyle w:val="Hyperlink"/>
          </w:rPr>
          <w:t>Frequently asked questions</w:t>
        </w:r>
        <w:r w:rsidR="008B0247">
          <w:rPr>
            <w:webHidden/>
          </w:rPr>
          <w:tab/>
        </w:r>
        <w:r w:rsidR="00162534">
          <w:rPr>
            <w:webHidden/>
          </w:rPr>
          <w:fldChar w:fldCharType="begin"/>
        </w:r>
        <w:r w:rsidR="008B0247">
          <w:rPr>
            <w:webHidden/>
          </w:rPr>
          <w:instrText xml:space="preserve"> PAGEREF _Toc374530844 \h </w:instrText>
        </w:r>
        <w:r w:rsidR="00162534">
          <w:rPr>
            <w:webHidden/>
          </w:rPr>
        </w:r>
        <w:r w:rsidR="00162534">
          <w:rPr>
            <w:webHidden/>
          </w:rPr>
          <w:fldChar w:fldCharType="separate"/>
        </w:r>
        <w:r w:rsidR="005D4215">
          <w:rPr>
            <w:webHidden/>
          </w:rPr>
          <w:t>2</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45" w:history="1">
        <w:r w:rsidR="008B0247" w:rsidRPr="00FD3DEE">
          <w:rPr>
            <w:rStyle w:val="Hyperlink"/>
          </w:rPr>
          <w:t>2.2</w:t>
        </w:r>
        <w:r w:rsidR="008B0247">
          <w:rPr>
            <w:rFonts w:eastAsiaTheme="minorEastAsia" w:cstheme="minorBidi"/>
            <w:bCs w:val="0"/>
            <w:sz w:val="22"/>
            <w:szCs w:val="22"/>
          </w:rPr>
          <w:tab/>
        </w:r>
        <w:r w:rsidR="008B0247" w:rsidRPr="00FD3DEE">
          <w:rPr>
            <w:rStyle w:val="Hyperlink"/>
          </w:rPr>
          <w:t>Preparation and process</w:t>
        </w:r>
        <w:r w:rsidR="008B0247">
          <w:rPr>
            <w:webHidden/>
          </w:rPr>
          <w:tab/>
        </w:r>
        <w:r w:rsidR="00162534">
          <w:rPr>
            <w:webHidden/>
          </w:rPr>
          <w:fldChar w:fldCharType="begin"/>
        </w:r>
        <w:r w:rsidR="008B0247">
          <w:rPr>
            <w:webHidden/>
          </w:rPr>
          <w:instrText xml:space="preserve"> PAGEREF _Toc374530845 \h </w:instrText>
        </w:r>
        <w:r w:rsidR="00162534">
          <w:rPr>
            <w:webHidden/>
          </w:rPr>
        </w:r>
        <w:r w:rsidR="00162534">
          <w:rPr>
            <w:webHidden/>
          </w:rPr>
          <w:fldChar w:fldCharType="separate"/>
        </w:r>
        <w:r w:rsidR="005D4215">
          <w:rPr>
            <w:webHidden/>
          </w:rPr>
          <w:t>3</w:t>
        </w:r>
        <w:r w:rsidR="00162534">
          <w:rPr>
            <w:webHidden/>
          </w:rPr>
          <w:fldChar w:fldCharType="end"/>
        </w:r>
      </w:hyperlink>
    </w:p>
    <w:p w:rsidR="008B0247" w:rsidRDefault="00680EEE">
      <w:pPr>
        <w:pStyle w:val="TOC3"/>
        <w:rPr>
          <w:rFonts w:eastAsiaTheme="minorEastAsia" w:cstheme="minorBidi"/>
          <w:sz w:val="22"/>
          <w:szCs w:val="22"/>
        </w:rPr>
      </w:pPr>
      <w:hyperlink w:anchor="_Toc374530846" w:history="1">
        <w:r w:rsidR="008B0247" w:rsidRPr="00FD3DEE">
          <w:rPr>
            <w:rStyle w:val="Hyperlink"/>
          </w:rPr>
          <w:t>2.2.1</w:t>
        </w:r>
        <w:r w:rsidR="008B0247">
          <w:rPr>
            <w:rFonts w:eastAsiaTheme="minorEastAsia" w:cstheme="minorBidi"/>
            <w:sz w:val="22"/>
            <w:szCs w:val="22"/>
          </w:rPr>
          <w:tab/>
        </w:r>
        <w:r w:rsidR="008B0247" w:rsidRPr="00FD3DEE">
          <w:rPr>
            <w:rStyle w:val="Hyperlink"/>
          </w:rPr>
          <w:t>Workshops</w:t>
        </w:r>
        <w:r w:rsidR="008B0247">
          <w:rPr>
            <w:webHidden/>
          </w:rPr>
          <w:tab/>
        </w:r>
        <w:r w:rsidR="00162534">
          <w:rPr>
            <w:webHidden/>
          </w:rPr>
          <w:fldChar w:fldCharType="begin"/>
        </w:r>
        <w:r w:rsidR="008B0247">
          <w:rPr>
            <w:webHidden/>
          </w:rPr>
          <w:instrText xml:space="preserve"> PAGEREF _Toc374530846 \h </w:instrText>
        </w:r>
        <w:r w:rsidR="00162534">
          <w:rPr>
            <w:webHidden/>
          </w:rPr>
        </w:r>
        <w:r w:rsidR="00162534">
          <w:rPr>
            <w:webHidden/>
          </w:rPr>
          <w:fldChar w:fldCharType="separate"/>
        </w:r>
        <w:r w:rsidR="005D4215">
          <w:rPr>
            <w:webHidden/>
          </w:rPr>
          <w:t>3</w:t>
        </w:r>
        <w:r w:rsidR="00162534">
          <w:rPr>
            <w:webHidden/>
          </w:rPr>
          <w:fldChar w:fldCharType="end"/>
        </w:r>
      </w:hyperlink>
    </w:p>
    <w:p w:rsidR="008B0247" w:rsidRDefault="00680EEE">
      <w:pPr>
        <w:pStyle w:val="TOC3"/>
        <w:rPr>
          <w:rFonts w:eastAsiaTheme="minorEastAsia" w:cstheme="minorBidi"/>
          <w:sz w:val="22"/>
          <w:szCs w:val="22"/>
        </w:rPr>
      </w:pPr>
      <w:hyperlink w:anchor="_Toc374530847" w:history="1">
        <w:r w:rsidR="008B0247" w:rsidRPr="00FD3DEE">
          <w:rPr>
            <w:rStyle w:val="Hyperlink"/>
          </w:rPr>
          <w:t>2.2.2</w:t>
        </w:r>
        <w:r w:rsidR="008B0247">
          <w:rPr>
            <w:rFonts w:eastAsiaTheme="minorEastAsia" w:cstheme="minorBidi"/>
            <w:sz w:val="22"/>
            <w:szCs w:val="22"/>
          </w:rPr>
          <w:tab/>
        </w:r>
        <w:r w:rsidR="008B0247" w:rsidRPr="00FD3DEE">
          <w:rPr>
            <w:rStyle w:val="Hyperlink"/>
          </w:rPr>
          <w:t>Draft issues paper</w:t>
        </w:r>
        <w:r w:rsidR="008B0247">
          <w:rPr>
            <w:webHidden/>
          </w:rPr>
          <w:tab/>
        </w:r>
        <w:r w:rsidR="00162534">
          <w:rPr>
            <w:webHidden/>
          </w:rPr>
          <w:fldChar w:fldCharType="begin"/>
        </w:r>
        <w:r w:rsidR="008B0247">
          <w:rPr>
            <w:webHidden/>
          </w:rPr>
          <w:instrText xml:space="preserve"> PAGEREF _Toc374530847 \h </w:instrText>
        </w:r>
        <w:r w:rsidR="00162534">
          <w:rPr>
            <w:webHidden/>
          </w:rPr>
        </w:r>
        <w:r w:rsidR="00162534">
          <w:rPr>
            <w:webHidden/>
          </w:rPr>
          <w:fldChar w:fldCharType="separate"/>
        </w:r>
        <w:r w:rsidR="005D4215">
          <w:rPr>
            <w:webHidden/>
          </w:rPr>
          <w:t>4</w:t>
        </w:r>
        <w:r w:rsidR="00162534">
          <w:rPr>
            <w:webHidden/>
          </w:rPr>
          <w:fldChar w:fldCharType="end"/>
        </w:r>
      </w:hyperlink>
    </w:p>
    <w:p w:rsidR="008B0247" w:rsidRDefault="00680EEE">
      <w:pPr>
        <w:pStyle w:val="TOC1"/>
        <w:rPr>
          <w:rFonts w:eastAsiaTheme="minorEastAsia" w:cstheme="minorBidi"/>
          <w:szCs w:val="22"/>
          <w:lang w:eastAsia="en-AU"/>
        </w:rPr>
      </w:pPr>
      <w:hyperlink w:anchor="_Toc374530848" w:history="1">
        <w:r w:rsidR="008B0247" w:rsidRPr="00FD3DEE">
          <w:rPr>
            <w:rStyle w:val="Hyperlink"/>
          </w:rPr>
          <w:t>3</w:t>
        </w:r>
        <w:r w:rsidR="008B0247">
          <w:rPr>
            <w:rFonts w:eastAsiaTheme="minorEastAsia" w:cstheme="minorBidi"/>
            <w:szCs w:val="22"/>
            <w:lang w:eastAsia="en-AU"/>
          </w:rPr>
          <w:tab/>
        </w:r>
        <w:r w:rsidR="008B0247" w:rsidRPr="00FD3DEE">
          <w:rPr>
            <w:rStyle w:val="Hyperlink"/>
          </w:rPr>
          <w:t>Background information</w:t>
        </w:r>
        <w:r w:rsidR="008B0247">
          <w:rPr>
            <w:webHidden/>
          </w:rPr>
          <w:tab/>
        </w:r>
        <w:r w:rsidR="00162534">
          <w:rPr>
            <w:webHidden/>
          </w:rPr>
          <w:fldChar w:fldCharType="begin"/>
        </w:r>
        <w:r w:rsidR="008B0247">
          <w:rPr>
            <w:webHidden/>
          </w:rPr>
          <w:instrText xml:space="preserve"> PAGEREF _Toc374530848 \h </w:instrText>
        </w:r>
        <w:r w:rsidR="00162534">
          <w:rPr>
            <w:webHidden/>
          </w:rPr>
        </w:r>
        <w:r w:rsidR="00162534">
          <w:rPr>
            <w:webHidden/>
          </w:rPr>
          <w:fldChar w:fldCharType="separate"/>
        </w:r>
        <w:r w:rsidR="005D4215">
          <w:rPr>
            <w:webHidden/>
          </w:rPr>
          <w:t>5</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49" w:history="1">
        <w:r w:rsidR="008B0247" w:rsidRPr="00FD3DEE">
          <w:rPr>
            <w:rStyle w:val="Hyperlink"/>
          </w:rPr>
          <w:t>3.1</w:t>
        </w:r>
        <w:r w:rsidR="008B0247">
          <w:rPr>
            <w:rFonts w:eastAsiaTheme="minorEastAsia" w:cstheme="minorBidi"/>
            <w:bCs w:val="0"/>
            <w:sz w:val="22"/>
            <w:szCs w:val="22"/>
          </w:rPr>
          <w:tab/>
        </w:r>
        <w:r w:rsidR="008B0247" w:rsidRPr="00FD3DEE">
          <w:rPr>
            <w:rStyle w:val="Hyperlink"/>
          </w:rPr>
          <w:t>Overview of the Southern Loddon Mallee Regional Strategic Plan 2010</w:t>
        </w:r>
        <w:r w:rsidR="008B0247">
          <w:rPr>
            <w:webHidden/>
          </w:rPr>
          <w:tab/>
        </w:r>
        <w:r w:rsidR="00162534">
          <w:rPr>
            <w:webHidden/>
          </w:rPr>
          <w:fldChar w:fldCharType="begin"/>
        </w:r>
        <w:r w:rsidR="008B0247">
          <w:rPr>
            <w:webHidden/>
          </w:rPr>
          <w:instrText xml:space="preserve"> PAGEREF _Toc374530849 \h </w:instrText>
        </w:r>
        <w:r w:rsidR="00162534">
          <w:rPr>
            <w:webHidden/>
          </w:rPr>
        </w:r>
        <w:r w:rsidR="00162534">
          <w:rPr>
            <w:webHidden/>
          </w:rPr>
          <w:fldChar w:fldCharType="separate"/>
        </w:r>
        <w:r w:rsidR="005D4215">
          <w:rPr>
            <w:webHidden/>
          </w:rPr>
          <w:t>5</w:t>
        </w:r>
        <w:r w:rsidR="00162534">
          <w:rPr>
            <w:webHidden/>
          </w:rPr>
          <w:fldChar w:fldCharType="end"/>
        </w:r>
      </w:hyperlink>
    </w:p>
    <w:p w:rsidR="008B0247" w:rsidRDefault="00680EEE">
      <w:pPr>
        <w:pStyle w:val="TOC1"/>
        <w:rPr>
          <w:rFonts w:eastAsiaTheme="minorEastAsia" w:cstheme="minorBidi"/>
          <w:szCs w:val="22"/>
          <w:lang w:eastAsia="en-AU"/>
        </w:rPr>
      </w:pPr>
      <w:hyperlink w:anchor="_Toc374530850" w:history="1">
        <w:r w:rsidR="008B0247" w:rsidRPr="00FD3DEE">
          <w:rPr>
            <w:rStyle w:val="Hyperlink"/>
          </w:rPr>
          <w:t>4</w:t>
        </w:r>
        <w:r w:rsidR="008B0247">
          <w:rPr>
            <w:rFonts w:eastAsiaTheme="minorEastAsia" w:cstheme="minorBidi"/>
            <w:szCs w:val="22"/>
            <w:lang w:eastAsia="en-AU"/>
          </w:rPr>
          <w:tab/>
        </w:r>
        <w:r w:rsidR="008B0247" w:rsidRPr="00FD3DEE">
          <w:rPr>
            <w:rStyle w:val="Hyperlink"/>
          </w:rPr>
          <w:t>Population, settlement and housing</w:t>
        </w:r>
        <w:r w:rsidR="008B0247">
          <w:rPr>
            <w:webHidden/>
          </w:rPr>
          <w:tab/>
        </w:r>
        <w:r w:rsidR="00162534">
          <w:rPr>
            <w:webHidden/>
          </w:rPr>
          <w:fldChar w:fldCharType="begin"/>
        </w:r>
        <w:r w:rsidR="008B0247">
          <w:rPr>
            <w:webHidden/>
          </w:rPr>
          <w:instrText xml:space="preserve"> PAGEREF _Toc374530850 \h </w:instrText>
        </w:r>
        <w:r w:rsidR="00162534">
          <w:rPr>
            <w:webHidden/>
          </w:rPr>
        </w:r>
        <w:r w:rsidR="00162534">
          <w:rPr>
            <w:webHidden/>
          </w:rPr>
          <w:fldChar w:fldCharType="separate"/>
        </w:r>
        <w:r w:rsidR="005D4215">
          <w:rPr>
            <w:webHidden/>
          </w:rPr>
          <w:t>8</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51" w:history="1">
        <w:r w:rsidR="008B0247" w:rsidRPr="00FD3DEE">
          <w:rPr>
            <w:rStyle w:val="Hyperlink"/>
          </w:rPr>
          <w:t>4.1</w:t>
        </w:r>
        <w:r w:rsidR="008B0247">
          <w:rPr>
            <w:rFonts w:eastAsiaTheme="minorEastAsia" w:cstheme="minorBidi"/>
            <w:bCs w:val="0"/>
            <w:sz w:val="22"/>
            <w:szCs w:val="22"/>
          </w:rPr>
          <w:tab/>
        </w:r>
        <w:r w:rsidR="008B0247" w:rsidRPr="00FD3DEE">
          <w:rPr>
            <w:rStyle w:val="Hyperlink"/>
          </w:rPr>
          <w:t>Population</w:t>
        </w:r>
        <w:r w:rsidR="008B0247">
          <w:rPr>
            <w:webHidden/>
          </w:rPr>
          <w:tab/>
        </w:r>
        <w:r w:rsidR="00162534">
          <w:rPr>
            <w:webHidden/>
          </w:rPr>
          <w:fldChar w:fldCharType="begin"/>
        </w:r>
        <w:r w:rsidR="008B0247">
          <w:rPr>
            <w:webHidden/>
          </w:rPr>
          <w:instrText xml:space="preserve"> PAGEREF _Toc374530851 \h </w:instrText>
        </w:r>
        <w:r w:rsidR="00162534">
          <w:rPr>
            <w:webHidden/>
          </w:rPr>
        </w:r>
        <w:r w:rsidR="00162534">
          <w:rPr>
            <w:webHidden/>
          </w:rPr>
          <w:fldChar w:fldCharType="separate"/>
        </w:r>
        <w:r w:rsidR="005D4215">
          <w:rPr>
            <w:webHidden/>
          </w:rPr>
          <w:t>9</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52" w:history="1">
        <w:r w:rsidR="008B0247" w:rsidRPr="00FD3DEE">
          <w:rPr>
            <w:rStyle w:val="Hyperlink"/>
          </w:rPr>
          <w:t>4.2</w:t>
        </w:r>
        <w:r w:rsidR="008B0247">
          <w:rPr>
            <w:rFonts w:eastAsiaTheme="minorEastAsia" w:cstheme="minorBidi"/>
            <w:bCs w:val="0"/>
            <w:sz w:val="22"/>
            <w:szCs w:val="22"/>
          </w:rPr>
          <w:tab/>
        </w:r>
        <w:r w:rsidR="008B0247" w:rsidRPr="00FD3DEE">
          <w:rPr>
            <w:rStyle w:val="Hyperlink"/>
          </w:rPr>
          <w:t>Housing</w:t>
        </w:r>
        <w:r w:rsidR="008B0247">
          <w:rPr>
            <w:webHidden/>
          </w:rPr>
          <w:tab/>
        </w:r>
        <w:r w:rsidR="00162534">
          <w:rPr>
            <w:webHidden/>
          </w:rPr>
          <w:fldChar w:fldCharType="begin"/>
        </w:r>
        <w:r w:rsidR="008B0247">
          <w:rPr>
            <w:webHidden/>
          </w:rPr>
          <w:instrText xml:space="preserve"> PAGEREF _Toc374530852 \h </w:instrText>
        </w:r>
        <w:r w:rsidR="00162534">
          <w:rPr>
            <w:webHidden/>
          </w:rPr>
        </w:r>
        <w:r w:rsidR="00162534">
          <w:rPr>
            <w:webHidden/>
          </w:rPr>
          <w:fldChar w:fldCharType="separate"/>
        </w:r>
        <w:r w:rsidR="005D4215">
          <w:rPr>
            <w:webHidden/>
          </w:rPr>
          <w:t>13</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53" w:history="1">
        <w:r w:rsidR="008B0247" w:rsidRPr="00FD3DEE">
          <w:rPr>
            <w:rStyle w:val="Hyperlink"/>
          </w:rPr>
          <w:t>4.3</w:t>
        </w:r>
        <w:r w:rsidR="008B0247">
          <w:rPr>
            <w:rFonts w:eastAsiaTheme="minorEastAsia" w:cstheme="minorBidi"/>
            <w:bCs w:val="0"/>
            <w:sz w:val="22"/>
            <w:szCs w:val="22"/>
          </w:rPr>
          <w:tab/>
        </w:r>
        <w:r w:rsidR="008B0247" w:rsidRPr="00FD3DEE">
          <w:rPr>
            <w:rStyle w:val="Hyperlink"/>
          </w:rPr>
          <w:t>Disadvantage</w:t>
        </w:r>
        <w:r w:rsidR="008B0247">
          <w:rPr>
            <w:webHidden/>
          </w:rPr>
          <w:tab/>
        </w:r>
        <w:r w:rsidR="00162534">
          <w:rPr>
            <w:webHidden/>
          </w:rPr>
          <w:fldChar w:fldCharType="begin"/>
        </w:r>
        <w:r w:rsidR="008B0247">
          <w:rPr>
            <w:webHidden/>
          </w:rPr>
          <w:instrText xml:space="preserve"> PAGEREF _Toc374530853 \h </w:instrText>
        </w:r>
        <w:r w:rsidR="00162534">
          <w:rPr>
            <w:webHidden/>
          </w:rPr>
        </w:r>
        <w:r w:rsidR="00162534">
          <w:rPr>
            <w:webHidden/>
          </w:rPr>
          <w:fldChar w:fldCharType="separate"/>
        </w:r>
        <w:r w:rsidR="005D4215">
          <w:rPr>
            <w:webHidden/>
          </w:rPr>
          <w:t>21</w:t>
        </w:r>
        <w:r w:rsidR="00162534">
          <w:rPr>
            <w:webHidden/>
          </w:rPr>
          <w:fldChar w:fldCharType="end"/>
        </w:r>
      </w:hyperlink>
    </w:p>
    <w:p w:rsidR="008B0247" w:rsidRDefault="00680EEE">
      <w:pPr>
        <w:pStyle w:val="TOC1"/>
        <w:rPr>
          <w:rFonts w:eastAsiaTheme="minorEastAsia" w:cstheme="minorBidi"/>
          <w:szCs w:val="22"/>
          <w:lang w:eastAsia="en-AU"/>
        </w:rPr>
      </w:pPr>
      <w:hyperlink w:anchor="_Toc374530854" w:history="1">
        <w:r w:rsidR="008B0247" w:rsidRPr="00FD3DEE">
          <w:rPr>
            <w:rStyle w:val="Hyperlink"/>
          </w:rPr>
          <w:t>5</w:t>
        </w:r>
        <w:r w:rsidR="008B0247">
          <w:rPr>
            <w:rFonts w:eastAsiaTheme="minorEastAsia" w:cstheme="minorBidi"/>
            <w:szCs w:val="22"/>
            <w:lang w:eastAsia="en-AU"/>
          </w:rPr>
          <w:tab/>
        </w:r>
        <w:r w:rsidR="008B0247" w:rsidRPr="00FD3DEE">
          <w:rPr>
            <w:rStyle w:val="Hyperlink"/>
          </w:rPr>
          <w:t>Economic health and growth</w:t>
        </w:r>
        <w:r w:rsidR="008B0247">
          <w:rPr>
            <w:webHidden/>
          </w:rPr>
          <w:tab/>
        </w:r>
        <w:r w:rsidR="00162534">
          <w:rPr>
            <w:webHidden/>
          </w:rPr>
          <w:fldChar w:fldCharType="begin"/>
        </w:r>
        <w:r w:rsidR="008B0247">
          <w:rPr>
            <w:webHidden/>
          </w:rPr>
          <w:instrText xml:space="preserve"> PAGEREF _Toc374530854 \h </w:instrText>
        </w:r>
        <w:r w:rsidR="00162534">
          <w:rPr>
            <w:webHidden/>
          </w:rPr>
        </w:r>
        <w:r w:rsidR="00162534">
          <w:rPr>
            <w:webHidden/>
          </w:rPr>
          <w:fldChar w:fldCharType="separate"/>
        </w:r>
        <w:r w:rsidR="005D4215">
          <w:rPr>
            <w:webHidden/>
          </w:rPr>
          <w:t>23</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55" w:history="1">
        <w:r w:rsidR="008B0247" w:rsidRPr="00FD3DEE">
          <w:rPr>
            <w:rStyle w:val="Hyperlink"/>
          </w:rPr>
          <w:t>5.1</w:t>
        </w:r>
        <w:r w:rsidR="008B0247">
          <w:rPr>
            <w:rFonts w:eastAsiaTheme="minorEastAsia" w:cstheme="minorBidi"/>
            <w:bCs w:val="0"/>
            <w:sz w:val="22"/>
            <w:szCs w:val="22"/>
          </w:rPr>
          <w:tab/>
        </w:r>
        <w:r w:rsidR="008B0247" w:rsidRPr="00FD3DEE">
          <w:rPr>
            <w:rStyle w:val="Hyperlink"/>
          </w:rPr>
          <w:t>Economic sectors</w:t>
        </w:r>
        <w:r w:rsidR="008B0247">
          <w:rPr>
            <w:webHidden/>
          </w:rPr>
          <w:tab/>
        </w:r>
        <w:r w:rsidR="00162534">
          <w:rPr>
            <w:webHidden/>
          </w:rPr>
          <w:fldChar w:fldCharType="begin"/>
        </w:r>
        <w:r w:rsidR="008B0247">
          <w:rPr>
            <w:webHidden/>
          </w:rPr>
          <w:instrText xml:space="preserve"> PAGEREF _Toc374530855 \h </w:instrText>
        </w:r>
        <w:r w:rsidR="00162534">
          <w:rPr>
            <w:webHidden/>
          </w:rPr>
        </w:r>
        <w:r w:rsidR="00162534">
          <w:rPr>
            <w:webHidden/>
          </w:rPr>
          <w:fldChar w:fldCharType="separate"/>
        </w:r>
        <w:r w:rsidR="005D4215">
          <w:rPr>
            <w:webHidden/>
          </w:rPr>
          <w:t>24</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56" w:history="1">
        <w:r w:rsidR="008B0247" w:rsidRPr="00FD3DEE">
          <w:rPr>
            <w:rStyle w:val="Hyperlink"/>
          </w:rPr>
          <w:t>5.2</w:t>
        </w:r>
        <w:r w:rsidR="008B0247">
          <w:rPr>
            <w:rFonts w:eastAsiaTheme="minorEastAsia" w:cstheme="minorBidi"/>
            <w:bCs w:val="0"/>
            <w:sz w:val="22"/>
            <w:szCs w:val="22"/>
          </w:rPr>
          <w:tab/>
        </w:r>
        <w:r w:rsidR="008B0247" w:rsidRPr="00FD3DEE">
          <w:rPr>
            <w:rStyle w:val="Hyperlink"/>
          </w:rPr>
          <w:t>Structural drivers for regional growth</w:t>
        </w:r>
        <w:r w:rsidR="008B0247">
          <w:rPr>
            <w:webHidden/>
          </w:rPr>
          <w:tab/>
        </w:r>
        <w:r w:rsidR="00162534">
          <w:rPr>
            <w:webHidden/>
          </w:rPr>
          <w:fldChar w:fldCharType="begin"/>
        </w:r>
        <w:r w:rsidR="008B0247">
          <w:rPr>
            <w:webHidden/>
          </w:rPr>
          <w:instrText xml:space="preserve"> PAGEREF _Toc374530856 \h </w:instrText>
        </w:r>
        <w:r w:rsidR="00162534">
          <w:rPr>
            <w:webHidden/>
          </w:rPr>
        </w:r>
        <w:r w:rsidR="00162534">
          <w:rPr>
            <w:webHidden/>
          </w:rPr>
          <w:fldChar w:fldCharType="separate"/>
        </w:r>
        <w:r w:rsidR="005D4215">
          <w:rPr>
            <w:webHidden/>
          </w:rPr>
          <w:t>25</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57" w:history="1">
        <w:r w:rsidR="008B0247" w:rsidRPr="00FD3DEE">
          <w:rPr>
            <w:rStyle w:val="Hyperlink"/>
          </w:rPr>
          <w:t>5.3</w:t>
        </w:r>
        <w:r w:rsidR="008B0247">
          <w:rPr>
            <w:rFonts w:eastAsiaTheme="minorEastAsia" w:cstheme="minorBidi"/>
            <w:bCs w:val="0"/>
            <w:sz w:val="22"/>
            <w:szCs w:val="22"/>
          </w:rPr>
          <w:tab/>
        </w:r>
        <w:r w:rsidR="008B0247" w:rsidRPr="00FD3DEE">
          <w:rPr>
            <w:rStyle w:val="Hyperlink"/>
          </w:rPr>
          <w:t>Exports</w:t>
        </w:r>
        <w:r w:rsidR="008B0247">
          <w:rPr>
            <w:webHidden/>
          </w:rPr>
          <w:tab/>
        </w:r>
        <w:r w:rsidR="00162534">
          <w:rPr>
            <w:webHidden/>
          </w:rPr>
          <w:fldChar w:fldCharType="begin"/>
        </w:r>
        <w:r w:rsidR="008B0247">
          <w:rPr>
            <w:webHidden/>
          </w:rPr>
          <w:instrText xml:space="preserve"> PAGEREF _Toc374530857 \h </w:instrText>
        </w:r>
        <w:r w:rsidR="00162534">
          <w:rPr>
            <w:webHidden/>
          </w:rPr>
        </w:r>
        <w:r w:rsidR="00162534">
          <w:rPr>
            <w:webHidden/>
          </w:rPr>
          <w:fldChar w:fldCharType="separate"/>
        </w:r>
        <w:r w:rsidR="005D4215">
          <w:rPr>
            <w:webHidden/>
          </w:rPr>
          <w:t>26</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58" w:history="1">
        <w:r w:rsidR="008B0247" w:rsidRPr="00FD3DEE">
          <w:rPr>
            <w:rStyle w:val="Hyperlink"/>
          </w:rPr>
          <w:t>5.4</w:t>
        </w:r>
        <w:r w:rsidR="008B0247">
          <w:rPr>
            <w:rFonts w:eastAsiaTheme="minorEastAsia" w:cstheme="minorBidi"/>
            <w:bCs w:val="0"/>
            <w:sz w:val="22"/>
            <w:szCs w:val="22"/>
          </w:rPr>
          <w:tab/>
        </w:r>
        <w:r w:rsidR="008B0247" w:rsidRPr="00FD3DEE">
          <w:rPr>
            <w:rStyle w:val="Hyperlink"/>
          </w:rPr>
          <w:t>Employment change and growth</w:t>
        </w:r>
        <w:r w:rsidR="008B0247">
          <w:rPr>
            <w:webHidden/>
          </w:rPr>
          <w:tab/>
        </w:r>
        <w:r w:rsidR="00162534">
          <w:rPr>
            <w:webHidden/>
          </w:rPr>
          <w:fldChar w:fldCharType="begin"/>
        </w:r>
        <w:r w:rsidR="008B0247">
          <w:rPr>
            <w:webHidden/>
          </w:rPr>
          <w:instrText xml:space="preserve"> PAGEREF _Toc374530858 \h </w:instrText>
        </w:r>
        <w:r w:rsidR="00162534">
          <w:rPr>
            <w:webHidden/>
          </w:rPr>
        </w:r>
        <w:r w:rsidR="00162534">
          <w:rPr>
            <w:webHidden/>
          </w:rPr>
          <w:fldChar w:fldCharType="separate"/>
        </w:r>
        <w:r w:rsidR="005D4215">
          <w:rPr>
            <w:webHidden/>
          </w:rPr>
          <w:t>27</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59" w:history="1">
        <w:r w:rsidR="008B0247" w:rsidRPr="00FD3DEE">
          <w:rPr>
            <w:rStyle w:val="Hyperlink"/>
          </w:rPr>
          <w:t>5.5</w:t>
        </w:r>
        <w:r w:rsidR="008B0247">
          <w:rPr>
            <w:rFonts w:eastAsiaTheme="minorEastAsia" w:cstheme="minorBidi"/>
            <w:bCs w:val="0"/>
            <w:sz w:val="22"/>
            <w:szCs w:val="22"/>
          </w:rPr>
          <w:tab/>
        </w:r>
        <w:r w:rsidR="008B0247" w:rsidRPr="00FD3DEE">
          <w:rPr>
            <w:rStyle w:val="Hyperlink"/>
          </w:rPr>
          <w:t>A changing regional economy</w:t>
        </w:r>
        <w:r w:rsidR="008B0247">
          <w:rPr>
            <w:webHidden/>
          </w:rPr>
          <w:tab/>
        </w:r>
        <w:r w:rsidR="00162534">
          <w:rPr>
            <w:webHidden/>
          </w:rPr>
          <w:fldChar w:fldCharType="begin"/>
        </w:r>
        <w:r w:rsidR="008B0247">
          <w:rPr>
            <w:webHidden/>
          </w:rPr>
          <w:instrText xml:space="preserve"> PAGEREF _Toc374530859 \h </w:instrText>
        </w:r>
        <w:r w:rsidR="00162534">
          <w:rPr>
            <w:webHidden/>
          </w:rPr>
        </w:r>
        <w:r w:rsidR="00162534">
          <w:rPr>
            <w:webHidden/>
          </w:rPr>
          <w:fldChar w:fldCharType="separate"/>
        </w:r>
        <w:r w:rsidR="005D4215">
          <w:rPr>
            <w:webHidden/>
          </w:rPr>
          <w:t>30</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60" w:history="1">
        <w:r w:rsidR="008B0247" w:rsidRPr="00FD3DEE">
          <w:rPr>
            <w:rStyle w:val="Hyperlink"/>
          </w:rPr>
          <w:t>5.6</w:t>
        </w:r>
        <w:r w:rsidR="008B0247">
          <w:rPr>
            <w:rFonts w:eastAsiaTheme="minorEastAsia" w:cstheme="minorBidi"/>
            <w:bCs w:val="0"/>
            <w:sz w:val="22"/>
            <w:szCs w:val="22"/>
          </w:rPr>
          <w:tab/>
        </w:r>
        <w:r w:rsidR="008B0247" w:rsidRPr="00FD3DEE">
          <w:rPr>
            <w:rStyle w:val="Hyperlink"/>
          </w:rPr>
          <w:t>Major and emerging businesses</w:t>
        </w:r>
        <w:r w:rsidR="008B0247">
          <w:rPr>
            <w:webHidden/>
          </w:rPr>
          <w:tab/>
        </w:r>
        <w:r w:rsidR="00162534">
          <w:rPr>
            <w:webHidden/>
          </w:rPr>
          <w:fldChar w:fldCharType="begin"/>
        </w:r>
        <w:r w:rsidR="008B0247">
          <w:rPr>
            <w:webHidden/>
          </w:rPr>
          <w:instrText xml:space="preserve"> PAGEREF _Toc374530860 \h </w:instrText>
        </w:r>
        <w:r w:rsidR="00162534">
          <w:rPr>
            <w:webHidden/>
          </w:rPr>
        </w:r>
        <w:r w:rsidR="00162534">
          <w:rPr>
            <w:webHidden/>
          </w:rPr>
          <w:fldChar w:fldCharType="separate"/>
        </w:r>
        <w:r w:rsidR="005D4215">
          <w:rPr>
            <w:webHidden/>
          </w:rPr>
          <w:t>31</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61" w:history="1">
        <w:r w:rsidR="008B0247" w:rsidRPr="00FD3DEE">
          <w:rPr>
            <w:rStyle w:val="Hyperlink"/>
          </w:rPr>
          <w:t>5.7</w:t>
        </w:r>
        <w:r w:rsidR="008B0247">
          <w:rPr>
            <w:rFonts w:eastAsiaTheme="minorEastAsia" w:cstheme="minorBidi"/>
            <w:bCs w:val="0"/>
            <w:sz w:val="22"/>
            <w:szCs w:val="22"/>
          </w:rPr>
          <w:tab/>
        </w:r>
        <w:r w:rsidR="008B0247" w:rsidRPr="00FD3DEE">
          <w:rPr>
            <w:rStyle w:val="Hyperlink"/>
          </w:rPr>
          <w:t>Agriculture</w:t>
        </w:r>
        <w:r w:rsidR="008B0247">
          <w:rPr>
            <w:webHidden/>
          </w:rPr>
          <w:tab/>
        </w:r>
        <w:r w:rsidR="00162534">
          <w:rPr>
            <w:webHidden/>
          </w:rPr>
          <w:fldChar w:fldCharType="begin"/>
        </w:r>
        <w:r w:rsidR="008B0247">
          <w:rPr>
            <w:webHidden/>
          </w:rPr>
          <w:instrText xml:space="preserve"> PAGEREF _Toc374530861 \h </w:instrText>
        </w:r>
        <w:r w:rsidR="00162534">
          <w:rPr>
            <w:webHidden/>
          </w:rPr>
        </w:r>
        <w:r w:rsidR="00162534">
          <w:rPr>
            <w:webHidden/>
          </w:rPr>
          <w:fldChar w:fldCharType="separate"/>
        </w:r>
        <w:r w:rsidR="005D4215">
          <w:rPr>
            <w:webHidden/>
          </w:rPr>
          <w:t>32</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62" w:history="1">
        <w:r w:rsidR="008B0247" w:rsidRPr="00FD3DEE">
          <w:rPr>
            <w:rStyle w:val="Hyperlink"/>
          </w:rPr>
          <w:t>5.8</w:t>
        </w:r>
        <w:r w:rsidR="008B0247">
          <w:rPr>
            <w:rFonts w:eastAsiaTheme="minorEastAsia" w:cstheme="minorBidi"/>
            <w:bCs w:val="0"/>
            <w:sz w:val="22"/>
            <w:szCs w:val="22"/>
          </w:rPr>
          <w:tab/>
        </w:r>
        <w:r w:rsidR="008B0247" w:rsidRPr="00FD3DEE">
          <w:rPr>
            <w:rStyle w:val="Hyperlink"/>
          </w:rPr>
          <w:t>Natural resources</w:t>
        </w:r>
        <w:r w:rsidR="008B0247">
          <w:rPr>
            <w:webHidden/>
          </w:rPr>
          <w:tab/>
        </w:r>
        <w:r w:rsidR="00162534">
          <w:rPr>
            <w:webHidden/>
          </w:rPr>
          <w:fldChar w:fldCharType="begin"/>
        </w:r>
        <w:r w:rsidR="008B0247">
          <w:rPr>
            <w:webHidden/>
          </w:rPr>
          <w:instrText xml:space="preserve"> PAGEREF _Toc374530862 \h </w:instrText>
        </w:r>
        <w:r w:rsidR="00162534">
          <w:rPr>
            <w:webHidden/>
          </w:rPr>
        </w:r>
        <w:r w:rsidR="00162534">
          <w:rPr>
            <w:webHidden/>
          </w:rPr>
          <w:fldChar w:fldCharType="separate"/>
        </w:r>
        <w:r w:rsidR="005D4215">
          <w:rPr>
            <w:webHidden/>
          </w:rPr>
          <w:t>35</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63" w:history="1">
        <w:r w:rsidR="008B0247" w:rsidRPr="00FD3DEE">
          <w:rPr>
            <w:rStyle w:val="Hyperlink"/>
          </w:rPr>
          <w:t>5.9</w:t>
        </w:r>
        <w:r w:rsidR="008B0247">
          <w:rPr>
            <w:rFonts w:eastAsiaTheme="minorEastAsia" w:cstheme="minorBidi"/>
            <w:bCs w:val="0"/>
            <w:sz w:val="22"/>
            <w:szCs w:val="22"/>
          </w:rPr>
          <w:tab/>
        </w:r>
        <w:r w:rsidR="008B0247" w:rsidRPr="00FD3DEE">
          <w:rPr>
            <w:rStyle w:val="Hyperlink"/>
          </w:rPr>
          <w:t>Challenges for the regional economy</w:t>
        </w:r>
        <w:r w:rsidR="008B0247">
          <w:rPr>
            <w:webHidden/>
          </w:rPr>
          <w:tab/>
        </w:r>
        <w:r w:rsidR="00162534">
          <w:rPr>
            <w:webHidden/>
          </w:rPr>
          <w:fldChar w:fldCharType="begin"/>
        </w:r>
        <w:r w:rsidR="008B0247">
          <w:rPr>
            <w:webHidden/>
          </w:rPr>
          <w:instrText xml:space="preserve"> PAGEREF _Toc374530863 \h </w:instrText>
        </w:r>
        <w:r w:rsidR="00162534">
          <w:rPr>
            <w:webHidden/>
          </w:rPr>
        </w:r>
        <w:r w:rsidR="00162534">
          <w:rPr>
            <w:webHidden/>
          </w:rPr>
          <w:fldChar w:fldCharType="separate"/>
        </w:r>
        <w:r w:rsidR="005D4215">
          <w:rPr>
            <w:webHidden/>
          </w:rPr>
          <w:t>37</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64" w:history="1">
        <w:r w:rsidR="008B0247" w:rsidRPr="00FD3DEE">
          <w:rPr>
            <w:rStyle w:val="Hyperlink"/>
          </w:rPr>
          <w:t>5.10</w:t>
        </w:r>
        <w:r w:rsidR="008B0247">
          <w:rPr>
            <w:rFonts w:eastAsiaTheme="minorEastAsia" w:cstheme="minorBidi"/>
            <w:bCs w:val="0"/>
            <w:sz w:val="22"/>
            <w:szCs w:val="22"/>
          </w:rPr>
          <w:tab/>
        </w:r>
        <w:r w:rsidR="008B0247" w:rsidRPr="00FD3DEE">
          <w:rPr>
            <w:rStyle w:val="Hyperlink"/>
          </w:rPr>
          <w:t>Land supply – employment</w:t>
        </w:r>
        <w:r w:rsidR="008B0247">
          <w:rPr>
            <w:webHidden/>
          </w:rPr>
          <w:tab/>
        </w:r>
        <w:r w:rsidR="00162534">
          <w:rPr>
            <w:webHidden/>
          </w:rPr>
          <w:fldChar w:fldCharType="begin"/>
        </w:r>
        <w:r w:rsidR="008B0247">
          <w:rPr>
            <w:webHidden/>
          </w:rPr>
          <w:instrText xml:space="preserve"> PAGEREF _Toc374530864 \h </w:instrText>
        </w:r>
        <w:r w:rsidR="00162534">
          <w:rPr>
            <w:webHidden/>
          </w:rPr>
        </w:r>
        <w:r w:rsidR="00162534">
          <w:rPr>
            <w:webHidden/>
          </w:rPr>
          <w:fldChar w:fldCharType="separate"/>
        </w:r>
        <w:r w:rsidR="005D4215">
          <w:rPr>
            <w:webHidden/>
          </w:rPr>
          <w:t>38</w:t>
        </w:r>
        <w:r w:rsidR="00162534">
          <w:rPr>
            <w:webHidden/>
          </w:rPr>
          <w:fldChar w:fldCharType="end"/>
        </w:r>
      </w:hyperlink>
    </w:p>
    <w:p w:rsidR="008B0247" w:rsidRDefault="00680EEE">
      <w:pPr>
        <w:pStyle w:val="TOC3"/>
        <w:rPr>
          <w:rFonts w:eastAsiaTheme="minorEastAsia" w:cstheme="minorBidi"/>
          <w:sz w:val="22"/>
          <w:szCs w:val="22"/>
        </w:rPr>
      </w:pPr>
      <w:hyperlink w:anchor="_Toc374530865" w:history="1">
        <w:r w:rsidR="008B0247" w:rsidRPr="00FD3DEE">
          <w:rPr>
            <w:rStyle w:val="Hyperlink"/>
          </w:rPr>
          <w:t>5.10.1</w:t>
        </w:r>
        <w:r w:rsidR="008B0247">
          <w:rPr>
            <w:rFonts w:eastAsiaTheme="minorEastAsia" w:cstheme="minorBidi"/>
            <w:sz w:val="22"/>
            <w:szCs w:val="22"/>
          </w:rPr>
          <w:tab/>
        </w:r>
        <w:r w:rsidR="008B0247" w:rsidRPr="00FD3DEE">
          <w:rPr>
            <w:rStyle w:val="Hyperlink"/>
          </w:rPr>
          <w:t>Industrial land supply</w:t>
        </w:r>
        <w:r w:rsidR="008B0247">
          <w:rPr>
            <w:webHidden/>
          </w:rPr>
          <w:tab/>
        </w:r>
        <w:r w:rsidR="00162534">
          <w:rPr>
            <w:webHidden/>
          </w:rPr>
          <w:fldChar w:fldCharType="begin"/>
        </w:r>
        <w:r w:rsidR="008B0247">
          <w:rPr>
            <w:webHidden/>
          </w:rPr>
          <w:instrText xml:space="preserve"> PAGEREF _Toc374530865 \h </w:instrText>
        </w:r>
        <w:r w:rsidR="00162534">
          <w:rPr>
            <w:webHidden/>
          </w:rPr>
        </w:r>
        <w:r w:rsidR="00162534">
          <w:rPr>
            <w:webHidden/>
          </w:rPr>
          <w:fldChar w:fldCharType="separate"/>
        </w:r>
        <w:r w:rsidR="005D4215">
          <w:rPr>
            <w:webHidden/>
          </w:rPr>
          <w:t>38</w:t>
        </w:r>
        <w:r w:rsidR="00162534">
          <w:rPr>
            <w:webHidden/>
          </w:rPr>
          <w:fldChar w:fldCharType="end"/>
        </w:r>
      </w:hyperlink>
    </w:p>
    <w:p w:rsidR="008B0247" w:rsidRDefault="00680EEE">
      <w:pPr>
        <w:pStyle w:val="TOC3"/>
        <w:rPr>
          <w:rFonts w:eastAsiaTheme="minorEastAsia" w:cstheme="minorBidi"/>
          <w:sz w:val="22"/>
          <w:szCs w:val="22"/>
        </w:rPr>
      </w:pPr>
      <w:hyperlink w:anchor="_Toc374530866" w:history="1">
        <w:r w:rsidR="008B0247" w:rsidRPr="00FD3DEE">
          <w:rPr>
            <w:rStyle w:val="Hyperlink"/>
          </w:rPr>
          <w:t>5.10.2</w:t>
        </w:r>
        <w:r w:rsidR="008B0247">
          <w:rPr>
            <w:rFonts w:eastAsiaTheme="minorEastAsia" w:cstheme="minorBidi"/>
            <w:sz w:val="22"/>
            <w:szCs w:val="22"/>
          </w:rPr>
          <w:tab/>
        </w:r>
        <w:r w:rsidR="008B0247" w:rsidRPr="00FD3DEE">
          <w:rPr>
            <w:rStyle w:val="Hyperlink"/>
          </w:rPr>
          <w:t>Commercial and retail land supply</w:t>
        </w:r>
        <w:r w:rsidR="008B0247">
          <w:rPr>
            <w:webHidden/>
          </w:rPr>
          <w:tab/>
        </w:r>
        <w:r w:rsidR="00162534">
          <w:rPr>
            <w:webHidden/>
          </w:rPr>
          <w:fldChar w:fldCharType="begin"/>
        </w:r>
        <w:r w:rsidR="008B0247">
          <w:rPr>
            <w:webHidden/>
          </w:rPr>
          <w:instrText xml:space="preserve"> PAGEREF _Toc374530866 \h </w:instrText>
        </w:r>
        <w:r w:rsidR="00162534">
          <w:rPr>
            <w:webHidden/>
          </w:rPr>
        </w:r>
        <w:r w:rsidR="00162534">
          <w:rPr>
            <w:webHidden/>
          </w:rPr>
          <w:fldChar w:fldCharType="separate"/>
        </w:r>
        <w:r w:rsidR="005D4215">
          <w:rPr>
            <w:webHidden/>
          </w:rPr>
          <w:t>39</w:t>
        </w:r>
        <w:r w:rsidR="00162534">
          <w:rPr>
            <w:webHidden/>
          </w:rPr>
          <w:fldChar w:fldCharType="end"/>
        </w:r>
      </w:hyperlink>
    </w:p>
    <w:p w:rsidR="008B0247" w:rsidRDefault="00680EEE">
      <w:pPr>
        <w:pStyle w:val="TOC3"/>
        <w:rPr>
          <w:rFonts w:eastAsiaTheme="minorEastAsia" w:cstheme="minorBidi"/>
          <w:sz w:val="22"/>
          <w:szCs w:val="22"/>
        </w:rPr>
      </w:pPr>
      <w:hyperlink w:anchor="_Toc374530867" w:history="1">
        <w:r w:rsidR="008B0247" w:rsidRPr="00FD3DEE">
          <w:rPr>
            <w:rStyle w:val="Hyperlink"/>
          </w:rPr>
          <w:t>5.10.3</w:t>
        </w:r>
        <w:r w:rsidR="008B0247">
          <w:rPr>
            <w:rFonts w:eastAsiaTheme="minorEastAsia" w:cstheme="minorBidi"/>
            <w:sz w:val="22"/>
            <w:szCs w:val="22"/>
          </w:rPr>
          <w:tab/>
        </w:r>
        <w:r w:rsidR="008B0247" w:rsidRPr="00FD3DEE">
          <w:rPr>
            <w:rStyle w:val="Hyperlink"/>
          </w:rPr>
          <w:t>Rural land</w:t>
        </w:r>
        <w:r w:rsidR="008B0247">
          <w:rPr>
            <w:webHidden/>
          </w:rPr>
          <w:tab/>
        </w:r>
        <w:r w:rsidR="00162534">
          <w:rPr>
            <w:webHidden/>
          </w:rPr>
          <w:fldChar w:fldCharType="begin"/>
        </w:r>
        <w:r w:rsidR="008B0247">
          <w:rPr>
            <w:webHidden/>
          </w:rPr>
          <w:instrText xml:space="preserve"> PAGEREF _Toc374530867 \h </w:instrText>
        </w:r>
        <w:r w:rsidR="00162534">
          <w:rPr>
            <w:webHidden/>
          </w:rPr>
        </w:r>
        <w:r w:rsidR="00162534">
          <w:rPr>
            <w:webHidden/>
          </w:rPr>
          <w:fldChar w:fldCharType="separate"/>
        </w:r>
        <w:r w:rsidR="005D4215">
          <w:rPr>
            <w:webHidden/>
          </w:rPr>
          <w:t>39</w:t>
        </w:r>
        <w:r w:rsidR="00162534">
          <w:rPr>
            <w:webHidden/>
          </w:rPr>
          <w:fldChar w:fldCharType="end"/>
        </w:r>
      </w:hyperlink>
    </w:p>
    <w:p w:rsidR="008B0247" w:rsidRDefault="00680EEE">
      <w:pPr>
        <w:pStyle w:val="TOC1"/>
        <w:rPr>
          <w:rFonts w:eastAsiaTheme="minorEastAsia" w:cstheme="minorBidi"/>
          <w:szCs w:val="22"/>
          <w:lang w:eastAsia="en-AU"/>
        </w:rPr>
      </w:pPr>
      <w:hyperlink w:anchor="_Toc374530868" w:history="1">
        <w:r w:rsidR="008B0247" w:rsidRPr="00FD3DEE">
          <w:rPr>
            <w:rStyle w:val="Hyperlink"/>
          </w:rPr>
          <w:t>6</w:t>
        </w:r>
        <w:r w:rsidR="008B0247">
          <w:rPr>
            <w:rFonts w:eastAsiaTheme="minorEastAsia" w:cstheme="minorBidi"/>
            <w:szCs w:val="22"/>
            <w:lang w:eastAsia="en-AU"/>
          </w:rPr>
          <w:tab/>
        </w:r>
        <w:r w:rsidR="008B0247" w:rsidRPr="00FD3DEE">
          <w:rPr>
            <w:rStyle w:val="Hyperlink"/>
          </w:rPr>
          <w:t>Environment and natural resources</w:t>
        </w:r>
        <w:r w:rsidR="008B0247">
          <w:rPr>
            <w:webHidden/>
          </w:rPr>
          <w:tab/>
        </w:r>
        <w:r w:rsidR="00162534">
          <w:rPr>
            <w:webHidden/>
          </w:rPr>
          <w:fldChar w:fldCharType="begin"/>
        </w:r>
        <w:r w:rsidR="008B0247">
          <w:rPr>
            <w:webHidden/>
          </w:rPr>
          <w:instrText xml:space="preserve"> PAGEREF _Toc374530868 \h </w:instrText>
        </w:r>
        <w:r w:rsidR="00162534">
          <w:rPr>
            <w:webHidden/>
          </w:rPr>
        </w:r>
        <w:r w:rsidR="00162534">
          <w:rPr>
            <w:webHidden/>
          </w:rPr>
          <w:fldChar w:fldCharType="separate"/>
        </w:r>
        <w:r w:rsidR="005D4215">
          <w:rPr>
            <w:webHidden/>
          </w:rPr>
          <w:t>40</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69" w:history="1">
        <w:r w:rsidR="008B0247" w:rsidRPr="00FD3DEE">
          <w:rPr>
            <w:rStyle w:val="Hyperlink"/>
          </w:rPr>
          <w:t>6.1</w:t>
        </w:r>
        <w:r w:rsidR="008B0247">
          <w:rPr>
            <w:rFonts w:eastAsiaTheme="minorEastAsia" w:cstheme="minorBidi"/>
            <w:bCs w:val="0"/>
            <w:sz w:val="22"/>
            <w:szCs w:val="22"/>
          </w:rPr>
          <w:tab/>
        </w:r>
        <w:r w:rsidR="008B0247" w:rsidRPr="00FD3DEE">
          <w:rPr>
            <w:rStyle w:val="Hyperlink"/>
          </w:rPr>
          <w:t>Environment and heritage assets</w:t>
        </w:r>
        <w:r w:rsidR="008B0247">
          <w:rPr>
            <w:webHidden/>
          </w:rPr>
          <w:tab/>
        </w:r>
        <w:r w:rsidR="00162534">
          <w:rPr>
            <w:webHidden/>
          </w:rPr>
          <w:fldChar w:fldCharType="begin"/>
        </w:r>
        <w:r w:rsidR="008B0247">
          <w:rPr>
            <w:webHidden/>
          </w:rPr>
          <w:instrText xml:space="preserve"> PAGEREF _Toc374530869 \h </w:instrText>
        </w:r>
        <w:r w:rsidR="00162534">
          <w:rPr>
            <w:webHidden/>
          </w:rPr>
        </w:r>
        <w:r w:rsidR="00162534">
          <w:rPr>
            <w:webHidden/>
          </w:rPr>
          <w:fldChar w:fldCharType="separate"/>
        </w:r>
        <w:r w:rsidR="005D4215">
          <w:rPr>
            <w:webHidden/>
          </w:rPr>
          <w:t>41</w:t>
        </w:r>
        <w:r w:rsidR="00162534">
          <w:rPr>
            <w:webHidden/>
          </w:rPr>
          <w:fldChar w:fldCharType="end"/>
        </w:r>
      </w:hyperlink>
    </w:p>
    <w:p w:rsidR="008B0247" w:rsidRDefault="00680EEE">
      <w:pPr>
        <w:pStyle w:val="TOC3"/>
        <w:rPr>
          <w:rFonts w:eastAsiaTheme="minorEastAsia" w:cstheme="minorBidi"/>
          <w:sz w:val="22"/>
          <w:szCs w:val="22"/>
        </w:rPr>
      </w:pPr>
      <w:hyperlink w:anchor="_Toc374530870" w:history="1">
        <w:r w:rsidR="008B0247" w:rsidRPr="00FD3DEE">
          <w:rPr>
            <w:rStyle w:val="Hyperlink"/>
          </w:rPr>
          <w:t>6.1.1</w:t>
        </w:r>
        <w:r w:rsidR="008B0247">
          <w:rPr>
            <w:rFonts w:eastAsiaTheme="minorEastAsia" w:cstheme="minorBidi"/>
            <w:sz w:val="22"/>
            <w:szCs w:val="22"/>
          </w:rPr>
          <w:tab/>
        </w:r>
        <w:r w:rsidR="008B0247" w:rsidRPr="00FD3DEE">
          <w:rPr>
            <w:rStyle w:val="Hyperlink"/>
          </w:rPr>
          <w:t>Cultural heritage assets</w:t>
        </w:r>
        <w:r w:rsidR="008B0247">
          <w:rPr>
            <w:webHidden/>
          </w:rPr>
          <w:tab/>
        </w:r>
        <w:r w:rsidR="00162534">
          <w:rPr>
            <w:webHidden/>
          </w:rPr>
          <w:fldChar w:fldCharType="begin"/>
        </w:r>
        <w:r w:rsidR="008B0247">
          <w:rPr>
            <w:webHidden/>
          </w:rPr>
          <w:instrText xml:space="preserve"> PAGEREF _Toc374530870 \h </w:instrText>
        </w:r>
        <w:r w:rsidR="00162534">
          <w:rPr>
            <w:webHidden/>
          </w:rPr>
        </w:r>
        <w:r w:rsidR="00162534">
          <w:rPr>
            <w:webHidden/>
          </w:rPr>
          <w:fldChar w:fldCharType="separate"/>
        </w:r>
        <w:r w:rsidR="005D4215">
          <w:rPr>
            <w:webHidden/>
          </w:rPr>
          <w:t>41</w:t>
        </w:r>
        <w:r w:rsidR="00162534">
          <w:rPr>
            <w:webHidden/>
          </w:rPr>
          <w:fldChar w:fldCharType="end"/>
        </w:r>
      </w:hyperlink>
    </w:p>
    <w:p w:rsidR="008B0247" w:rsidRDefault="00680EEE">
      <w:pPr>
        <w:pStyle w:val="TOC3"/>
        <w:rPr>
          <w:rFonts w:eastAsiaTheme="minorEastAsia" w:cstheme="minorBidi"/>
          <w:sz w:val="22"/>
          <w:szCs w:val="22"/>
        </w:rPr>
      </w:pPr>
      <w:hyperlink w:anchor="_Toc374530871" w:history="1">
        <w:r w:rsidR="008B0247" w:rsidRPr="00FD3DEE">
          <w:rPr>
            <w:rStyle w:val="Hyperlink"/>
          </w:rPr>
          <w:t>6.1.2</w:t>
        </w:r>
        <w:r w:rsidR="008B0247">
          <w:rPr>
            <w:rFonts w:eastAsiaTheme="minorEastAsia" w:cstheme="minorBidi"/>
            <w:sz w:val="22"/>
            <w:szCs w:val="22"/>
          </w:rPr>
          <w:tab/>
        </w:r>
        <w:r w:rsidR="008B0247" w:rsidRPr="00FD3DEE">
          <w:rPr>
            <w:rStyle w:val="Hyperlink"/>
          </w:rPr>
          <w:t>Significant landscapes</w:t>
        </w:r>
        <w:r w:rsidR="008B0247">
          <w:rPr>
            <w:webHidden/>
          </w:rPr>
          <w:tab/>
        </w:r>
        <w:r w:rsidR="00162534">
          <w:rPr>
            <w:webHidden/>
          </w:rPr>
          <w:fldChar w:fldCharType="begin"/>
        </w:r>
        <w:r w:rsidR="008B0247">
          <w:rPr>
            <w:webHidden/>
          </w:rPr>
          <w:instrText xml:space="preserve"> PAGEREF _Toc374530871 \h </w:instrText>
        </w:r>
        <w:r w:rsidR="00162534">
          <w:rPr>
            <w:webHidden/>
          </w:rPr>
        </w:r>
        <w:r w:rsidR="00162534">
          <w:rPr>
            <w:webHidden/>
          </w:rPr>
          <w:fldChar w:fldCharType="separate"/>
        </w:r>
        <w:r w:rsidR="005D4215">
          <w:rPr>
            <w:webHidden/>
          </w:rPr>
          <w:t>44</w:t>
        </w:r>
        <w:r w:rsidR="00162534">
          <w:rPr>
            <w:webHidden/>
          </w:rPr>
          <w:fldChar w:fldCharType="end"/>
        </w:r>
      </w:hyperlink>
    </w:p>
    <w:p w:rsidR="008B0247" w:rsidRDefault="00680EEE">
      <w:pPr>
        <w:pStyle w:val="TOC3"/>
        <w:rPr>
          <w:rFonts w:eastAsiaTheme="minorEastAsia" w:cstheme="minorBidi"/>
          <w:sz w:val="22"/>
          <w:szCs w:val="22"/>
        </w:rPr>
      </w:pPr>
      <w:hyperlink w:anchor="_Toc374530872" w:history="1">
        <w:r w:rsidR="008B0247" w:rsidRPr="00FD3DEE">
          <w:rPr>
            <w:rStyle w:val="Hyperlink"/>
          </w:rPr>
          <w:t>6.1.3</w:t>
        </w:r>
        <w:r w:rsidR="008B0247">
          <w:rPr>
            <w:rFonts w:eastAsiaTheme="minorEastAsia" w:cstheme="minorBidi"/>
            <w:sz w:val="22"/>
            <w:szCs w:val="22"/>
          </w:rPr>
          <w:tab/>
        </w:r>
        <w:r w:rsidR="008B0247" w:rsidRPr="00FD3DEE">
          <w:rPr>
            <w:rStyle w:val="Hyperlink"/>
          </w:rPr>
          <w:t>Terrestrial habitat</w:t>
        </w:r>
        <w:r w:rsidR="008B0247">
          <w:rPr>
            <w:webHidden/>
          </w:rPr>
          <w:tab/>
        </w:r>
        <w:r w:rsidR="00162534">
          <w:rPr>
            <w:webHidden/>
          </w:rPr>
          <w:fldChar w:fldCharType="begin"/>
        </w:r>
        <w:r w:rsidR="008B0247">
          <w:rPr>
            <w:webHidden/>
          </w:rPr>
          <w:instrText xml:space="preserve"> PAGEREF _Toc374530872 \h </w:instrText>
        </w:r>
        <w:r w:rsidR="00162534">
          <w:rPr>
            <w:webHidden/>
          </w:rPr>
        </w:r>
        <w:r w:rsidR="00162534">
          <w:rPr>
            <w:webHidden/>
          </w:rPr>
          <w:fldChar w:fldCharType="separate"/>
        </w:r>
        <w:r w:rsidR="005D4215">
          <w:rPr>
            <w:webHidden/>
          </w:rPr>
          <w:t>44</w:t>
        </w:r>
        <w:r w:rsidR="00162534">
          <w:rPr>
            <w:webHidden/>
          </w:rPr>
          <w:fldChar w:fldCharType="end"/>
        </w:r>
      </w:hyperlink>
    </w:p>
    <w:p w:rsidR="008B0247" w:rsidRDefault="00680EEE">
      <w:pPr>
        <w:pStyle w:val="TOC3"/>
        <w:rPr>
          <w:rFonts w:eastAsiaTheme="minorEastAsia" w:cstheme="minorBidi"/>
          <w:sz w:val="22"/>
          <w:szCs w:val="22"/>
        </w:rPr>
      </w:pPr>
      <w:hyperlink w:anchor="_Toc374530873" w:history="1">
        <w:r w:rsidR="008B0247" w:rsidRPr="00FD3DEE">
          <w:rPr>
            <w:rStyle w:val="Hyperlink"/>
          </w:rPr>
          <w:t>6.1.4</w:t>
        </w:r>
        <w:r w:rsidR="008B0247">
          <w:rPr>
            <w:rFonts w:eastAsiaTheme="minorEastAsia" w:cstheme="minorBidi"/>
            <w:sz w:val="22"/>
            <w:szCs w:val="22"/>
          </w:rPr>
          <w:tab/>
        </w:r>
        <w:r w:rsidR="008B0247" w:rsidRPr="00FD3DEE">
          <w:rPr>
            <w:rStyle w:val="Hyperlink"/>
          </w:rPr>
          <w:t>Waterways (rivers and wetlands)</w:t>
        </w:r>
        <w:r w:rsidR="008B0247">
          <w:rPr>
            <w:webHidden/>
          </w:rPr>
          <w:tab/>
        </w:r>
        <w:r w:rsidR="00162534">
          <w:rPr>
            <w:webHidden/>
          </w:rPr>
          <w:fldChar w:fldCharType="begin"/>
        </w:r>
        <w:r w:rsidR="008B0247">
          <w:rPr>
            <w:webHidden/>
          </w:rPr>
          <w:instrText xml:space="preserve"> PAGEREF _Toc374530873 \h </w:instrText>
        </w:r>
        <w:r w:rsidR="00162534">
          <w:rPr>
            <w:webHidden/>
          </w:rPr>
        </w:r>
        <w:r w:rsidR="00162534">
          <w:rPr>
            <w:webHidden/>
          </w:rPr>
          <w:fldChar w:fldCharType="separate"/>
        </w:r>
        <w:r w:rsidR="005D4215">
          <w:rPr>
            <w:webHidden/>
          </w:rPr>
          <w:t>46</w:t>
        </w:r>
        <w:r w:rsidR="00162534">
          <w:rPr>
            <w:webHidden/>
          </w:rPr>
          <w:fldChar w:fldCharType="end"/>
        </w:r>
      </w:hyperlink>
    </w:p>
    <w:p w:rsidR="008B0247" w:rsidRDefault="00680EEE">
      <w:pPr>
        <w:pStyle w:val="TOC3"/>
        <w:rPr>
          <w:rFonts w:eastAsiaTheme="minorEastAsia" w:cstheme="minorBidi"/>
          <w:sz w:val="22"/>
          <w:szCs w:val="22"/>
        </w:rPr>
      </w:pPr>
      <w:hyperlink w:anchor="_Toc374530874" w:history="1">
        <w:r w:rsidR="008B0247" w:rsidRPr="00FD3DEE">
          <w:rPr>
            <w:rStyle w:val="Hyperlink"/>
          </w:rPr>
          <w:t>6.1.5</w:t>
        </w:r>
        <w:r w:rsidR="008B0247">
          <w:rPr>
            <w:rFonts w:eastAsiaTheme="minorEastAsia" w:cstheme="minorBidi"/>
            <w:sz w:val="22"/>
            <w:szCs w:val="22"/>
          </w:rPr>
          <w:tab/>
        </w:r>
        <w:r w:rsidR="008B0247" w:rsidRPr="00FD3DEE">
          <w:rPr>
            <w:rStyle w:val="Hyperlink"/>
          </w:rPr>
          <w:t>Catchment health</w:t>
        </w:r>
        <w:r w:rsidR="008B0247">
          <w:rPr>
            <w:webHidden/>
          </w:rPr>
          <w:tab/>
        </w:r>
        <w:r w:rsidR="00162534">
          <w:rPr>
            <w:webHidden/>
          </w:rPr>
          <w:fldChar w:fldCharType="begin"/>
        </w:r>
        <w:r w:rsidR="008B0247">
          <w:rPr>
            <w:webHidden/>
          </w:rPr>
          <w:instrText xml:space="preserve"> PAGEREF _Toc374530874 \h </w:instrText>
        </w:r>
        <w:r w:rsidR="00162534">
          <w:rPr>
            <w:webHidden/>
          </w:rPr>
        </w:r>
        <w:r w:rsidR="00162534">
          <w:rPr>
            <w:webHidden/>
          </w:rPr>
          <w:fldChar w:fldCharType="separate"/>
        </w:r>
        <w:r w:rsidR="005D4215">
          <w:rPr>
            <w:webHidden/>
          </w:rPr>
          <w:t>47</w:t>
        </w:r>
        <w:r w:rsidR="00162534">
          <w:rPr>
            <w:webHidden/>
          </w:rPr>
          <w:fldChar w:fldCharType="end"/>
        </w:r>
      </w:hyperlink>
    </w:p>
    <w:p w:rsidR="008B0247" w:rsidRDefault="00680EEE">
      <w:pPr>
        <w:pStyle w:val="TOC3"/>
        <w:rPr>
          <w:rFonts w:eastAsiaTheme="minorEastAsia" w:cstheme="minorBidi"/>
          <w:sz w:val="22"/>
          <w:szCs w:val="22"/>
        </w:rPr>
      </w:pPr>
      <w:hyperlink w:anchor="_Toc374530875" w:history="1">
        <w:r w:rsidR="008B0247" w:rsidRPr="00FD3DEE">
          <w:rPr>
            <w:rStyle w:val="Hyperlink"/>
          </w:rPr>
          <w:t>6.1.6</w:t>
        </w:r>
        <w:r w:rsidR="008B0247">
          <w:rPr>
            <w:rFonts w:eastAsiaTheme="minorEastAsia" w:cstheme="minorBidi"/>
            <w:sz w:val="22"/>
            <w:szCs w:val="22"/>
          </w:rPr>
          <w:tab/>
        </w:r>
        <w:r w:rsidR="008B0247" w:rsidRPr="00FD3DEE">
          <w:rPr>
            <w:rStyle w:val="Hyperlink"/>
          </w:rPr>
          <w:t>Soils</w:t>
        </w:r>
        <w:r w:rsidR="008B0247">
          <w:rPr>
            <w:webHidden/>
          </w:rPr>
          <w:tab/>
        </w:r>
        <w:r w:rsidR="00162534">
          <w:rPr>
            <w:webHidden/>
          </w:rPr>
          <w:fldChar w:fldCharType="begin"/>
        </w:r>
        <w:r w:rsidR="008B0247">
          <w:rPr>
            <w:webHidden/>
          </w:rPr>
          <w:instrText xml:space="preserve"> PAGEREF _Toc374530875 \h </w:instrText>
        </w:r>
        <w:r w:rsidR="00162534">
          <w:rPr>
            <w:webHidden/>
          </w:rPr>
        </w:r>
        <w:r w:rsidR="00162534">
          <w:rPr>
            <w:webHidden/>
          </w:rPr>
          <w:fldChar w:fldCharType="separate"/>
        </w:r>
        <w:r w:rsidR="005D4215">
          <w:rPr>
            <w:webHidden/>
          </w:rPr>
          <w:t>49</w:t>
        </w:r>
        <w:r w:rsidR="00162534">
          <w:rPr>
            <w:webHidden/>
          </w:rPr>
          <w:fldChar w:fldCharType="end"/>
        </w:r>
      </w:hyperlink>
    </w:p>
    <w:p w:rsidR="008B0247" w:rsidRDefault="00680EEE">
      <w:pPr>
        <w:pStyle w:val="TOC3"/>
        <w:rPr>
          <w:rFonts w:eastAsiaTheme="minorEastAsia" w:cstheme="minorBidi"/>
          <w:sz w:val="22"/>
          <w:szCs w:val="22"/>
        </w:rPr>
      </w:pPr>
      <w:hyperlink w:anchor="_Toc374530876" w:history="1">
        <w:r w:rsidR="008B0247" w:rsidRPr="00FD3DEE">
          <w:rPr>
            <w:rStyle w:val="Hyperlink"/>
          </w:rPr>
          <w:t>6.1.7</w:t>
        </w:r>
        <w:r w:rsidR="008B0247">
          <w:rPr>
            <w:rFonts w:eastAsiaTheme="minorEastAsia" w:cstheme="minorBidi"/>
            <w:sz w:val="22"/>
            <w:szCs w:val="22"/>
          </w:rPr>
          <w:tab/>
        </w:r>
        <w:r w:rsidR="008B0247" w:rsidRPr="00FD3DEE">
          <w:rPr>
            <w:rStyle w:val="Hyperlink"/>
          </w:rPr>
          <w:t>Public land</w:t>
        </w:r>
        <w:r w:rsidR="008B0247">
          <w:rPr>
            <w:webHidden/>
          </w:rPr>
          <w:tab/>
        </w:r>
        <w:r w:rsidR="00162534">
          <w:rPr>
            <w:webHidden/>
          </w:rPr>
          <w:fldChar w:fldCharType="begin"/>
        </w:r>
        <w:r w:rsidR="008B0247">
          <w:rPr>
            <w:webHidden/>
          </w:rPr>
          <w:instrText xml:space="preserve"> PAGEREF _Toc374530876 \h </w:instrText>
        </w:r>
        <w:r w:rsidR="00162534">
          <w:rPr>
            <w:webHidden/>
          </w:rPr>
        </w:r>
        <w:r w:rsidR="00162534">
          <w:rPr>
            <w:webHidden/>
          </w:rPr>
          <w:fldChar w:fldCharType="separate"/>
        </w:r>
        <w:r w:rsidR="005D4215">
          <w:rPr>
            <w:webHidden/>
          </w:rPr>
          <w:t>50</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77" w:history="1">
        <w:r w:rsidR="008B0247" w:rsidRPr="00FD3DEE">
          <w:rPr>
            <w:rStyle w:val="Hyperlink"/>
          </w:rPr>
          <w:t>6.2</w:t>
        </w:r>
        <w:r w:rsidR="008B0247">
          <w:rPr>
            <w:rFonts w:eastAsiaTheme="minorEastAsia" w:cstheme="minorBidi"/>
            <w:bCs w:val="0"/>
            <w:sz w:val="22"/>
            <w:szCs w:val="22"/>
          </w:rPr>
          <w:tab/>
        </w:r>
        <w:r w:rsidR="008B0247" w:rsidRPr="00FD3DEE">
          <w:rPr>
            <w:rStyle w:val="Hyperlink"/>
          </w:rPr>
          <w:t>Natural hazards and risks</w:t>
        </w:r>
        <w:r w:rsidR="008B0247">
          <w:rPr>
            <w:webHidden/>
          </w:rPr>
          <w:tab/>
        </w:r>
        <w:r w:rsidR="00162534">
          <w:rPr>
            <w:webHidden/>
          </w:rPr>
          <w:fldChar w:fldCharType="begin"/>
        </w:r>
        <w:r w:rsidR="008B0247">
          <w:rPr>
            <w:webHidden/>
          </w:rPr>
          <w:instrText xml:space="preserve"> PAGEREF _Toc374530877 \h </w:instrText>
        </w:r>
        <w:r w:rsidR="00162534">
          <w:rPr>
            <w:webHidden/>
          </w:rPr>
        </w:r>
        <w:r w:rsidR="00162534">
          <w:rPr>
            <w:webHidden/>
          </w:rPr>
          <w:fldChar w:fldCharType="separate"/>
        </w:r>
        <w:r w:rsidR="005D4215">
          <w:rPr>
            <w:webHidden/>
          </w:rPr>
          <w:t>51</w:t>
        </w:r>
        <w:r w:rsidR="00162534">
          <w:rPr>
            <w:webHidden/>
          </w:rPr>
          <w:fldChar w:fldCharType="end"/>
        </w:r>
      </w:hyperlink>
    </w:p>
    <w:p w:rsidR="008B0247" w:rsidRDefault="00680EEE">
      <w:pPr>
        <w:pStyle w:val="TOC3"/>
        <w:rPr>
          <w:rFonts w:eastAsiaTheme="minorEastAsia" w:cstheme="minorBidi"/>
          <w:sz w:val="22"/>
          <w:szCs w:val="22"/>
        </w:rPr>
      </w:pPr>
      <w:hyperlink w:anchor="_Toc374530878" w:history="1">
        <w:r w:rsidR="008B0247" w:rsidRPr="00FD3DEE">
          <w:rPr>
            <w:rStyle w:val="Hyperlink"/>
          </w:rPr>
          <w:t>6.2.1</w:t>
        </w:r>
        <w:r w:rsidR="008B0247">
          <w:rPr>
            <w:rFonts w:eastAsiaTheme="minorEastAsia" w:cstheme="minorBidi"/>
            <w:sz w:val="22"/>
            <w:szCs w:val="22"/>
          </w:rPr>
          <w:tab/>
        </w:r>
        <w:r w:rsidR="008B0247" w:rsidRPr="00FD3DEE">
          <w:rPr>
            <w:rStyle w:val="Hyperlink"/>
          </w:rPr>
          <w:t>Flood</w:t>
        </w:r>
        <w:r w:rsidR="008B0247">
          <w:rPr>
            <w:webHidden/>
          </w:rPr>
          <w:tab/>
        </w:r>
        <w:r w:rsidR="00162534">
          <w:rPr>
            <w:webHidden/>
          </w:rPr>
          <w:fldChar w:fldCharType="begin"/>
        </w:r>
        <w:r w:rsidR="008B0247">
          <w:rPr>
            <w:webHidden/>
          </w:rPr>
          <w:instrText xml:space="preserve"> PAGEREF _Toc374530878 \h </w:instrText>
        </w:r>
        <w:r w:rsidR="00162534">
          <w:rPr>
            <w:webHidden/>
          </w:rPr>
        </w:r>
        <w:r w:rsidR="00162534">
          <w:rPr>
            <w:webHidden/>
          </w:rPr>
          <w:fldChar w:fldCharType="separate"/>
        </w:r>
        <w:r w:rsidR="005D4215">
          <w:rPr>
            <w:webHidden/>
          </w:rPr>
          <w:t>51</w:t>
        </w:r>
        <w:r w:rsidR="00162534">
          <w:rPr>
            <w:webHidden/>
          </w:rPr>
          <w:fldChar w:fldCharType="end"/>
        </w:r>
      </w:hyperlink>
    </w:p>
    <w:p w:rsidR="008B0247" w:rsidRDefault="00680EEE">
      <w:pPr>
        <w:pStyle w:val="TOC3"/>
        <w:rPr>
          <w:rFonts w:eastAsiaTheme="minorEastAsia" w:cstheme="minorBidi"/>
          <w:sz w:val="22"/>
          <w:szCs w:val="22"/>
        </w:rPr>
      </w:pPr>
      <w:hyperlink w:anchor="_Toc374530879" w:history="1">
        <w:r w:rsidR="008B0247" w:rsidRPr="00FD3DEE">
          <w:rPr>
            <w:rStyle w:val="Hyperlink"/>
          </w:rPr>
          <w:t>6.2.2</w:t>
        </w:r>
        <w:r w:rsidR="008B0247">
          <w:rPr>
            <w:rFonts w:eastAsiaTheme="minorEastAsia" w:cstheme="minorBidi"/>
            <w:sz w:val="22"/>
            <w:szCs w:val="22"/>
          </w:rPr>
          <w:tab/>
        </w:r>
        <w:r w:rsidR="008B0247" w:rsidRPr="00FD3DEE">
          <w:rPr>
            <w:rStyle w:val="Hyperlink"/>
          </w:rPr>
          <w:t>Bushfire</w:t>
        </w:r>
        <w:r w:rsidR="008B0247">
          <w:rPr>
            <w:webHidden/>
          </w:rPr>
          <w:tab/>
        </w:r>
        <w:r w:rsidR="00162534">
          <w:rPr>
            <w:webHidden/>
          </w:rPr>
          <w:fldChar w:fldCharType="begin"/>
        </w:r>
        <w:r w:rsidR="008B0247">
          <w:rPr>
            <w:webHidden/>
          </w:rPr>
          <w:instrText xml:space="preserve"> PAGEREF _Toc374530879 \h </w:instrText>
        </w:r>
        <w:r w:rsidR="00162534">
          <w:rPr>
            <w:webHidden/>
          </w:rPr>
        </w:r>
        <w:r w:rsidR="00162534">
          <w:rPr>
            <w:webHidden/>
          </w:rPr>
          <w:fldChar w:fldCharType="separate"/>
        </w:r>
        <w:r w:rsidR="005D4215">
          <w:rPr>
            <w:webHidden/>
          </w:rPr>
          <w:t>52</w:t>
        </w:r>
        <w:r w:rsidR="00162534">
          <w:rPr>
            <w:webHidden/>
          </w:rPr>
          <w:fldChar w:fldCharType="end"/>
        </w:r>
      </w:hyperlink>
    </w:p>
    <w:p w:rsidR="008B0247" w:rsidRDefault="00680EEE">
      <w:pPr>
        <w:pStyle w:val="TOC3"/>
        <w:rPr>
          <w:rFonts w:eastAsiaTheme="minorEastAsia" w:cstheme="minorBidi"/>
          <w:sz w:val="22"/>
          <w:szCs w:val="22"/>
        </w:rPr>
      </w:pPr>
      <w:hyperlink w:anchor="_Toc374530880" w:history="1">
        <w:r w:rsidR="008B0247" w:rsidRPr="00FD3DEE">
          <w:rPr>
            <w:rStyle w:val="Hyperlink"/>
          </w:rPr>
          <w:t>6.2.3</w:t>
        </w:r>
        <w:r w:rsidR="008B0247">
          <w:rPr>
            <w:rFonts w:eastAsiaTheme="minorEastAsia" w:cstheme="minorBidi"/>
            <w:sz w:val="22"/>
            <w:szCs w:val="22"/>
          </w:rPr>
          <w:tab/>
        </w:r>
        <w:r w:rsidR="008B0247" w:rsidRPr="00FD3DEE">
          <w:rPr>
            <w:rStyle w:val="Hyperlink"/>
          </w:rPr>
          <w:t>Climate change</w:t>
        </w:r>
        <w:r w:rsidR="008B0247">
          <w:rPr>
            <w:webHidden/>
          </w:rPr>
          <w:tab/>
        </w:r>
        <w:r w:rsidR="00162534">
          <w:rPr>
            <w:webHidden/>
          </w:rPr>
          <w:fldChar w:fldCharType="begin"/>
        </w:r>
        <w:r w:rsidR="008B0247">
          <w:rPr>
            <w:webHidden/>
          </w:rPr>
          <w:instrText xml:space="preserve"> PAGEREF _Toc374530880 \h </w:instrText>
        </w:r>
        <w:r w:rsidR="00162534">
          <w:rPr>
            <w:webHidden/>
          </w:rPr>
        </w:r>
        <w:r w:rsidR="00162534">
          <w:rPr>
            <w:webHidden/>
          </w:rPr>
          <w:fldChar w:fldCharType="separate"/>
        </w:r>
        <w:r w:rsidR="005D4215">
          <w:rPr>
            <w:webHidden/>
          </w:rPr>
          <w:t>53</w:t>
        </w:r>
        <w:r w:rsidR="00162534">
          <w:rPr>
            <w:webHidden/>
          </w:rPr>
          <w:fldChar w:fldCharType="end"/>
        </w:r>
      </w:hyperlink>
    </w:p>
    <w:p w:rsidR="008B0247" w:rsidRDefault="00680EEE">
      <w:pPr>
        <w:pStyle w:val="TOC3"/>
        <w:rPr>
          <w:rFonts w:eastAsiaTheme="minorEastAsia" w:cstheme="minorBidi"/>
          <w:sz w:val="22"/>
          <w:szCs w:val="22"/>
        </w:rPr>
      </w:pPr>
      <w:hyperlink w:anchor="_Toc374530881" w:history="1">
        <w:r w:rsidR="008B0247" w:rsidRPr="00FD3DEE">
          <w:rPr>
            <w:rStyle w:val="Hyperlink"/>
          </w:rPr>
          <w:t>6.2.4</w:t>
        </w:r>
        <w:r w:rsidR="008B0247">
          <w:rPr>
            <w:rFonts w:eastAsiaTheme="minorEastAsia" w:cstheme="minorBidi"/>
            <w:sz w:val="22"/>
            <w:szCs w:val="22"/>
          </w:rPr>
          <w:tab/>
        </w:r>
        <w:r w:rsidR="008B0247" w:rsidRPr="00FD3DEE">
          <w:rPr>
            <w:rStyle w:val="Hyperlink"/>
          </w:rPr>
          <w:t>Soil health threats</w:t>
        </w:r>
        <w:r w:rsidR="008B0247">
          <w:rPr>
            <w:webHidden/>
          </w:rPr>
          <w:tab/>
        </w:r>
        <w:r w:rsidR="00162534">
          <w:rPr>
            <w:webHidden/>
          </w:rPr>
          <w:fldChar w:fldCharType="begin"/>
        </w:r>
        <w:r w:rsidR="008B0247">
          <w:rPr>
            <w:webHidden/>
          </w:rPr>
          <w:instrText xml:space="preserve"> PAGEREF _Toc374530881 \h </w:instrText>
        </w:r>
        <w:r w:rsidR="00162534">
          <w:rPr>
            <w:webHidden/>
          </w:rPr>
        </w:r>
        <w:r w:rsidR="00162534">
          <w:rPr>
            <w:webHidden/>
          </w:rPr>
          <w:fldChar w:fldCharType="separate"/>
        </w:r>
        <w:r w:rsidR="005D4215">
          <w:rPr>
            <w:webHidden/>
          </w:rPr>
          <w:t>54</w:t>
        </w:r>
        <w:r w:rsidR="00162534">
          <w:rPr>
            <w:webHidden/>
          </w:rPr>
          <w:fldChar w:fldCharType="end"/>
        </w:r>
      </w:hyperlink>
    </w:p>
    <w:p w:rsidR="008B0247" w:rsidRDefault="00680EEE">
      <w:pPr>
        <w:pStyle w:val="TOC1"/>
        <w:rPr>
          <w:rFonts w:eastAsiaTheme="minorEastAsia" w:cstheme="minorBidi"/>
          <w:szCs w:val="22"/>
          <w:lang w:eastAsia="en-AU"/>
        </w:rPr>
      </w:pPr>
      <w:hyperlink w:anchor="_Toc374530882" w:history="1">
        <w:r w:rsidR="008B0247" w:rsidRPr="00FD3DEE">
          <w:rPr>
            <w:rStyle w:val="Hyperlink"/>
          </w:rPr>
          <w:t>7</w:t>
        </w:r>
        <w:r w:rsidR="008B0247">
          <w:rPr>
            <w:rFonts w:eastAsiaTheme="minorEastAsia" w:cstheme="minorBidi"/>
            <w:szCs w:val="22"/>
            <w:lang w:eastAsia="en-AU"/>
          </w:rPr>
          <w:tab/>
        </w:r>
        <w:r w:rsidR="008B0247" w:rsidRPr="00FD3DEE">
          <w:rPr>
            <w:rStyle w:val="Hyperlink"/>
          </w:rPr>
          <w:t>Transport and infrastructure</w:t>
        </w:r>
        <w:r w:rsidR="008B0247">
          <w:rPr>
            <w:webHidden/>
          </w:rPr>
          <w:tab/>
        </w:r>
        <w:r w:rsidR="00162534">
          <w:rPr>
            <w:webHidden/>
          </w:rPr>
          <w:fldChar w:fldCharType="begin"/>
        </w:r>
        <w:r w:rsidR="008B0247">
          <w:rPr>
            <w:webHidden/>
          </w:rPr>
          <w:instrText xml:space="preserve"> PAGEREF _Toc374530882 \h </w:instrText>
        </w:r>
        <w:r w:rsidR="00162534">
          <w:rPr>
            <w:webHidden/>
          </w:rPr>
        </w:r>
        <w:r w:rsidR="00162534">
          <w:rPr>
            <w:webHidden/>
          </w:rPr>
          <w:fldChar w:fldCharType="separate"/>
        </w:r>
        <w:r w:rsidR="005D4215">
          <w:rPr>
            <w:webHidden/>
          </w:rPr>
          <w:t>57</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83" w:history="1">
        <w:r w:rsidR="008B0247" w:rsidRPr="00FD3DEE">
          <w:rPr>
            <w:rStyle w:val="Hyperlink"/>
          </w:rPr>
          <w:t>7.1</w:t>
        </w:r>
        <w:r w:rsidR="008B0247">
          <w:rPr>
            <w:rFonts w:eastAsiaTheme="minorEastAsia" w:cstheme="minorBidi"/>
            <w:bCs w:val="0"/>
            <w:sz w:val="22"/>
            <w:szCs w:val="22"/>
          </w:rPr>
          <w:tab/>
        </w:r>
        <w:r w:rsidR="008B0247" w:rsidRPr="00FD3DEE">
          <w:rPr>
            <w:rStyle w:val="Hyperlink"/>
          </w:rPr>
          <w:t>Policy context transport</w:t>
        </w:r>
        <w:r w:rsidR="008B0247">
          <w:rPr>
            <w:webHidden/>
          </w:rPr>
          <w:tab/>
        </w:r>
        <w:r w:rsidR="00162534">
          <w:rPr>
            <w:webHidden/>
          </w:rPr>
          <w:fldChar w:fldCharType="begin"/>
        </w:r>
        <w:r w:rsidR="008B0247">
          <w:rPr>
            <w:webHidden/>
          </w:rPr>
          <w:instrText xml:space="preserve"> PAGEREF _Toc374530883 \h </w:instrText>
        </w:r>
        <w:r w:rsidR="00162534">
          <w:rPr>
            <w:webHidden/>
          </w:rPr>
        </w:r>
        <w:r w:rsidR="00162534">
          <w:rPr>
            <w:webHidden/>
          </w:rPr>
          <w:fldChar w:fldCharType="separate"/>
        </w:r>
        <w:r w:rsidR="005D4215">
          <w:rPr>
            <w:webHidden/>
          </w:rPr>
          <w:t>58</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84" w:history="1">
        <w:r w:rsidR="008B0247" w:rsidRPr="00FD3DEE">
          <w:rPr>
            <w:rStyle w:val="Hyperlink"/>
          </w:rPr>
          <w:t>7.2</w:t>
        </w:r>
        <w:r w:rsidR="008B0247">
          <w:rPr>
            <w:rFonts w:eastAsiaTheme="minorEastAsia" w:cstheme="minorBidi"/>
            <w:bCs w:val="0"/>
            <w:sz w:val="22"/>
            <w:szCs w:val="22"/>
          </w:rPr>
          <w:tab/>
        </w:r>
        <w:r w:rsidR="008B0247" w:rsidRPr="00FD3DEE">
          <w:rPr>
            <w:rStyle w:val="Hyperlink"/>
          </w:rPr>
          <w:t>Transport in the Loddon Mallee South region</w:t>
        </w:r>
        <w:r w:rsidR="008B0247">
          <w:rPr>
            <w:webHidden/>
          </w:rPr>
          <w:tab/>
        </w:r>
        <w:r w:rsidR="00162534">
          <w:rPr>
            <w:webHidden/>
          </w:rPr>
          <w:fldChar w:fldCharType="begin"/>
        </w:r>
        <w:r w:rsidR="008B0247">
          <w:rPr>
            <w:webHidden/>
          </w:rPr>
          <w:instrText xml:space="preserve"> PAGEREF _Toc374530884 \h </w:instrText>
        </w:r>
        <w:r w:rsidR="00162534">
          <w:rPr>
            <w:webHidden/>
          </w:rPr>
        </w:r>
        <w:r w:rsidR="00162534">
          <w:rPr>
            <w:webHidden/>
          </w:rPr>
          <w:fldChar w:fldCharType="separate"/>
        </w:r>
        <w:r w:rsidR="005D4215">
          <w:rPr>
            <w:webHidden/>
          </w:rPr>
          <w:t>59</w:t>
        </w:r>
        <w:r w:rsidR="00162534">
          <w:rPr>
            <w:webHidden/>
          </w:rPr>
          <w:fldChar w:fldCharType="end"/>
        </w:r>
      </w:hyperlink>
    </w:p>
    <w:p w:rsidR="008B0247" w:rsidRDefault="00680EEE">
      <w:pPr>
        <w:pStyle w:val="TOC3"/>
        <w:rPr>
          <w:rFonts w:eastAsiaTheme="minorEastAsia" w:cstheme="minorBidi"/>
          <w:sz w:val="22"/>
          <w:szCs w:val="22"/>
        </w:rPr>
      </w:pPr>
      <w:hyperlink w:anchor="_Toc374530885" w:history="1">
        <w:r w:rsidR="008B0247" w:rsidRPr="00FD3DEE">
          <w:rPr>
            <w:rStyle w:val="Hyperlink"/>
          </w:rPr>
          <w:t>7.2.1</w:t>
        </w:r>
        <w:r w:rsidR="008B0247">
          <w:rPr>
            <w:rFonts w:eastAsiaTheme="minorEastAsia" w:cstheme="minorBidi"/>
            <w:sz w:val="22"/>
            <w:szCs w:val="22"/>
          </w:rPr>
          <w:tab/>
        </w:r>
        <w:r w:rsidR="008B0247" w:rsidRPr="00FD3DEE">
          <w:rPr>
            <w:rStyle w:val="Hyperlink"/>
          </w:rPr>
          <w:t>Road traffic flows</w:t>
        </w:r>
        <w:r w:rsidR="008B0247">
          <w:rPr>
            <w:webHidden/>
          </w:rPr>
          <w:tab/>
        </w:r>
        <w:r w:rsidR="00162534">
          <w:rPr>
            <w:webHidden/>
          </w:rPr>
          <w:fldChar w:fldCharType="begin"/>
        </w:r>
        <w:r w:rsidR="008B0247">
          <w:rPr>
            <w:webHidden/>
          </w:rPr>
          <w:instrText xml:space="preserve"> PAGEREF _Toc374530885 \h </w:instrText>
        </w:r>
        <w:r w:rsidR="00162534">
          <w:rPr>
            <w:webHidden/>
          </w:rPr>
        </w:r>
        <w:r w:rsidR="00162534">
          <w:rPr>
            <w:webHidden/>
          </w:rPr>
          <w:fldChar w:fldCharType="separate"/>
        </w:r>
        <w:r w:rsidR="005D4215">
          <w:rPr>
            <w:webHidden/>
          </w:rPr>
          <w:t>59</w:t>
        </w:r>
        <w:r w:rsidR="00162534">
          <w:rPr>
            <w:webHidden/>
          </w:rPr>
          <w:fldChar w:fldCharType="end"/>
        </w:r>
      </w:hyperlink>
    </w:p>
    <w:p w:rsidR="008B0247" w:rsidRDefault="00680EEE">
      <w:pPr>
        <w:pStyle w:val="TOC3"/>
        <w:rPr>
          <w:rFonts w:eastAsiaTheme="minorEastAsia" w:cstheme="minorBidi"/>
          <w:sz w:val="22"/>
          <w:szCs w:val="22"/>
        </w:rPr>
      </w:pPr>
      <w:hyperlink w:anchor="_Toc374530886" w:history="1">
        <w:r w:rsidR="008B0247" w:rsidRPr="00FD3DEE">
          <w:rPr>
            <w:rStyle w:val="Hyperlink"/>
          </w:rPr>
          <w:t>7.2.2</w:t>
        </w:r>
        <w:r w:rsidR="008B0247">
          <w:rPr>
            <w:rFonts w:eastAsiaTheme="minorEastAsia" w:cstheme="minorBidi"/>
            <w:sz w:val="22"/>
            <w:szCs w:val="22"/>
          </w:rPr>
          <w:tab/>
        </w:r>
        <w:r w:rsidR="008B0247" w:rsidRPr="00FD3DEE">
          <w:rPr>
            <w:rStyle w:val="Hyperlink"/>
          </w:rPr>
          <w:t>Train passenger traffic</w:t>
        </w:r>
        <w:r w:rsidR="008B0247">
          <w:rPr>
            <w:webHidden/>
          </w:rPr>
          <w:tab/>
        </w:r>
        <w:r w:rsidR="00162534">
          <w:rPr>
            <w:webHidden/>
          </w:rPr>
          <w:fldChar w:fldCharType="begin"/>
        </w:r>
        <w:r w:rsidR="008B0247">
          <w:rPr>
            <w:webHidden/>
          </w:rPr>
          <w:instrText xml:space="preserve"> PAGEREF _Toc374530886 \h </w:instrText>
        </w:r>
        <w:r w:rsidR="00162534">
          <w:rPr>
            <w:webHidden/>
          </w:rPr>
        </w:r>
        <w:r w:rsidR="00162534">
          <w:rPr>
            <w:webHidden/>
          </w:rPr>
          <w:fldChar w:fldCharType="separate"/>
        </w:r>
        <w:r w:rsidR="005D4215">
          <w:rPr>
            <w:webHidden/>
          </w:rPr>
          <w:t>61</w:t>
        </w:r>
        <w:r w:rsidR="00162534">
          <w:rPr>
            <w:webHidden/>
          </w:rPr>
          <w:fldChar w:fldCharType="end"/>
        </w:r>
      </w:hyperlink>
    </w:p>
    <w:p w:rsidR="008B0247" w:rsidRDefault="00680EEE">
      <w:pPr>
        <w:pStyle w:val="TOC3"/>
        <w:rPr>
          <w:rFonts w:eastAsiaTheme="minorEastAsia" w:cstheme="minorBidi"/>
          <w:sz w:val="22"/>
          <w:szCs w:val="22"/>
        </w:rPr>
      </w:pPr>
      <w:hyperlink w:anchor="_Toc374530887" w:history="1">
        <w:r w:rsidR="008B0247" w:rsidRPr="00FD3DEE">
          <w:rPr>
            <w:rStyle w:val="Hyperlink"/>
          </w:rPr>
          <w:t>7.2.3</w:t>
        </w:r>
        <w:r w:rsidR="008B0247">
          <w:rPr>
            <w:rFonts w:eastAsiaTheme="minorEastAsia" w:cstheme="minorBidi"/>
            <w:sz w:val="22"/>
            <w:szCs w:val="22"/>
          </w:rPr>
          <w:tab/>
        </w:r>
        <w:r w:rsidR="008B0247" w:rsidRPr="00FD3DEE">
          <w:rPr>
            <w:rStyle w:val="Hyperlink"/>
          </w:rPr>
          <w:t>Journey to work patterns</w:t>
        </w:r>
        <w:r w:rsidR="008B0247">
          <w:rPr>
            <w:webHidden/>
          </w:rPr>
          <w:tab/>
        </w:r>
        <w:r w:rsidR="00162534">
          <w:rPr>
            <w:webHidden/>
          </w:rPr>
          <w:fldChar w:fldCharType="begin"/>
        </w:r>
        <w:r w:rsidR="008B0247">
          <w:rPr>
            <w:webHidden/>
          </w:rPr>
          <w:instrText xml:space="preserve"> PAGEREF _Toc374530887 \h </w:instrText>
        </w:r>
        <w:r w:rsidR="00162534">
          <w:rPr>
            <w:webHidden/>
          </w:rPr>
        </w:r>
        <w:r w:rsidR="00162534">
          <w:rPr>
            <w:webHidden/>
          </w:rPr>
          <w:fldChar w:fldCharType="separate"/>
        </w:r>
        <w:r w:rsidR="005D4215">
          <w:rPr>
            <w:webHidden/>
          </w:rPr>
          <w:t>63</w:t>
        </w:r>
        <w:r w:rsidR="00162534">
          <w:rPr>
            <w:webHidden/>
          </w:rPr>
          <w:fldChar w:fldCharType="end"/>
        </w:r>
      </w:hyperlink>
    </w:p>
    <w:p w:rsidR="008B0247" w:rsidRDefault="00680EEE">
      <w:pPr>
        <w:pStyle w:val="TOC3"/>
        <w:rPr>
          <w:rFonts w:eastAsiaTheme="minorEastAsia" w:cstheme="minorBidi"/>
          <w:sz w:val="22"/>
          <w:szCs w:val="22"/>
        </w:rPr>
      </w:pPr>
      <w:hyperlink w:anchor="_Toc374530888" w:history="1">
        <w:r w:rsidR="008B0247" w:rsidRPr="00FD3DEE">
          <w:rPr>
            <w:rStyle w:val="Hyperlink"/>
          </w:rPr>
          <w:t>7.2.4</w:t>
        </w:r>
        <w:r w:rsidR="008B0247">
          <w:rPr>
            <w:rFonts w:eastAsiaTheme="minorEastAsia" w:cstheme="minorBidi"/>
            <w:sz w:val="22"/>
            <w:szCs w:val="22"/>
          </w:rPr>
          <w:tab/>
        </w:r>
        <w:r w:rsidR="008B0247" w:rsidRPr="00FD3DEE">
          <w:rPr>
            <w:rStyle w:val="Hyperlink"/>
          </w:rPr>
          <w:t>Guiding future transport opportunities</w:t>
        </w:r>
        <w:r w:rsidR="008B0247">
          <w:rPr>
            <w:webHidden/>
          </w:rPr>
          <w:tab/>
        </w:r>
        <w:r w:rsidR="00162534">
          <w:rPr>
            <w:webHidden/>
          </w:rPr>
          <w:fldChar w:fldCharType="begin"/>
        </w:r>
        <w:r w:rsidR="008B0247">
          <w:rPr>
            <w:webHidden/>
          </w:rPr>
          <w:instrText xml:space="preserve"> PAGEREF _Toc374530888 \h </w:instrText>
        </w:r>
        <w:r w:rsidR="00162534">
          <w:rPr>
            <w:webHidden/>
          </w:rPr>
        </w:r>
        <w:r w:rsidR="00162534">
          <w:rPr>
            <w:webHidden/>
          </w:rPr>
          <w:fldChar w:fldCharType="separate"/>
        </w:r>
        <w:r w:rsidR="005D4215">
          <w:rPr>
            <w:webHidden/>
          </w:rPr>
          <w:t>66</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89" w:history="1">
        <w:r w:rsidR="008B0247" w:rsidRPr="00FD3DEE">
          <w:rPr>
            <w:rStyle w:val="Hyperlink"/>
          </w:rPr>
          <w:t>7.3</w:t>
        </w:r>
        <w:r w:rsidR="008B0247">
          <w:rPr>
            <w:rFonts w:eastAsiaTheme="minorEastAsia" w:cstheme="minorBidi"/>
            <w:bCs w:val="0"/>
            <w:sz w:val="22"/>
            <w:szCs w:val="22"/>
          </w:rPr>
          <w:tab/>
        </w:r>
        <w:r w:rsidR="008B0247" w:rsidRPr="00FD3DEE">
          <w:rPr>
            <w:rStyle w:val="Hyperlink"/>
          </w:rPr>
          <w:t>Urban water supply</w:t>
        </w:r>
        <w:r w:rsidR="008B0247">
          <w:rPr>
            <w:webHidden/>
          </w:rPr>
          <w:tab/>
        </w:r>
        <w:r w:rsidR="00162534">
          <w:rPr>
            <w:webHidden/>
          </w:rPr>
          <w:fldChar w:fldCharType="begin"/>
        </w:r>
        <w:r w:rsidR="008B0247">
          <w:rPr>
            <w:webHidden/>
          </w:rPr>
          <w:instrText xml:space="preserve"> PAGEREF _Toc374530889 \h </w:instrText>
        </w:r>
        <w:r w:rsidR="00162534">
          <w:rPr>
            <w:webHidden/>
          </w:rPr>
        </w:r>
        <w:r w:rsidR="00162534">
          <w:rPr>
            <w:webHidden/>
          </w:rPr>
          <w:fldChar w:fldCharType="separate"/>
        </w:r>
        <w:r w:rsidR="005D4215">
          <w:rPr>
            <w:webHidden/>
          </w:rPr>
          <w:t>68</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90" w:history="1">
        <w:r w:rsidR="008B0247" w:rsidRPr="00FD3DEE">
          <w:rPr>
            <w:rStyle w:val="Hyperlink"/>
          </w:rPr>
          <w:t>7.4</w:t>
        </w:r>
        <w:r w:rsidR="008B0247">
          <w:rPr>
            <w:rFonts w:eastAsiaTheme="minorEastAsia" w:cstheme="minorBidi"/>
            <w:bCs w:val="0"/>
            <w:sz w:val="22"/>
            <w:szCs w:val="22"/>
          </w:rPr>
          <w:tab/>
        </w:r>
        <w:r w:rsidR="008B0247" w:rsidRPr="00FD3DEE">
          <w:rPr>
            <w:rStyle w:val="Hyperlink"/>
          </w:rPr>
          <w:t>Rural water supply</w:t>
        </w:r>
        <w:r w:rsidR="008B0247">
          <w:rPr>
            <w:webHidden/>
          </w:rPr>
          <w:tab/>
        </w:r>
        <w:r w:rsidR="00162534">
          <w:rPr>
            <w:webHidden/>
          </w:rPr>
          <w:fldChar w:fldCharType="begin"/>
        </w:r>
        <w:r w:rsidR="008B0247">
          <w:rPr>
            <w:webHidden/>
          </w:rPr>
          <w:instrText xml:space="preserve"> PAGEREF _Toc374530890 \h </w:instrText>
        </w:r>
        <w:r w:rsidR="00162534">
          <w:rPr>
            <w:webHidden/>
          </w:rPr>
        </w:r>
        <w:r w:rsidR="00162534">
          <w:rPr>
            <w:webHidden/>
          </w:rPr>
          <w:fldChar w:fldCharType="separate"/>
        </w:r>
        <w:r w:rsidR="005D4215">
          <w:rPr>
            <w:webHidden/>
          </w:rPr>
          <w:t>71</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91" w:history="1">
        <w:r w:rsidR="008B0247" w:rsidRPr="00FD3DEE">
          <w:rPr>
            <w:rStyle w:val="Hyperlink"/>
          </w:rPr>
          <w:t>7.5</w:t>
        </w:r>
        <w:r w:rsidR="008B0247">
          <w:rPr>
            <w:rFonts w:eastAsiaTheme="minorEastAsia" w:cstheme="minorBidi"/>
            <w:bCs w:val="0"/>
            <w:sz w:val="22"/>
            <w:szCs w:val="22"/>
          </w:rPr>
          <w:tab/>
        </w:r>
        <w:r w:rsidR="008B0247" w:rsidRPr="00FD3DEE">
          <w:rPr>
            <w:rStyle w:val="Hyperlink"/>
          </w:rPr>
          <w:t>Waste management</w:t>
        </w:r>
        <w:r w:rsidR="008B0247">
          <w:rPr>
            <w:webHidden/>
          </w:rPr>
          <w:tab/>
        </w:r>
        <w:r w:rsidR="00162534">
          <w:rPr>
            <w:webHidden/>
          </w:rPr>
          <w:fldChar w:fldCharType="begin"/>
        </w:r>
        <w:r w:rsidR="008B0247">
          <w:rPr>
            <w:webHidden/>
          </w:rPr>
          <w:instrText xml:space="preserve"> PAGEREF _Toc374530891 \h </w:instrText>
        </w:r>
        <w:r w:rsidR="00162534">
          <w:rPr>
            <w:webHidden/>
          </w:rPr>
        </w:r>
        <w:r w:rsidR="00162534">
          <w:rPr>
            <w:webHidden/>
          </w:rPr>
          <w:fldChar w:fldCharType="separate"/>
        </w:r>
        <w:r w:rsidR="005D4215">
          <w:rPr>
            <w:webHidden/>
          </w:rPr>
          <w:t>71</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92" w:history="1">
        <w:r w:rsidR="008B0247" w:rsidRPr="00FD3DEE">
          <w:rPr>
            <w:rStyle w:val="Hyperlink"/>
          </w:rPr>
          <w:t>7.6</w:t>
        </w:r>
        <w:r w:rsidR="008B0247">
          <w:rPr>
            <w:rFonts w:eastAsiaTheme="minorEastAsia" w:cstheme="minorBidi"/>
            <w:bCs w:val="0"/>
            <w:sz w:val="22"/>
            <w:szCs w:val="22"/>
          </w:rPr>
          <w:tab/>
        </w:r>
        <w:r w:rsidR="008B0247" w:rsidRPr="00FD3DEE">
          <w:rPr>
            <w:rStyle w:val="Hyperlink"/>
          </w:rPr>
          <w:t>Wastewater management</w:t>
        </w:r>
        <w:r w:rsidR="008B0247">
          <w:rPr>
            <w:webHidden/>
          </w:rPr>
          <w:tab/>
        </w:r>
        <w:r w:rsidR="00162534">
          <w:rPr>
            <w:webHidden/>
          </w:rPr>
          <w:fldChar w:fldCharType="begin"/>
        </w:r>
        <w:r w:rsidR="008B0247">
          <w:rPr>
            <w:webHidden/>
          </w:rPr>
          <w:instrText xml:space="preserve"> PAGEREF _Toc374530892 \h </w:instrText>
        </w:r>
        <w:r w:rsidR="00162534">
          <w:rPr>
            <w:webHidden/>
          </w:rPr>
        </w:r>
        <w:r w:rsidR="00162534">
          <w:rPr>
            <w:webHidden/>
          </w:rPr>
          <w:fldChar w:fldCharType="separate"/>
        </w:r>
        <w:r w:rsidR="005D4215">
          <w:rPr>
            <w:webHidden/>
          </w:rPr>
          <w:t>72</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93" w:history="1">
        <w:r w:rsidR="008B0247" w:rsidRPr="00FD3DEE">
          <w:rPr>
            <w:rStyle w:val="Hyperlink"/>
          </w:rPr>
          <w:t>7.7</w:t>
        </w:r>
        <w:r w:rsidR="008B0247">
          <w:rPr>
            <w:rFonts w:eastAsiaTheme="minorEastAsia" w:cstheme="minorBidi"/>
            <w:bCs w:val="0"/>
            <w:sz w:val="22"/>
            <w:szCs w:val="22"/>
          </w:rPr>
          <w:tab/>
        </w:r>
        <w:r w:rsidR="008B0247" w:rsidRPr="00FD3DEE">
          <w:rPr>
            <w:rStyle w:val="Hyperlink"/>
          </w:rPr>
          <w:t>Communications and information and communication technology</w:t>
        </w:r>
        <w:r w:rsidR="008B0247">
          <w:rPr>
            <w:webHidden/>
          </w:rPr>
          <w:tab/>
        </w:r>
        <w:r w:rsidR="00162534">
          <w:rPr>
            <w:webHidden/>
          </w:rPr>
          <w:fldChar w:fldCharType="begin"/>
        </w:r>
        <w:r w:rsidR="008B0247">
          <w:rPr>
            <w:webHidden/>
          </w:rPr>
          <w:instrText xml:space="preserve"> PAGEREF _Toc374530893 \h </w:instrText>
        </w:r>
        <w:r w:rsidR="00162534">
          <w:rPr>
            <w:webHidden/>
          </w:rPr>
        </w:r>
        <w:r w:rsidR="00162534">
          <w:rPr>
            <w:webHidden/>
          </w:rPr>
          <w:fldChar w:fldCharType="separate"/>
        </w:r>
        <w:r w:rsidR="005D4215">
          <w:rPr>
            <w:webHidden/>
          </w:rPr>
          <w:t>73</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94" w:history="1">
        <w:r w:rsidR="008B0247" w:rsidRPr="00FD3DEE">
          <w:rPr>
            <w:rStyle w:val="Hyperlink"/>
          </w:rPr>
          <w:t>7.8</w:t>
        </w:r>
        <w:r w:rsidR="008B0247">
          <w:rPr>
            <w:rFonts w:eastAsiaTheme="minorEastAsia" w:cstheme="minorBidi"/>
            <w:bCs w:val="0"/>
            <w:sz w:val="22"/>
            <w:szCs w:val="22"/>
          </w:rPr>
          <w:tab/>
        </w:r>
        <w:r w:rsidR="008B0247" w:rsidRPr="00FD3DEE">
          <w:rPr>
            <w:rStyle w:val="Hyperlink"/>
          </w:rPr>
          <w:t>Energy</w:t>
        </w:r>
        <w:r w:rsidR="008B0247">
          <w:rPr>
            <w:webHidden/>
          </w:rPr>
          <w:tab/>
        </w:r>
        <w:r w:rsidR="00162534">
          <w:rPr>
            <w:webHidden/>
          </w:rPr>
          <w:fldChar w:fldCharType="begin"/>
        </w:r>
        <w:r w:rsidR="008B0247">
          <w:rPr>
            <w:webHidden/>
          </w:rPr>
          <w:instrText xml:space="preserve"> PAGEREF _Toc374530894 \h </w:instrText>
        </w:r>
        <w:r w:rsidR="00162534">
          <w:rPr>
            <w:webHidden/>
          </w:rPr>
        </w:r>
        <w:r w:rsidR="00162534">
          <w:rPr>
            <w:webHidden/>
          </w:rPr>
          <w:fldChar w:fldCharType="separate"/>
        </w:r>
        <w:r w:rsidR="005D4215">
          <w:rPr>
            <w:webHidden/>
          </w:rPr>
          <w:t>73</w:t>
        </w:r>
        <w:r w:rsidR="00162534">
          <w:rPr>
            <w:webHidden/>
          </w:rPr>
          <w:fldChar w:fldCharType="end"/>
        </w:r>
      </w:hyperlink>
    </w:p>
    <w:p w:rsidR="008B0247" w:rsidRDefault="00680EEE">
      <w:pPr>
        <w:pStyle w:val="TOC1"/>
        <w:rPr>
          <w:rFonts w:eastAsiaTheme="minorEastAsia" w:cstheme="minorBidi"/>
          <w:szCs w:val="22"/>
          <w:lang w:eastAsia="en-AU"/>
        </w:rPr>
      </w:pPr>
      <w:hyperlink w:anchor="_Toc374530895" w:history="1">
        <w:r w:rsidR="008B0247" w:rsidRPr="00FD3DEE">
          <w:rPr>
            <w:rStyle w:val="Hyperlink"/>
          </w:rPr>
          <w:t>8</w:t>
        </w:r>
        <w:r w:rsidR="008B0247">
          <w:rPr>
            <w:rFonts w:eastAsiaTheme="minorEastAsia" w:cstheme="minorBidi"/>
            <w:szCs w:val="22"/>
            <w:lang w:eastAsia="en-AU"/>
          </w:rPr>
          <w:tab/>
        </w:r>
        <w:r w:rsidR="008B0247" w:rsidRPr="00FD3DEE">
          <w:rPr>
            <w:rStyle w:val="Hyperlink"/>
          </w:rPr>
          <w:t>Developing the regional growth plan</w:t>
        </w:r>
        <w:r w:rsidR="008B0247">
          <w:rPr>
            <w:webHidden/>
          </w:rPr>
          <w:tab/>
        </w:r>
        <w:r w:rsidR="00162534">
          <w:rPr>
            <w:webHidden/>
          </w:rPr>
          <w:fldChar w:fldCharType="begin"/>
        </w:r>
        <w:r w:rsidR="008B0247">
          <w:rPr>
            <w:webHidden/>
          </w:rPr>
          <w:instrText xml:space="preserve"> PAGEREF _Toc374530895 \h </w:instrText>
        </w:r>
        <w:r w:rsidR="00162534">
          <w:rPr>
            <w:webHidden/>
          </w:rPr>
        </w:r>
        <w:r w:rsidR="00162534">
          <w:rPr>
            <w:webHidden/>
          </w:rPr>
          <w:fldChar w:fldCharType="separate"/>
        </w:r>
        <w:r w:rsidR="005D4215">
          <w:rPr>
            <w:webHidden/>
          </w:rPr>
          <w:t>76</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96" w:history="1">
        <w:r w:rsidR="008B0247" w:rsidRPr="00FD3DEE">
          <w:rPr>
            <w:rStyle w:val="Hyperlink"/>
          </w:rPr>
          <w:t>8.1</w:t>
        </w:r>
        <w:r w:rsidR="008B0247">
          <w:rPr>
            <w:rFonts w:eastAsiaTheme="minorEastAsia" w:cstheme="minorBidi"/>
            <w:bCs w:val="0"/>
            <w:sz w:val="22"/>
            <w:szCs w:val="22"/>
          </w:rPr>
          <w:tab/>
        </w:r>
        <w:r w:rsidR="008B0247" w:rsidRPr="00FD3DEE">
          <w:rPr>
            <w:rStyle w:val="Hyperlink"/>
          </w:rPr>
          <w:t>Planning considerations</w:t>
        </w:r>
        <w:r w:rsidR="008B0247">
          <w:rPr>
            <w:webHidden/>
          </w:rPr>
          <w:tab/>
        </w:r>
        <w:r w:rsidR="00162534">
          <w:rPr>
            <w:webHidden/>
          </w:rPr>
          <w:fldChar w:fldCharType="begin"/>
        </w:r>
        <w:r w:rsidR="008B0247">
          <w:rPr>
            <w:webHidden/>
          </w:rPr>
          <w:instrText xml:space="preserve"> PAGEREF _Toc374530896 \h </w:instrText>
        </w:r>
        <w:r w:rsidR="00162534">
          <w:rPr>
            <w:webHidden/>
          </w:rPr>
        </w:r>
        <w:r w:rsidR="00162534">
          <w:rPr>
            <w:webHidden/>
          </w:rPr>
          <w:fldChar w:fldCharType="separate"/>
        </w:r>
        <w:r w:rsidR="005D4215">
          <w:rPr>
            <w:webHidden/>
          </w:rPr>
          <w:t>76</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897" w:history="1">
        <w:r w:rsidR="008B0247" w:rsidRPr="00FD3DEE">
          <w:rPr>
            <w:rStyle w:val="Hyperlink"/>
          </w:rPr>
          <w:t>8.2</w:t>
        </w:r>
        <w:r w:rsidR="008B0247">
          <w:rPr>
            <w:rFonts w:eastAsiaTheme="minorEastAsia" w:cstheme="minorBidi"/>
            <w:bCs w:val="0"/>
            <w:sz w:val="22"/>
            <w:szCs w:val="22"/>
          </w:rPr>
          <w:tab/>
        </w:r>
        <w:r w:rsidR="008B0247" w:rsidRPr="00FD3DEE">
          <w:rPr>
            <w:rStyle w:val="Hyperlink"/>
          </w:rPr>
          <w:t>Planned and future growth</w:t>
        </w:r>
        <w:r w:rsidR="008B0247">
          <w:rPr>
            <w:webHidden/>
          </w:rPr>
          <w:tab/>
        </w:r>
        <w:r w:rsidR="00162534">
          <w:rPr>
            <w:webHidden/>
          </w:rPr>
          <w:fldChar w:fldCharType="begin"/>
        </w:r>
        <w:r w:rsidR="008B0247">
          <w:rPr>
            <w:webHidden/>
          </w:rPr>
          <w:instrText xml:space="preserve"> PAGEREF _Toc374530897 \h </w:instrText>
        </w:r>
        <w:r w:rsidR="00162534">
          <w:rPr>
            <w:webHidden/>
          </w:rPr>
        </w:r>
        <w:r w:rsidR="00162534">
          <w:rPr>
            <w:webHidden/>
          </w:rPr>
          <w:fldChar w:fldCharType="separate"/>
        </w:r>
        <w:r w:rsidR="005D4215">
          <w:rPr>
            <w:webHidden/>
          </w:rPr>
          <w:t>79</w:t>
        </w:r>
        <w:r w:rsidR="00162534">
          <w:rPr>
            <w:webHidden/>
          </w:rPr>
          <w:fldChar w:fldCharType="end"/>
        </w:r>
      </w:hyperlink>
    </w:p>
    <w:p w:rsidR="008B0247" w:rsidRDefault="00680EEE">
      <w:pPr>
        <w:pStyle w:val="TOC3"/>
        <w:rPr>
          <w:rFonts w:eastAsiaTheme="minorEastAsia" w:cstheme="minorBidi"/>
          <w:sz w:val="22"/>
          <w:szCs w:val="22"/>
        </w:rPr>
      </w:pPr>
      <w:hyperlink w:anchor="_Toc374530898" w:history="1">
        <w:r w:rsidR="008B0247" w:rsidRPr="00FD3DEE">
          <w:rPr>
            <w:rStyle w:val="Hyperlink"/>
          </w:rPr>
          <w:t>8.2.1</w:t>
        </w:r>
        <w:r w:rsidR="008B0247">
          <w:rPr>
            <w:rFonts w:eastAsiaTheme="minorEastAsia" w:cstheme="minorBidi"/>
            <w:sz w:val="22"/>
            <w:szCs w:val="22"/>
          </w:rPr>
          <w:tab/>
        </w:r>
        <w:r w:rsidR="008B0247" w:rsidRPr="00FD3DEE">
          <w:rPr>
            <w:rStyle w:val="Hyperlink"/>
          </w:rPr>
          <w:t>Settlement growth</w:t>
        </w:r>
        <w:r w:rsidR="008B0247">
          <w:rPr>
            <w:webHidden/>
          </w:rPr>
          <w:tab/>
        </w:r>
        <w:r w:rsidR="00162534">
          <w:rPr>
            <w:webHidden/>
          </w:rPr>
          <w:fldChar w:fldCharType="begin"/>
        </w:r>
        <w:r w:rsidR="008B0247">
          <w:rPr>
            <w:webHidden/>
          </w:rPr>
          <w:instrText xml:space="preserve"> PAGEREF _Toc374530898 \h </w:instrText>
        </w:r>
        <w:r w:rsidR="00162534">
          <w:rPr>
            <w:webHidden/>
          </w:rPr>
        </w:r>
        <w:r w:rsidR="00162534">
          <w:rPr>
            <w:webHidden/>
          </w:rPr>
          <w:fldChar w:fldCharType="separate"/>
        </w:r>
        <w:r w:rsidR="005D4215">
          <w:rPr>
            <w:webHidden/>
          </w:rPr>
          <w:t>79</w:t>
        </w:r>
        <w:r w:rsidR="00162534">
          <w:rPr>
            <w:webHidden/>
          </w:rPr>
          <w:fldChar w:fldCharType="end"/>
        </w:r>
      </w:hyperlink>
    </w:p>
    <w:p w:rsidR="008B0247" w:rsidRDefault="00680EEE">
      <w:pPr>
        <w:pStyle w:val="TOC3"/>
        <w:rPr>
          <w:rFonts w:eastAsiaTheme="minorEastAsia" w:cstheme="minorBidi"/>
          <w:sz w:val="22"/>
          <w:szCs w:val="22"/>
        </w:rPr>
      </w:pPr>
      <w:hyperlink w:anchor="_Toc374530899" w:history="1">
        <w:r w:rsidR="008B0247" w:rsidRPr="00FD3DEE">
          <w:rPr>
            <w:rStyle w:val="Hyperlink"/>
          </w:rPr>
          <w:t>8.2.2</w:t>
        </w:r>
        <w:r w:rsidR="008B0247">
          <w:rPr>
            <w:rFonts w:eastAsiaTheme="minorEastAsia" w:cstheme="minorBidi"/>
            <w:sz w:val="22"/>
            <w:szCs w:val="22"/>
          </w:rPr>
          <w:tab/>
        </w:r>
        <w:r w:rsidR="008B0247" w:rsidRPr="00FD3DEE">
          <w:rPr>
            <w:rStyle w:val="Hyperlink"/>
          </w:rPr>
          <w:t>Planned growth</w:t>
        </w:r>
        <w:r w:rsidR="008B0247">
          <w:rPr>
            <w:webHidden/>
          </w:rPr>
          <w:tab/>
        </w:r>
        <w:r w:rsidR="00162534">
          <w:rPr>
            <w:webHidden/>
          </w:rPr>
          <w:fldChar w:fldCharType="begin"/>
        </w:r>
        <w:r w:rsidR="008B0247">
          <w:rPr>
            <w:webHidden/>
          </w:rPr>
          <w:instrText xml:space="preserve"> PAGEREF _Toc374530899 \h </w:instrText>
        </w:r>
        <w:r w:rsidR="00162534">
          <w:rPr>
            <w:webHidden/>
          </w:rPr>
        </w:r>
        <w:r w:rsidR="00162534">
          <w:rPr>
            <w:webHidden/>
          </w:rPr>
          <w:fldChar w:fldCharType="separate"/>
        </w:r>
        <w:r w:rsidR="005D4215">
          <w:rPr>
            <w:webHidden/>
          </w:rPr>
          <w:t>79</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900" w:history="1">
        <w:r w:rsidR="008B0247" w:rsidRPr="00FD3DEE">
          <w:rPr>
            <w:rStyle w:val="Hyperlink"/>
          </w:rPr>
          <w:t>8.3</w:t>
        </w:r>
        <w:r w:rsidR="008B0247">
          <w:rPr>
            <w:rFonts w:eastAsiaTheme="minorEastAsia" w:cstheme="minorBidi"/>
            <w:bCs w:val="0"/>
            <w:sz w:val="22"/>
            <w:szCs w:val="22"/>
          </w:rPr>
          <w:tab/>
        </w:r>
        <w:r w:rsidR="008B0247" w:rsidRPr="00FD3DEE">
          <w:rPr>
            <w:rStyle w:val="Hyperlink"/>
          </w:rPr>
          <w:t>Growth types</w:t>
        </w:r>
        <w:r w:rsidR="008B0247">
          <w:rPr>
            <w:webHidden/>
          </w:rPr>
          <w:tab/>
        </w:r>
        <w:r w:rsidR="00162534">
          <w:rPr>
            <w:webHidden/>
          </w:rPr>
          <w:fldChar w:fldCharType="begin"/>
        </w:r>
        <w:r w:rsidR="008B0247">
          <w:rPr>
            <w:webHidden/>
          </w:rPr>
          <w:instrText xml:space="preserve"> PAGEREF _Toc374530900 \h </w:instrText>
        </w:r>
        <w:r w:rsidR="00162534">
          <w:rPr>
            <w:webHidden/>
          </w:rPr>
        </w:r>
        <w:r w:rsidR="00162534">
          <w:rPr>
            <w:webHidden/>
          </w:rPr>
          <w:fldChar w:fldCharType="separate"/>
        </w:r>
        <w:r w:rsidR="005D4215">
          <w:rPr>
            <w:webHidden/>
          </w:rPr>
          <w:t>83</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901" w:history="1">
        <w:r w:rsidR="008B0247" w:rsidRPr="00FD3DEE">
          <w:rPr>
            <w:rStyle w:val="Hyperlink"/>
          </w:rPr>
          <w:t>8.4</w:t>
        </w:r>
        <w:r w:rsidR="008B0247">
          <w:rPr>
            <w:rFonts w:eastAsiaTheme="minorEastAsia" w:cstheme="minorBidi"/>
            <w:bCs w:val="0"/>
            <w:sz w:val="22"/>
            <w:szCs w:val="22"/>
          </w:rPr>
          <w:tab/>
        </w:r>
        <w:r w:rsidR="008B0247" w:rsidRPr="00FD3DEE">
          <w:rPr>
            <w:rStyle w:val="Hyperlink"/>
          </w:rPr>
          <w:t>Urban design considerations</w:t>
        </w:r>
        <w:r w:rsidR="008B0247">
          <w:rPr>
            <w:webHidden/>
          </w:rPr>
          <w:tab/>
        </w:r>
        <w:r w:rsidR="00162534">
          <w:rPr>
            <w:webHidden/>
          </w:rPr>
          <w:fldChar w:fldCharType="begin"/>
        </w:r>
        <w:r w:rsidR="008B0247">
          <w:rPr>
            <w:webHidden/>
          </w:rPr>
          <w:instrText xml:space="preserve"> PAGEREF _Toc374530901 \h </w:instrText>
        </w:r>
        <w:r w:rsidR="00162534">
          <w:rPr>
            <w:webHidden/>
          </w:rPr>
        </w:r>
        <w:r w:rsidR="00162534">
          <w:rPr>
            <w:webHidden/>
          </w:rPr>
          <w:fldChar w:fldCharType="separate"/>
        </w:r>
        <w:r w:rsidR="005D4215">
          <w:rPr>
            <w:webHidden/>
          </w:rPr>
          <w:t>85</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902" w:history="1">
        <w:r w:rsidR="008B0247" w:rsidRPr="00FD3DEE">
          <w:rPr>
            <w:rStyle w:val="Hyperlink"/>
          </w:rPr>
          <w:t>8.5</w:t>
        </w:r>
        <w:r w:rsidR="008B0247">
          <w:rPr>
            <w:rFonts w:eastAsiaTheme="minorEastAsia" w:cstheme="minorBidi"/>
            <w:bCs w:val="0"/>
            <w:sz w:val="22"/>
            <w:szCs w:val="22"/>
          </w:rPr>
          <w:tab/>
        </w:r>
        <w:r w:rsidR="008B0247" w:rsidRPr="00FD3DEE">
          <w:rPr>
            <w:rStyle w:val="Hyperlink"/>
          </w:rPr>
          <w:t>Building on our strategic assets</w:t>
        </w:r>
        <w:r w:rsidR="008B0247">
          <w:rPr>
            <w:webHidden/>
          </w:rPr>
          <w:tab/>
        </w:r>
        <w:r w:rsidR="00162534">
          <w:rPr>
            <w:webHidden/>
          </w:rPr>
          <w:fldChar w:fldCharType="begin"/>
        </w:r>
        <w:r w:rsidR="008B0247">
          <w:rPr>
            <w:webHidden/>
          </w:rPr>
          <w:instrText xml:space="preserve"> PAGEREF _Toc374530902 \h </w:instrText>
        </w:r>
        <w:r w:rsidR="00162534">
          <w:rPr>
            <w:webHidden/>
          </w:rPr>
        </w:r>
        <w:r w:rsidR="00162534">
          <w:rPr>
            <w:webHidden/>
          </w:rPr>
          <w:fldChar w:fldCharType="separate"/>
        </w:r>
        <w:r w:rsidR="005D4215">
          <w:rPr>
            <w:webHidden/>
          </w:rPr>
          <w:t>85</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903" w:history="1">
        <w:r w:rsidR="008B0247" w:rsidRPr="00FD3DEE">
          <w:rPr>
            <w:rStyle w:val="Hyperlink"/>
          </w:rPr>
          <w:t>8.6</w:t>
        </w:r>
        <w:r w:rsidR="008B0247">
          <w:rPr>
            <w:rFonts w:eastAsiaTheme="minorEastAsia" w:cstheme="minorBidi"/>
            <w:bCs w:val="0"/>
            <w:sz w:val="22"/>
            <w:szCs w:val="22"/>
          </w:rPr>
          <w:tab/>
        </w:r>
        <w:r w:rsidR="008B0247" w:rsidRPr="00FD3DEE">
          <w:rPr>
            <w:rStyle w:val="Hyperlink"/>
          </w:rPr>
          <w:t>Challenges for regional growth</w:t>
        </w:r>
        <w:r w:rsidR="008B0247">
          <w:rPr>
            <w:webHidden/>
          </w:rPr>
          <w:tab/>
        </w:r>
        <w:r w:rsidR="00162534">
          <w:rPr>
            <w:webHidden/>
          </w:rPr>
          <w:fldChar w:fldCharType="begin"/>
        </w:r>
        <w:r w:rsidR="008B0247">
          <w:rPr>
            <w:webHidden/>
          </w:rPr>
          <w:instrText xml:space="preserve"> PAGEREF _Toc374530903 \h </w:instrText>
        </w:r>
        <w:r w:rsidR="00162534">
          <w:rPr>
            <w:webHidden/>
          </w:rPr>
        </w:r>
        <w:r w:rsidR="00162534">
          <w:rPr>
            <w:webHidden/>
          </w:rPr>
          <w:fldChar w:fldCharType="separate"/>
        </w:r>
        <w:r w:rsidR="005D4215">
          <w:rPr>
            <w:webHidden/>
          </w:rPr>
          <w:t>88</w:t>
        </w:r>
        <w:r w:rsidR="00162534">
          <w:rPr>
            <w:webHidden/>
          </w:rPr>
          <w:fldChar w:fldCharType="end"/>
        </w:r>
      </w:hyperlink>
    </w:p>
    <w:p w:rsidR="008B0247" w:rsidRDefault="00680EEE">
      <w:pPr>
        <w:pStyle w:val="TOC1"/>
        <w:rPr>
          <w:rFonts w:eastAsiaTheme="minorEastAsia" w:cstheme="minorBidi"/>
          <w:szCs w:val="22"/>
          <w:lang w:eastAsia="en-AU"/>
        </w:rPr>
      </w:pPr>
      <w:hyperlink w:anchor="_Toc374530904" w:history="1">
        <w:r w:rsidR="008B0247" w:rsidRPr="00FD3DEE">
          <w:rPr>
            <w:rStyle w:val="Hyperlink"/>
          </w:rPr>
          <w:t>9</w:t>
        </w:r>
        <w:r w:rsidR="008B0247">
          <w:rPr>
            <w:rFonts w:eastAsiaTheme="minorEastAsia" w:cstheme="minorBidi"/>
            <w:szCs w:val="22"/>
            <w:lang w:eastAsia="en-AU"/>
          </w:rPr>
          <w:tab/>
        </w:r>
        <w:r w:rsidR="008B0247" w:rsidRPr="00FD3DEE">
          <w:rPr>
            <w:rStyle w:val="Hyperlink"/>
          </w:rPr>
          <w:t>References</w:t>
        </w:r>
        <w:r w:rsidR="008B0247">
          <w:rPr>
            <w:webHidden/>
          </w:rPr>
          <w:tab/>
        </w:r>
        <w:r w:rsidR="00162534">
          <w:rPr>
            <w:webHidden/>
          </w:rPr>
          <w:fldChar w:fldCharType="begin"/>
        </w:r>
        <w:r w:rsidR="008B0247">
          <w:rPr>
            <w:webHidden/>
          </w:rPr>
          <w:instrText xml:space="preserve"> PAGEREF _Toc374530904 \h </w:instrText>
        </w:r>
        <w:r w:rsidR="00162534">
          <w:rPr>
            <w:webHidden/>
          </w:rPr>
        </w:r>
        <w:r w:rsidR="00162534">
          <w:rPr>
            <w:webHidden/>
          </w:rPr>
          <w:fldChar w:fldCharType="separate"/>
        </w:r>
        <w:r w:rsidR="005D4215">
          <w:rPr>
            <w:webHidden/>
          </w:rPr>
          <w:t>90</w:t>
        </w:r>
        <w:r w:rsidR="00162534">
          <w:rPr>
            <w:webHidden/>
          </w:rPr>
          <w:fldChar w:fldCharType="end"/>
        </w:r>
      </w:hyperlink>
    </w:p>
    <w:p w:rsidR="008B0247" w:rsidRDefault="00680EEE">
      <w:pPr>
        <w:pStyle w:val="TOC1"/>
        <w:rPr>
          <w:rFonts w:eastAsiaTheme="minorEastAsia" w:cstheme="minorBidi"/>
          <w:szCs w:val="22"/>
          <w:lang w:eastAsia="en-AU"/>
        </w:rPr>
      </w:pPr>
      <w:hyperlink w:anchor="_Toc374530905" w:history="1">
        <w:r w:rsidR="008B0247" w:rsidRPr="00FD3DEE">
          <w:rPr>
            <w:rStyle w:val="Hyperlink"/>
          </w:rPr>
          <w:t>10</w:t>
        </w:r>
        <w:r w:rsidR="008B0247">
          <w:rPr>
            <w:rFonts w:eastAsiaTheme="minorEastAsia" w:cstheme="minorBidi"/>
            <w:szCs w:val="22"/>
            <w:lang w:eastAsia="en-AU"/>
          </w:rPr>
          <w:tab/>
        </w:r>
        <w:r w:rsidR="008B0247" w:rsidRPr="00FD3DEE">
          <w:rPr>
            <w:rStyle w:val="Hyperlink"/>
          </w:rPr>
          <w:t>Appendices</w:t>
        </w:r>
        <w:r w:rsidR="008B0247">
          <w:rPr>
            <w:webHidden/>
          </w:rPr>
          <w:tab/>
        </w:r>
        <w:r w:rsidR="00162534">
          <w:rPr>
            <w:webHidden/>
          </w:rPr>
          <w:fldChar w:fldCharType="begin"/>
        </w:r>
        <w:r w:rsidR="008B0247">
          <w:rPr>
            <w:webHidden/>
          </w:rPr>
          <w:instrText xml:space="preserve"> PAGEREF _Toc374530905 \h </w:instrText>
        </w:r>
        <w:r w:rsidR="00162534">
          <w:rPr>
            <w:webHidden/>
          </w:rPr>
        </w:r>
        <w:r w:rsidR="00162534">
          <w:rPr>
            <w:webHidden/>
          </w:rPr>
          <w:fldChar w:fldCharType="separate"/>
        </w:r>
        <w:r w:rsidR="005D4215">
          <w:rPr>
            <w:webHidden/>
          </w:rPr>
          <w:t>92</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906" w:history="1">
        <w:r w:rsidR="008B0247" w:rsidRPr="00FD3DEE">
          <w:rPr>
            <w:rStyle w:val="Hyperlink"/>
          </w:rPr>
          <w:t>10.1</w:t>
        </w:r>
        <w:r w:rsidR="008B0247">
          <w:rPr>
            <w:rFonts w:eastAsiaTheme="minorEastAsia" w:cstheme="minorBidi"/>
            <w:bCs w:val="0"/>
            <w:sz w:val="22"/>
            <w:szCs w:val="22"/>
          </w:rPr>
          <w:tab/>
        </w:r>
        <w:r w:rsidR="008B0247" w:rsidRPr="00FD3DEE">
          <w:rPr>
            <w:rStyle w:val="Hyperlink"/>
          </w:rPr>
          <w:t>Appendix 1: Loddon Mallee South region, estimated industrial land supply (hectares)</w:t>
        </w:r>
        <w:r w:rsidR="008B0247">
          <w:rPr>
            <w:webHidden/>
          </w:rPr>
          <w:tab/>
        </w:r>
        <w:r w:rsidR="00162534">
          <w:rPr>
            <w:webHidden/>
          </w:rPr>
          <w:fldChar w:fldCharType="begin"/>
        </w:r>
        <w:r w:rsidR="008B0247">
          <w:rPr>
            <w:webHidden/>
          </w:rPr>
          <w:instrText xml:space="preserve"> PAGEREF _Toc374530906 \h </w:instrText>
        </w:r>
        <w:r w:rsidR="00162534">
          <w:rPr>
            <w:webHidden/>
          </w:rPr>
        </w:r>
        <w:r w:rsidR="00162534">
          <w:rPr>
            <w:webHidden/>
          </w:rPr>
          <w:fldChar w:fldCharType="separate"/>
        </w:r>
        <w:r w:rsidR="005D4215">
          <w:rPr>
            <w:webHidden/>
          </w:rPr>
          <w:t>92</w:t>
        </w:r>
        <w:r w:rsidR="00162534">
          <w:rPr>
            <w:webHidden/>
          </w:rPr>
          <w:fldChar w:fldCharType="end"/>
        </w:r>
      </w:hyperlink>
    </w:p>
    <w:p w:rsidR="008B0247" w:rsidRDefault="00680EEE">
      <w:pPr>
        <w:pStyle w:val="TOC2"/>
        <w:rPr>
          <w:rFonts w:eastAsiaTheme="minorEastAsia" w:cstheme="minorBidi"/>
          <w:bCs w:val="0"/>
          <w:sz w:val="22"/>
          <w:szCs w:val="22"/>
        </w:rPr>
      </w:pPr>
      <w:hyperlink w:anchor="_Toc374530907" w:history="1">
        <w:r w:rsidR="008B0247" w:rsidRPr="00FD3DEE">
          <w:rPr>
            <w:rStyle w:val="Hyperlink"/>
          </w:rPr>
          <w:t>10.2</w:t>
        </w:r>
        <w:r w:rsidR="008B0247">
          <w:rPr>
            <w:rFonts w:eastAsiaTheme="minorEastAsia" w:cstheme="minorBidi"/>
            <w:bCs w:val="0"/>
            <w:sz w:val="22"/>
            <w:szCs w:val="22"/>
          </w:rPr>
          <w:tab/>
        </w:r>
        <w:r w:rsidR="008B0247" w:rsidRPr="00FD3DEE">
          <w:rPr>
            <w:rStyle w:val="Hyperlink"/>
          </w:rPr>
          <w:t>Appendix 2: Settlement growth analysis</w:t>
        </w:r>
        <w:r w:rsidR="008B0247">
          <w:rPr>
            <w:webHidden/>
          </w:rPr>
          <w:tab/>
        </w:r>
        <w:r w:rsidR="00162534">
          <w:rPr>
            <w:webHidden/>
          </w:rPr>
          <w:fldChar w:fldCharType="begin"/>
        </w:r>
        <w:r w:rsidR="008B0247">
          <w:rPr>
            <w:webHidden/>
          </w:rPr>
          <w:instrText xml:space="preserve"> PAGEREF _Toc374530907 \h </w:instrText>
        </w:r>
        <w:r w:rsidR="00162534">
          <w:rPr>
            <w:webHidden/>
          </w:rPr>
        </w:r>
        <w:r w:rsidR="00162534">
          <w:rPr>
            <w:webHidden/>
          </w:rPr>
          <w:fldChar w:fldCharType="separate"/>
        </w:r>
        <w:r w:rsidR="005D4215">
          <w:rPr>
            <w:webHidden/>
          </w:rPr>
          <w:t>93</w:t>
        </w:r>
        <w:r w:rsidR="00162534">
          <w:rPr>
            <w:webHidden/>
          </w:rPr>
          <w:fldChar w:fldCharType="end"/>
        </w:r>
      </w:hyperlink>
    </w:p>
    <w:p w:rsidR="000D766B" w:rsidRDefault="00162534" w:rsidP="000D766B">
      <w:pPr>
        <w:pStyle w:val="TOC2"/>
      </w:pPr>
      <w:r w:rsidRPr="00225D10">
        <w:fldChar w:fldCharType="end"/>
      </w:r>
    </w:p>
    <w:p w:rsidR="00D72CE0" w:rsidRPr="00DE1C1D" w:rsidRDefault="004C33AE" w:rsidP="004314B2">
      <w:pPr>
        <w:pStyle w:val="TableofContents-heading"/>
        <w:rPr>
          <w:rFonts w:eastAsia="MS P????"/>
          <w:kern w:val="32"/>
        </w:rPr>
      </w:pPr>
      <w:r w:rsidRPr="00DE1C1D">
        <w:rPr>
          <w:rFonts w:eastAsia="MS P????"/>
          <w:kern w:val="32"/>
        </w:rPr>
        <w:t>Figures</w:t>
      </w:r>
      <w:r w:rsidR="00DE1C1D" w:rsidRPr="00DE1C1D">
        <w:rPr>
          <w:rFonts w:eastAsia="MS P????"/>
          <w:kern w:val="32"/>
        </w:rPr>
        <w:t>:</w:t>
      </w:r>
    </w:p>
    <w:p w:rsidR="008B0247" w:rsidRDefault="00162534">
      <w:pPr>
        <w:pStyle w:val="TableofFigures"/>
        <w:rPr>
          <w:rFonts w:eastAsiaTheme="minorEastAsia" w:cstheme="minorBidi"/>
          <w:sz w:val="22"/>
          <w:szCs w:val="22"/>
        </w:rPr>
      </w:pPr>
      <w:r w:rsidRPr="00663F7F">
        <w:fldChar w:fldCharType="begin"/>
      </w:r>
      <w:r w:rsidR="00D72CE0" w:rsidRPr="00663F7F">
        <w:instrText xml:space="preserve"> TOC \h \z \c "Figure" </w:instrText>
      </w:r>
      <w:r w:rsidRPr="00663F7F">
        <w:fldChar w:fldCharType="separate"/>
      </w:r>
      <w:hyperlink w:anchor="_Toc374530796" w:history="1">
        <w:r w:rsidR="008B0247" w:rsidRPr="00CF2FE5">
          <w:rPr>
            <w:rStyle w:val="Hyperlink"/>
          </w:rPr>
          <w:t>Figure 1: Loddon Mallee South region</w:t>
        </w:r>
        <w:r w:rsidR="008B0247">
          <w:rPr>
            <w:webHidden/>
          </w:rPr>
          <w:tab/>
        </w:r>
        <w:r>
          <w:rPr>
            <w:webHidden/>
          </w:rPr>
          <w:fldChar w:fldCharType="begin"/>
        </w:r>
        <w:r w:rsidR="008B0247">
          <w:rPr>
            <w:webHidden/>
          </w:rPr>
          <w:instrText xml:space="preserve"> PAGEREF _Toc374530796 \h </w:instrText>
        </w:r>
        <w:r>
          <w:rPr>
            <w:webHidden/>
          </w:rPr>
        </w:r>
        <w:r>
          <w:rPr>
            <w:webHidden/>
          </w:rPr>
          <w:fldChar w:fldCharType="separate"/>
        </w:r>
        <w:r w:rsidR="005D4215">
          <w:rPr>
            <w:webHidden/>
          </w:rPr>
          <w:t>2</w:t>
        </w:r>
        <w:r>
          <w:rPr>
            <w:webHidden/>
          </w:rPr>
          <w:fldChar w:fldCharType="end"/>
        </w:r>
      </w:hyperlink>
    </w:p>
    <w:p w:rsidR="008B0247" w:rsidRDefault="00680EEE">
      <w:pPr>
        <w:pStyle w:val="TableofFigures"/>
        <w:rPr>
          <w:rFonts w:eastAsiaTheme="minorEastAsia" w:cstheme="minorBidi"/>
          <w:sz w:val="22"/>
          <w:szCs w:val="22"/>
        </w:rPr>
      </w:pPr>
      <w:hyperlink w:anchor="_Toc374530797" w:history="1">
        <w:r w:rsidR="008B0247" w:rsidRPr="00CF2FE5">
          <w:rPr>
            <w:rStyle w:val="Hyperlink"/>
          </w:rPr>
          <w:t>Figure 2: Hierarchy of plans</w:t>
        </w:r>
        <w:r w:rsidR="008B0247">
          <w:rPr>
            <w:webHidden/>
          </w:rPr>
          <w:tab/>
        </w:r>
        <w:r w:rsidR="00162534">
          <w:rPr>
            <w:webHidden/>
          </w:rPr>
          <w:fldChar w:fldCharType="begin"/>
        </w:r>
        <w:r w:rsidR="008B0247">
          <w:rPr>
            <w:webHidden/>
          </w:rPr>
          <w:instrText xml:space="preserve"> PAGEREF _Toc374530797 \h </w:instrText>
        </w:r>
        <w:r w:rsidR="00162534">
          <w:rPr>
            <w:webHidden/>
          </w:rPr>
        </w:r>
        <w:r w:rsidR="00162534">
          <w:rPr>
            <w:webHidden/>
          </w:rPr>
          <w:fldChar w:fldCharType="separate"/>
        </w:r>
        <w:r w:rsidR="005D4215">
          <w:rPr>
            <w:webHidden/>
          </w:rPr>
          <w:t>4</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798" w:history="1">
        <w:r w:rsidR="008B0247" w:rsidRPr="00CF2FE5">
          <w:rPr>
            <w:rStyle w:val="Hyperlink"/>
          </w:rPr>
          <w:t>Figure 3: Recent growth Loddon Mallee South region, population totals and growth rates</w:t>
        </w:r>
        <w:r w:rsidR="008B0247">
          <w:rPr>
            <w:webHidden/>
          </w:rPr>
          <w:tab/>
        </w:r>
        <w:r w:rsidR="00162534">
          <w:rPr>
            <w:webHidden/>
          </w:rPr>
          <w:fldChar w:fldCharType="begin"/>
        </w:r>
        <w:r w:rsidR="008B0247">
          <w:rPr>
            <w:webHidden/>
          </w:rPr>
          <w:instrText xml:space="preserve"> PAGEREF _Toc374530798 \h </w:instrText>
        </w:r>
        <w:r w:rsidR="00162534">
          <w:rPr>
            <w:webHidden/>
          </w:rPr>
        </w:r>
        <w:r w:rsidR="00162534">
          <w:rPr>
            <w:webHidden/>
          </w:rPr>
          <w:fldChar w:fldCharType="separate"/>
        </w:r>
        <w:r w:rsidR="005D4215">
          <w:rPr>
            <w:webHidden/>
          </w:rPr>
          <w:t>9</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799" w:history="1">
        <w:r w:rsidR="008B0247" w:rsidRPr="00CF2FE5">
          <w:rPr>
            <w:rStyle w:val="Hyperlink"/>
          </w:rPr>
          <w:t>Figure 4: Town population 2011</w:t>
        </w:r>
        <w:r w:rsidR="008B0247">
          <w:rPr>
            <w:webHidden/>
          </w:rPr>
          <w:tab/>
        </w:r>
        <w:r w:rsidR="00162534">
          <w:rPr>
            <w:webHidden/>
          </w:rPr>
          <w:fldChar w:fldCharType="begin"/>
        </w:r>
        <w:r w:rsidR="008B0247">
          <w:rPr>
            <w:webHidden/>
          </w:rPr>
          <w:instrText xml:space="preserve"> PAGEREF _Toc374530799 \h </w:instrText>
        </w:r>
        <w:r w:rsidR="00162534">
          <w:rPr>
            <w:webHidden/>
          </w:rPr>
        </w:r>
        <w:r w:rsidR="00162534">
          <w:rPr>
            <w:webHidden/>
          </w:rPr>
          <w:fldChar w:fldCharType="separate"/>
        </w:r>
        <w:r w:rsidR="005D4215">
          <w:rPr>
            <w:webHidden/>
          </w:rPr>
          <w:t>10</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00" w:history="1">
        <w:r w:rsidR="008B0247" w:rsidRPr="00CF2FE5">
          <w:rPr>
            <w:rStyle w:val="Hyperlink"/>
          </w:rPr>
          <w:t>Figure 5: Australian Bureau of Statistics Urban centre/Locality for Bendigo 2011</w:t>
        </w:r>
        <w:r w:rsidR="008B0247">
          <w:rPr>
            <w:webHidden/>
          </w:rPr>
          <w:tab/>
        </w:r>
        <w:r w:rsidR="00162534">
          <w:rPr>
            <w:webHidden/>
          </w:rPr>
          <w:fldChar w:fldCharType="begin"/>
        </w:r>
        <w:r w:rsidR="008B0247">
          <w:rPr>
            <w:webHidden/>
          </w:rPr>
          <w:instrText xml:space="preserve"> PAGEREF _Toc374530800 \h </w:instrText>
        </w:r>
        <w:r w:rsidR="00162534">
          <w:rPr>
            <w:webHidden/>
          </w:rPr>
        </w:r>
        <w:r w:rsidR="00162534">
          <w:rPr>
            <w:webHidden/>
          </w:rPr>
          <w:fldChar w:fldCharType="separate"/>
        </w:r>
        <w:r w:rsidR="005D4215">
          <w:rPr>
            <w:webHidden/>
          </w:rPr>
          <w:t>11</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01" w:history="1">
        <w:r w:rsidR="008B0247" w:rsidRPr="00CF2FE5">
          <w:rPr>
            <w:rStyle w:val="Hyperlink"/>
          </w:rPr>
          <w:t>Figure 6: Loddon Mallee South, Projected population 2016–2031</w:t>
        </w:r>
        <w:r w:rsidR="008B0247">
          <w:rPr>
            <w:webHidden/>
          </w:rPr>
          <w:tab/>
        </w:r>
        <w:r w:rsidR="00162534">
          <w:rPr>
            <w:webHidden/>
          </w:rPr>
          <w:fldChar w:fldCharType="begin"/>
        </w:r>
        <w:r w:rsidR="008B0247">
          <w:rPr>
            <w:webHidden/>
          </w:rPr>
          <w:instrText xml:space="preserve"> PAGEREF _Toc374530801 \h </w:instrText>
        </w:r>
        <w:r w:rsidR="00162534">
          <w:rPr>
            <w:webHidden/>
          </w:rPr>
        </w:r>
        <w:r w:rsidR="00162534">
          <w:rPr>
            <w:webHidden/>
          </w:rPr>
          <w:fldChar w:fldCharType="separate"/>
        </w:r>
        <w:r w:rsidR="005D4215">
          <w:rPr>
            <w:webHidden/>
          </w:rPr>
          <w:t>11</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02" w:history="1">
        <w:r w:rsidR="008B0247" w:rsidRPr="00CF2FE5">
          <w:rPr>
            <w:rStyle w:val="Hyperlink"/>
          </w:rPr>
          <w:t>Figure 7: Age structures Loddon Mallee South, 2011 and 2031</w:t>
        </w:r>
        <w:r w:rsidR="008B0247">
          <w:rPr>
            <w:webHidden/>
          </w:rPr>
          <w:tab/>
        </w:r>
        <w:r w:rsidR="00162534">
          <w:rPr>
            <w:webHidden/>
          </w:rPr>
          <w:fldChar w:fldCharType="begin"/>
        </w:r>
        <w:r w:rsidR="008B0247">
          <w:rPr>
            <w:webHidden/>
          </w:rPr>
          <w:instrText xml:space="preserve"> PAGEREF _Toc374530802 \h </w:instrText>
        </w:r>
        <w:r w:rsidR="00162534">
          <w:rPr>
            <w:webHidden/>
          </w:rPr>
        </w:r>
        <w:r w:rsidR="00162534">
          <w:rPr>
            <w:webHidden/>
          </w:rPr>
          <w:fldChar w:fldCharType="separate"/>
        </w:r>
        <w:r w:rsidR="005D4215">
          <w:rPr>
            <w:webHidden/>
          </w:rPr>
          <w:t>13</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03" w:history="1">
        <w:r w:rsidR="008B0247" w:rsidRPr="00CF2FE5">
          <w:rPr>
            <w:rStyle w:val="Hyperlink"/>
          </w:rPr>
          <w:t>Figure 8: Loddon Mallee South, Household composition 2011</w:t>
        </w:r>
        <w:r w:rsidR="008B0247">
          <w:rPr>
            <w:webHidden/>
          </w:rPr>
          <w:tab/>
        </w:r>
        <w:r w:rsidR="00162534">
          <w:rPr>
            <w:webHidden/>
          </w:rPr>
          <w:fldChar w:fldCharType="begin"/>
        </w:r>
        <w:r w:rsidR="008B0247">
          <w:rPr>
            <w:webHidden/>
          </w:rPr>
          <w:instrText xml:space="preserve"> PAGEREF _Toc374530803 \h </w:instrText>
        </w:r>
        <w:r w:rsidR="00162534">
          <w:rPr>
            <w:webHidden/>
          </w:rPr>
        </w:r>
        <w:r w:rsidR="00162534">
          <w:rPr>
            <w:webHidden/>
          </w:rPr>
          <w:fldChar w:fldCharType="separate"/>
        </w:r>
        <w:r w:rsidR="005D4215">
          <w:rPr>
            <w:webHidden/>
          </w:rPr>
          <w:t>13</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04" w:history="1">
        <w:r w:rsidR="008B0247" w:rsidRPr="00CF2FE5">
          <w:rPr>
            <w:rStyle w:val="Hyperlink"/>
          </w:rPr>
          <w:t>Figure 9: Loddon Mallee South, Future household composition 2011–2031</w:t>
        </w:r>
        <w:r w:rsidR="008B0247">
          <w:rPr>
            <w:webHidden/>
          </w:rPr>
          <w:tab/>
        </w:r>
        <w:r w:rsidR="00162534">
          <w:rPr>
            <w:webHidden/>
          </w:rPr>
          <w:fldChar w:fldCharType="begin"/>
        </w:r>
        <w:r w:rsidR="008B0247">
          <w:rPr>
            <w:webHidden/>
          </w:rPr>
          <w:instrText xml:space="preserve"> PAGEREF _Toc374530804 \h </w:instrText>
        </w:r>
        <w:r w:rsidR="00162534">
          <w:rPr>
            <w:webHidden/>
          </w:rPr>
        </w:r>
        <w:r w:rsidR="00162534">
          <w:rPr>
            <w:webHidden/>
          </w:rPr>
          <w:fldChar w:fldCharType="separate"/>
        </w:r>
        <w:r w:rsidR="005D4215">
          <w:rPr>
            <w:webHidden/>
          </w:rPr>
          <w:t>15</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05" w:history="1">
        <w:r w:rsidR="008B0247" w:rsidRPr="00CF2FE5">
          <w:rPr>
            <w:rStyle w:val="Hyperlink"/>
          </w:rPr>
          <w:t>Figure 10: Loddon Mallee South, Average household size 2011–2031</w:t>
        </w:r>
        <w:r w:rsidR="008B0247">
          <w:rPr>
            <w:webHidden/>
          </w:rPr>
          <w:tab/>
        </w:r>
        <w:r w:rsidR="00162534">
          <w:rPr>
            <w:webHidden/>
          </w:rPr>
          <w:fldChar w:fldCharType="begin"/>
        </w:r>
        <w:r w:rsidR="008B0247">
          <w:rPr>
            <w:webHidden/>
          </w:rPr>
          <w:instrText xml:space="preserve"> PAGEREF _Toc374530805 \h </w:instrText>
        </w:r>
        <w:r w:rsidR="00162534">
          <w:rPr>
            <w:webHidden/>
          </w:rPr>
        </w:r>
        <w:r w:rsidR="00162534">
          <w:rPr>
            <w:webHidden/>
          </w:rPr>
          <w:fldChar w:fldCharType="separate"/>
        </w:r>
        <w:r w:rsidR="005D4215">
          <w:rPr>
            <w:webHidden/>
          </w:rPr>
          <w:t>17</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06" w:history="1">
        <w:r w:rsidR="008B0247" w:rsidRPr="00CF2FE5">
          <w:rPr>
            <w:rStyle w:val="Hyperlink"/>
          </w:rPr>
          <w:t>Figure 11: Loddon Mallee South, dwelling type 2011</w:t>
        </w:r>
        <w:r w:rsidR="008B0247">
          <w:rPr>
            <w:webHidden/>
          </w:rPr>
          <w:tab/>
        </w:r>
        <w:r w:rsidR="00162534">
          <w:rPr>
            <w:webHidden/>
          </w:rPr>
          <w:fldChar w:fldCharType="begin"/>
        </w:r>
        <w:r w:rsidR="008B0247">
          <w:rPr>
            <w:webHidden/>
          </w:rPr>
          <w:instrText xml:space="preserve"> PAGEREF _Toc374530806 \h </w:instrText>
        </w:r>
        <w:r w:rsidR="00162534">
          <w:rPr>
            <w:webHidden/>
          </w:rPr>
        </w:r>
        <w:r w:rsidR="00162534">
          <w:rPr>
            <w:webHidden/>
          </w:rPr>
          <w:fldChar w:fldCharType="separate"/>
        </w:r>
        <w:r w:rsidR="005D4215">
          <w:rPr>
            <w:webHidden/>
          </w:rPr>
          <w:t>17</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07" w:history="1">
        <w:r w:rsidR="008B0247" w:rsidRPr="00CF2FE5">
          <w:rPr>
            <w:rStyle w:val="Hyperlink"/>
          </w:rPr>
          <w:t>Figure 12: Loddon Mallee South Index of Relative Socio-Economic Disadvantage</w:t>
        </w:r>
        <w:r w:rsidR="008B0247">
          <w:rPr>
            <w:webHidden/>
          </w:rPr>
          <w:tab/>
        </w:r>
        <w:r w:rsidR="00162534">
          <w:rPr>
            <w:webHidden/>
          </w:rPr>
          <w:fldChar w:fldCharType="begin"/>
        </w:r>
        <w:r w:rsidR="008B0247">
          <w:rPr>
            <w:webHidden/>
          </w:rPr>
          <w:instrText xml:space="preserve"> PAGEREF _Toc374530807 \h </w:instrText>
        </w:r>
        <w:r w:rsidR="00162534">
          <w:rPr>
            <w:webHidden/>
          </w:rPr>
        </w:r>
        <w:r w:rsidR="00162534">
          <w:rPr>
            <w:webHidden/>
          </w:rPr>
          <w:fldChar w:fldCharType="separate"/>
        </w:r>
        <w:r w:rsidR="005D4215">
          <w:rPr>
            <w:webHidden/>
          </w:rPr>
          <w:t>22</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08" w:history="1">
        <w:r w:rsidR="008B0247" w:rsidRPr="00CF2FE5">
          <w:rPr>
            <w:rStyle w:val="Hyperlink"/>
          </w:rPr>
          <w:t>Figure 13: Sectoral contribution to employment, Loddon Mallee South, 2011</w:t>
        </w:r>
        <w:r w:rsidR="008B0247">
          <w:rPr>
            <w:webHidden/>
          </w:rPr>
          <w:tab/>
        </w:r>
        <w:r w:rsidR="00162534">
          <w:rPr>
            <w:webHidden/>
          </w:rPr>
          <w:fldChar w:fldCharType="begin"/>
        </w:r>
        <w:r w:rsidR="008B0247">
          <w:rPr>
            <w:webHidden/>
          </w:rPr>
          <w:instrText xml:space="preserve"> PAGEREF _Toc374530808 \h </w:instrText>
        </w:r>
        <w:r w:rsidR="00162534">
          <w:rPr>
            <w:webHidden/>
          </w:rPr>
        </w:r>
        <w:r w:rsidR="00162534">
          <w:rPr>
            <w:webHidden/>
          </w:rPr>
          <w:fldChar w:fldCharType="separate"/>
        </w:r>
        <w:r w:rsidR="005D4215">
          <w:rPr>
            <w:webHidden/>
          </w:rPr>
          <w:t>25</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09" w:history="1">
        <w:r w:rsidR="008B0247" w:rsidRPr="00CF2FE5">
          <w:rPr>
            <w:rStyle w:val="Hyperlink"/>
          </w:rPr>
          <w:t>Figure 14: Exports, 2011 and annual average growth rate from 2001–2011</w:t>
        </w:r>
        <w:r w:rsidR="008B0247">
          <w:rPr>
            <w:webHidden/>
          </w:rPr>
          <w:tab/>
        </w:r>
        <w:r w:rsidR="00162534">
          <w:rPr>
            <w:webHidden/>
          </w:rPr>
          <w:fldChar w:fldCharType="begin"/>
        </w:r>
        <w:r w:rsidR="008B0247">
          <w:rPr>
            <w:webHidden/>
          </w:rPr>
          <w:instrText xml:space="preserve"> PAGEREF _Toc374530809 \h </w:instrText>
        </w:r>
        <w:r w:rsidR="00162534">
          <w:rPr>
            <w:webHidden/>
          </w:rPr>
        </w:r>
        <w:r w:rsidR="00162534">
          <w:rPr>
            <w:webHidden/>
          </w:rPr>
          <w:fldChar w:fldCharType="separate"/>
        </w:r>
        <w:r w:rsidR="005D4215">
          <w:rPr>
            <w:webHidden/>
          </w:rPr>
          <w:t>26</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10" w:history="1">
        <w:r w:rsidR="008B0247" w:rsidRPr="00CF2FE5">
          <w:rPr>
            <w:rStyle w:val="Hyperlink"/>
          </w:rPr>
          <w:t>Figure 15: Local Government Area exports, 2011 and annual average growth rate, 2001–2011</w:t>
        </w:r>
        <w:r w:rsidR="008B0247">
          <w:rPr>
            <w:webHidden/>
          </w:rPr>
          <w:tab/>
        </w:r>
        <w:r w:rsidR="00162534">
          <w:rPr>
            <w:webHidden/>
          </w:rPr>
          <w:fldChar w:fldCharType="begin"/>
        </w:r>
        <w:r w:rsidR="008B0247">
          <w:rPr>
            <w:webHidden/>
          </w:rPr>
          <w:instrText xml:space="preserve"> PAGEREF _Toc374530810 \h </w:instrText>
        </w:r>
        <w:r w:rsidR="00162534">
          <w:rPr>
            <w:webHidden/>
          </w:rPr>
        </w:r>
        <w:r w:rsidR="00162534">
          <w:rPr>
            <w:webHidden/>
          </w:rPr>
          <w:fldChar w:fldCharType="separate"/>
        </w:r>
        <w:r w:rsidR="005D4215">
          <w:rPr>
            <w:webHidden/>
          </w:rPr>
          <w:t>27</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11" w:history="1">
        <w:r w:rsidR="008B0247" w:rsidRPr="00CF2FE5">
          <w:rPr>
            <w:rStyle w:val="Hyperlink"/>
          </w:rPr>
          <w:t>Figure 16: Map of employment change, Loddon Mallee South local government areas, 2001–2011</w:t>
        </w:r>
        <w:r w:rsidR="008B0247">
          <w:rPr>
            <w:webHidden/>
          </w:rPr>
          <w:tab/>
        </w:r>
        <w:r w:rsidR="00162534">
          <w:rPr>
            <w:webHidden/>
          </w:rPr>
          <w:fldChar w:fldCharType="begin"/>
        </w:r>
        <w:r w:rsidR="008B0247">
          <w:rPr>
            <w:webHidden/>
          </w:rPr>
          <w:instrText xml:space="preserve"> PAGEREF _Toc374530811 \h </w:instrText>
        </w:r>
        <w:r w:rsidR="00162534">
          <w:rPr>
            <w:webHidden/>
          </w:rPr>
        </w:r>
        <w:r w:rsidR="00162534">
          <w:rPr>
            <w:webHidden/>
          </w:rPr>
          <w:fldChar w:fldCharType="separate"/>
        </w:r>
        <w:r w:rsidR="005D4215">
          <w:rPr>
            <w:webHidden/>
          </w:rPr>
          <w:t>28</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12" w:history="1">
        <w:r w:rsidR="008B0247" w:rsidRPr="00CF2FE5">
          <w:rPr>
            <w:rStyle w:val="Hyperlink"/>
          </w:rPr>
          <w:t>Figure 17: Major regional employment sectors</w:t>
        </w:r>
        <w:r w:rsidR="008B0247">
          <w:rPr>
            <w:webHidden/>
          </w:rPr>
          <w:tab/>
        </w:r>
        <w:r w:rsidR="00162534">
          <w:rPr>
            <w:webHidden/>
          </w:rPr>
          <w:fldChar w:fldCharType="begin"/>
        </w:r>
        <w:r w:rsidR="008B0247">
          <w:rPr>
            <w:webHidden/>
          </w:rPr>
          <w:instrText xml:space="preserve"> PAGEREF _Toc374530812 \h </w:instrText>
        </w:r>
        <w:r w:rsidR="00162534">
          <w:rPr>
            <w:webHidden/>
          </w:rPr>
        </w:r>
        <w:r w:rsidR="00162534">
          <w:rPr>
            <w:webHidden/>
          </w:rPr>
          <w:fldChar w:fldCharType="separate"/>
        </w:r>
        <w:r w:rsidR="005D4215">
          <w:rPr>
            <w:webHidden/>
          </w:rPr>
          <w:t>28</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13" w:history="1">
        <w:r w:rsidR="008B0247" w:rsidRPr="00CF2FE5">
          <w:rPr>
            <w:rStyle w:val="Hyperlink"/>
          </w:rPr>
          <w:t>Figure 18: Loddon Mallee South unemployment rate, September Quarter 2012</w:t>
        </w:r>
        <w:r w:rsidR="008B0247">
          <w:rPr>
            <w:webHidden/>
          </w:rPr>
          <w:tab/>
        </w:r>
        <w:r w:rsidR="00162534">
          <w:rPr>
            <w:webHidden/>
          </w:rPr>
          <w:fldChar w:fldCharType="begin"/>
        </w:r>
        <w:r w:rsidR="008B0247">
          <w:rPr>
            <w:webHidden/>
          </w:rPr>
          <w:instrText xml:space="preserve"> PAGEREF _Toc374530813 \h </w:instrText>
        </w:r>
        <w:r w:rsidR="00162534">
          <w:rPr>
            <w:webHidden/>
          </w:rPr>
        </w:r>
        <w:r w:rsidR="00162534">
          <w:rPr>
            <w:webHidden/>
          </w:rPr>
          <w:fldChar w:fldCharType="separate"/>
        </w:r>
        <w:r w:rsidR="005D4215">
          <w:rPr>
            <w:webHidden/>
          </w:rPr>
          <w:t>29</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14" w:history="1">
        <w:r w:rsidR="008B0247" w:rsidRPr="00CF2FE5">
          <w:rPr>
            <w:rStyle w:val="Hyperlink"/>
          </w:rPr>
          <w:t>Figure 19: Selection of major businesses and enterprises in Loddon Mallee South</w:t>
        </w:r>
        <w:r w:rsidR="008B0247">
          <w:rPr>
            <w:webHidden/>
          </w:rPr>
          <w:tab/>
        </w:r>
        <w:r w:rsidR="00162534">
          <w:rPr>
            <w:webHidden/>
          </w:rPr>
          <w:fldChar w:fldCharType="begin"/>
        </w:r>
        <w:r w:rsidR="008B0247">
          <w:rPr>
            <w:webHidden/>
          </w:rPr>
          <w:instrText xml:space="preserve"> PAGEREF _Toc374530814 \h </w:instrText>
        </w:r>
        <w:r w:rsidR="00162534">
          <w:rPr>
            <w:webHidden/>
          </w:rPr>
        </w:r>
        <w:r w:rsidR="00162534">
          <w:rPr>
            <w:webHidden/>
          </w:rPr>
          <w:fldChar w:fldCharType="separate"/>
        </w:r>
        <w:r w:rsidR="005D4215">
          <w:rPr>
            <w:webHidden/>
          </w:rPr>
          <w:t>31</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15" w:history="1">
        <w:r w:rsidR="008B0247" w:rsidRPr="00CF2FE5">
          <w:rPr>
            <w:rStyle w:val="Hyperlink"/>
          </w:rPr>
          <w:t>Figure 20: Extractive industries and primary production</w:t>
        </w:r>
        <w:r w:rsidR="008B0247">
          <w:rPr>
            <w:webHidden/>
          </w:rPr>
          <w:tab/>
        </w:r>
        <w:r w:rsidR="00162534">
          <w:rPr>
            <w:webHidden/>
          </w:rPr>
          <w:fldChar w:fldCharType="begin"/>
        </w:r>
        <w:r w:rsidR="008B0247">
          <w:rPr>
            <w:webHidden/>
          </w:rPr>
          <w:instrText xml:space="preserve"> PAGEREF _Toc374530815 \h </w:instrText>
        </w:r>
        <w:r w:rsidR="00162534">
          <w:rPr>
            <w:webHidden/>
          </w:rPr>
        </w:r>
        <w:r w:rsidR="00162534">
          <w:rPr>
            <w:webHidden/>
          </w:rPr>
          <w:fldChar w:fldCharType="separate"/>
        </w:r>
        <w:r w:rsidR="005D4215">
          <w:rPr>
            <w:webHidden/>
          </w:rPr>
          <w:t>33</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16" w:history="1">
        <w:r w:rsidR="008B0247" w:rsidRPr="00CF2FE5">
          <w:rPr>
            <w:rStyle w:val="Hyperlink"/>
          </w:rPr>
          <w:t>Figure 21: Mining and extractive industries, tenements and licences</w:t>
        </w:r>
        <w:r w:rsidR="008B0247">
          <w:rPr>
            <w:webHidden/>
          </w:rPr>
          <w:tab/>
        </w:r>
        <w:r w:rsidR="00162534">
          <w:rPr>
            <w:webHidden/>
          </w:rPr>
          <w:fldChar w:fldCharType="begin"/>
        </w:r>
        <w:r w:rsidR="008B0247">
          <w:rPr>
            <w:webHidden/>
          </w:rPr>
          <w:instrText xml:space="preserve"> PAGEREF _Toc374530816 \h </w:instrText>
        </w:r>
        <w:r w:rsidR="00162534">
          <w:rPr>
            <w:webHidden/>
          </w:rPr>
        </w:r>
        <w:r w:rsidR="00162534">
          <w:rPr>
            <w:webHidden/>
          </w:rPr>
          <w:fldChar w:fldCharType="separate"/>
        </w:r>
        <w:r w:rsidR="005D4215">
          <w:rPr>
            <w:webHidden/>
          </w:rPr>
          <w:t>36</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17" w:history="1">
        <w:r w:rsidR="008B0247" w:rsidRPr="00CF2FE5">
          <w:rPr>
            <w:rStyle w:val="Hyperlink"/>
          </w:rPr>
          <w:t>Figure 22: Cultural heritage</w:t>
        </w:r>
        <w:r w:rsidR="008B0247">
          <w:rPr>
            <w:webHidden/>
          </w:rPr>
          <w:tab/>
        </w:r>
        <w:r w:rsidR="00162534">
          <w:rPr>
            <w:webHidden/>
          </w:rPr>
          <w:fldChar w:fldCharType="begin"/>
        </w:r>
        <w:r w:rsidR="008B0247">
          <w:rPr>
            <w:webHidden/>
          </w:rPr>
          <w:instrText xml:space="preserve"> PAGEREF _Toc374530817 \h </w:instrText>
        </w:r>
        <w:r w:rsidR="00162534">
          <w:rPr>
            <w:webHidden/>
          </w:rPr>
        </w:r>
        <w:r w:rsidR="00162534">
          <w:rPr>
            <w:webHidden/>
          </w:rPr>
          <w:fldChar w:fldCharType="separate"/>
        </w:r>
        <w:r w:rsidR="005D4215">
          <w:rPr>
            <w:webHidden/>
          </w:rPr>
          <w:t>43</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18" w:history="1">
        <w:r w:rsidR="008B0247" w:rsidRPr="00CF2FE5">
          <w:rPr>
            <w:rStyle w:val="Hyperlink"/>
          </w:rPr>
          <w:t>Figure 23: Terrestrial habitat assets of the region, reflected through native vegetation.</w:t>
        </w:r>
        <w:r w:rsidR="008B0247">
          <w:rPr>
            <w:webHidden/>
          </w:rPr>
          <w:tab/>
        </w:r>
        <w:r w:rsidR="00162534">
          <w:rPr>
            <w:webHidden/>
          </w:rPr>
          <w:fldChar w:fldCharType="begin"/>
        </w:r>
        <w:r w:rsidR="008B0247">
          <w:rPr>
            <w:webHidden/>
          </w:rPr>
          <w:instrText xml:space="preserve"> PAGEREF _Toc374530818 \h </w:instrText>
        </w:r>
        <w:r w:rsidR="00162534">
          <w:rPr>
            <w:webHidden/>
          </w:rPr>
        </w:r>
        <w:r w:rsidR="00162534">
          <w:rPr>
            <w:webHidden/>
          </w:rPr>
          <w:fldChar w:fldCharType="separate"/>
        </w:r>
        <w:r w:rsidR="005D4215">
          <w:rPr>
            <w:webHidden/>
          </w:rPr>
          <w:t>45</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19" w:history="1">
        <w:r w:rsidR="008B0247" w:rsidRPr="00CF2FE5">
          <w:rPr>
            <w:rStyle w:val="Hyperlink"/>
          </w:rPr>
          <w:t>Figure 24: Significant waterways of the region</w:t>
        </w:r>
        <w:r w:rsidR="008B0247">
          <w:rPr>
            <w:webHidden/>
          </w:rPr>
          <w:tab/>
        </w:r>
        <w:r w:rsidR="00162534">
          <w:rPr>
            <w:webHidden/>
          </w:rPr>
          <w:fldChar w:fldCharType="begin"/>
        </w:r>
        <w:r w:rsidR="008B0247">
          <w:rPr>
            <w:webHidden/>
          </w:rPr>
          <w:instrText xml:space="preserve"> PAGEREF _Toc374530819 \h </w:instrText>
        </w:r>
        <w:r w:rsidR="00162534">
          <w:rPr>
            <w:webHidden/>
          </w:rPr>
        </w:r>
        <w:r w:rsidR="00162534">
          <w:rPr>
            <w:webHidden/>
          </w:rPr>
          <w:fldChar w:fldCharType="separate"/>
        </w:r>
        <w:r w:rsidR="005D4215">
          <w:rPr>
            <w:webHidden/>
          </w:rPr>
          <w:t>47</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20" w:history="1">
        <w:r w:rsidR="008B0247" w:rsidRPr="00CF2FE5">
          <w:rPr>
            <w:rStyle w:val="Hyperlink"/>
          </w:rPr>
          <w:t>Figure 25: Declared water supply catchments (open potable water supply catchments) in the Loddon Mallee South region</w:t>
        </w:r>
        <w:r w:rsidR="008B0247">
          <w:rPr>
            <w:webHidden/>
          </w:rPr>
          <w:tab/>
        </w:r>
        <w:r w:rsidR="00162534">
          <w:rPr>
            <w:webHidden/>
          </w:rPr>
          <w:fldChar w:fldCharType="begin"/>
        </w:r>
        <w:r w:rsidR="008B0247">
          <w:rPr>
            <w:webHidden/>
          </w:rPr>
          <w:instrText xml:space="preserve"> PAGEREF _Toc374530820 \h </w:instrText>
        </w:r>
        <w:r w:rsidR="00162534">
          <w:rPr>
            <w:webHidden/>
          </w:rPr>
        </w:r>
        <w:r w:rsidR="00162534">
          <w:rPr>
            <w:webHidden/>
          </w:rPr>
          <w:fldChar w:fldCharType="separate"/>
        </w:r>
        <w:r w:rsidR="005D4215">
          <w:rPr>
            <w:webHidden/>
          </w:rPr>
          <w:t>48</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21" w:history="1">
        <w:r w:rsidR="008B0247" w:rsidRPr="00CF2FE5">
          <w:rPr>
            <w:rStyle w:val="Hyperlink"/>
          </w:rPr>
          <w:t>Figure 26: Soil landscapes and land use defined by the North Central CMA</w:t>
        </w:r>
        <w:r w:rsidR="008B0247">
          <w:rPr>
            <w:webHidden/>
          </w:rPr>
          <w:tab/>
        </w:r>
        <w:r w:rsidR="00162534">
          <w:rPr>
            <w:webHidden/>
          </w:rPr>
          <w:fldChar w:fldCharType="begin"/>
        </w:r>
        <w:r w:rsidR="008B0247">
          <w:rPr>
            <w:webHidden/>
          </w:rPr>
          <w:instrText xml:space="preserve"> PAGEREF _Toc374530821 \h </w:instrText>
        </w:r>
        <w:r w:rsidR="00162534">
          <w:rPr>
            <w:webHidden/>
          </w:rPr>
        </w:r>
        <w:r w:rsidR="00162534">
          <w:rPr>
            <w:webHidden/>
          </w:rPr>
          <w:fldChar w:fldCharType="separate"/>
        </w:r>
        <w:r w:rsidR="005D4215">
          <w:rPr>
            <w:webHidden/>
          </w:rPr>
          <w:t>49</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22" w:history="1">
        <w:r w:rsidR="008B0247" w:rsidRPr="00CF2FE5">
          <w:rPr>
            <w:rStyle w:val="Hyperlink"/>
          </w:rPr>
          <w:t>Figure 27: Public land in the Loddon Mallee South region</w:t>
        </w:r>
        <w:r w:rsidR="008B0247">
          <w:rPr>
            <w:webHidden/>
          </w:rPr>
          <w:tab/>
        </w:r>
        <w:r w:rsidR="00162534">
          <w:rPr>
            <w:webHidden/>
          </w:rPr>
          <w:fldChar w:fldCharType="begin"/>
        </w:r>
        <w:r w:rsidR="008B0247">
          <w:rPr>
            <w:webHidden/>
          </w:rPr>
          <w:instrText xml:space="preserve"> PAGEREF _Toc374530822 \h </w:instrText>
        </w:r>
        <w:r w:rsidR="00162534">
          <w:rPr>
            <w:webHidden/>
          </w:rPr>
        </w:r>
        <w:r w:rsidR="00162534">
          <w:rPr>
            <w:webHidden/>
          </w:rPr>
          <w:fldChar w:fldCharType="separate"/>
        </w:r>
        <w:r w:rsidR="005D4215">
          <w:rPr>
            <w:webHidden/>
          </w:rPr>
          <w:t>50</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23" w:history="1">
        <w:r w:rsidR="008B0247" w:rsidRPr="00CF2FE5">
          <w:rPr>
            <w:rStyle w:val="Hyperlink"/>
          </w:rPr>
          <w:t>Figure 28: Flood overlays in the Loddon Mallee South region</w:t>
        </w:r>
        <w:r w:rsidR="008B0247">
          <w:rPr>
            <w:webHidden/>
          </w:rPr>
          <w:tab/>
        </w:r>
        <w:r w:rsidR="00162534">
          <w:rPr>
            <w:webHidden/>
          </w:rPr>
          <w:fldChar w:fldCharType="begin"/>
        </w:r>
        <w:r w:rsidR="008B0247">
          <w:rPr>
            <w:webHidden/>
          </w:rPr>
          <w:instrText xml:space="preserve"> PAGEREF _Toc374530823 \h </w:instrText>
        </w:r>
        <w:r w:rsidR="00162534">
          <w:rPr>
            <w:webHidden/>
          </w:rPr>
        </w:r>
        <w:r w:rsidR="00162534">
          <w:rPr>
            <w:webHidden/>
          </w:rPr>
          <w:fldChar w:fldCharType="separate"/>
        </w:r>
        <w:r w:rsidR="005D4215">
          <w:rPr>
            <w:webHidden/>
          </w:rPr>
          <w:t>51</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24" w:history="1">
        <w:r w:rsidR="008B0247" w:rsidRPr="00CF2FE5">
          <w:rPr>
            <w:rStyle w:val="Hyperlink"/>
          </w:rPr>
          <w:t>Figure 29: Bushfire Management Overlays for the Loddon Mallee South region</w:t>
        </w:r>
        <w:r w:rsidR="008B0247">
          <w:rPr>
            <w:webHidden/>
          </w:rPr>
          <w:tab/>
        </w:r>
        <w:r w:rsidR="00162534">
          <w:rPr>
            <w:webHidden/>
          </w:rPr>
          <w:fldChar w:fldCharType="begin"/>
        </w:r>
        <w:r w:rsidR="008B0247">
          <w:rPr>
            <w:webHidden/>
          </w:rPr>
          <w:instrText xml:space="preserve"> PAGEREF _Toc374530824 \h </w:instrText>
        </w:r>
        <w:r w:rsidR="00162534">
          <w:rPr>
            <w:webHidden/>
          </w:rPr>
        </w:r>
        <w:r w:rsidR="00162534">
          <w:rPr>
            <w:webHidden/>
          </w:rPr>
          <w:fldChar w:fldCharType="separate"/>
        </w:r>
        <w:r w:rsidR="005D4215">
          <w:rPr>
            <w:webHidden/>
          </w:rPr>
          <w:t>53</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25" w:history="1">
        <w:r w:rsidR="008B0247" w:rsidRPr="00CF2FE5">
          <w:rPr>
            <w:rStyle w:val="Hyperlink"/>
          </w:rPr>
          <w:t>Figure 30: Salinity Management Overlays for the Loddon Mallee South region</w:t>
        </w:r>
        <w:r w:rsidR="008B0247">
          <w:rPr>
            <w:webHidden/>
          </w:rPr>
          <w:tab/>
        </w:r>
        <w:r w:rsidR="00162534">
          <w:rPr>
            <w:webHidden/>
          </w:rPr>
          <w:fldChar w:fldCharType="begin"/>
        </w:r>
        <w:r w:rsidR="008B0247">
          <w:rPr>
            <w:webHidden/>
          </w:rPr>
          <w:instrText xml:space="preserve"> PAGEREF _Toc374530825 \h </w:instrText>
        </w:r>
        <w:r w:rsidR="00162534">
          <w:rPr>
            <w:webHidden/>
          </w:rPr>
        </w:r>
        <w:r w:rsidR="00162534">
          <w:rPr>
            <w:webHidden/>
          </w:rPr>
          <w:fldChar w:fldCharType="separate"/>
        </w:r>
        <w:r w:rsidR="005D4215">
          <w:rPr>
            <w:webHidden/>
          </w:rPr>
          <w:t>55</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26" w:history="1">
        <w:r w:rsidR="008B0247" w:rsidRPr="00CF2FE5">
          <w:rPr>
            <w:rStyle w:val="Hyperlink"/>
          </w:rPr>
          <w:t>Figure 31: Traffic count data points, Loddon Mallee South region</w:t>
        </w:r>
        <w:r w:rsidR="008B0247">
          <w:rPr>
            <w:webHidden/>
          </w:rPr>
          <w:tab/>
        </w:r>
        <w:r w:rsidR="00162534">
          <w:rPr>
            <w:webHidden/>
          </w:rPr>
          <w:fldChar w:fldCharType="begin"/>
        </w:r>
        <w:r w:rsidR="008B0247">
          <w:rPr>
            <w:webHidden/>
          </w:rPr>
          <w:instrText xml:space="preserve"> PAGEREF _Toc374530826 \h </w:instrText>
        </w:r>
        <w:r w:rsidR="00162534">
          <w:rPr>
            <w:webHidden/>
          </w:rPr>
        </w:r>
        <w:r w:rsidR="00162534">
          <w:rPr>
            <w:webHidden/>
          </w:rPr>
          <w:fldChar w:fldCharType="separate"/>
        </w:r>
        <w:r w:rsidR="005D4215">
          <w:rPr>
            <w:webHidden/>
          </w:rPr>
          <w:t>60</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27" w:history="1">
        <w:r w:rsidR="008B0247" w:rsidRPr="00CF2FE5">
          <w:rPr>
            <w:rStyle w:val="Hyperlink"/>
          </w:rPr>
          <w:t>Figure 32: Compound growth rates, two-way, 2006 to 2010, Loddon Mallee South region</w:t>
        </w:r>
        <w:r w:rsidR="008B0247">
          <w:rPr>
            <w:webHidden/>
          </w:rPr>
          <w:tab/>
        </w:r>
        <w:r w:rsidR="00162534">
          <w:rPr>
            <w:webHidden/>
          </w:rPr>
          <w:fldChar w:fldCharType="begin"/>
        </w:r>
        <w:r w:rsidR="008B0247">
          <w:rPr>
            <w:webHidden/>
          </w:rPr>
          <w:instrText xml:space="preserve"> PAGEREF _Toc374530827 \h </w:instrText>
        </w:r>
        <w:r w:rsidR="00162534">
          <w:rPr>
            <w:webHidden/>
          </w:rPr>
        </w:r>
        <w:r w:rsidR="00162534">
          <w:rPr>
            <w:webHidden/>
          </w:rPr>
          <w:fldChar w:fldCharType="separate"/>
        </w:r>
        <w:r w:rsidR="005D4215">
          <w:rPr>
            <w:webHidden/>
          </w:rPr>
          <w:t>61</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28" w:history="1">
        <w:r w:rsidR="008B0247" w:rsidRPr="00CF2FE5">
          <w:rPr>
            <w:rStyle w:val="Hyperlink"/>
          </w:rPr>
          <w:t>Figure 33: Normal weekday rail patronage, estimate by station, Loddon Mallee South</w:t>
        </w:r>
        <w:r w:rsidR="008B0247">
          <w:rPr>
            <w:webHidden/>
          </w:rPr>
          <w:tab/>
        </w:r>
        <w:r w:rsidR="00162534">
          <w:rPr>
            <w:webHidden/>
          </w:rPr>
          <w:fldChar w:fldCharType="begin"/>
        </w:r>
        <w:r w:rsidR="008B0247">
          <w:rPr>
            <w:webHidden/>
          </w:rPr>
          <w:instrText xml:space="preserve"> PAGEREF _Toc374530828 \h </w:instrText>
        </w:r>
        <w:r w:rsidR="00162534">
          <w:rPr>
            <w:webHidden/>
          </w:rPr>
        </w:r>
        <w:r w:rsidR="00162534">
          <w:rPr>
            <w:webHidden/>
          </w:rPr>
          <w:fldChar w:fldCharType="separate"/>
        </w:r>
        <w:r w:rsidR="005D4215">
          <w:rPr>
            <w:webHidden/>
          </w:rPr>
          <w:t>62</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29" w:history="1">
        <w:r w:rsidR="008B0247" w:rsidRPr="00CF2FE5">
          <w:rPr>
            <w:rStyle w:val="Hyperlink"/>
          </w:rPr>
          <w:t>Figure 34: Total boardings at Maryborough Station from July 2010 to November 2011</w:t>
        </w:r>
        <w:r w:rsidR="008B0247">
          <w:rPr>
            <w:webHidden/>
          </w:rPr>
          <w:tab/>
        </w:r>
        <w:r w:rsidR="00162534">
          <w:rPr>
            <w:webHidden/>
          </w:rPr>
          <w:fldChar w:fldCharType="begin"/>
        </w:r>
        <w:r w:rsidR="008B0247">
          <w:rPr>
            <w:webHidden/>
          </w:rPr>
          <w:instrText xml:space="preserve"> PAGEREF _Toc374530829 \h </w:instrText>
        </w:r>
        <w:r w:rsidR="00162534">
          <w:rPr>
            <w:webHidden/>
          </w:rPr>
        </w:r>
        <w:r w:rsidR="00162534">
          <w:rPr>
            <w:webHidden/>
          </w:rPr>
          <w:fldChar w:fldCharType="separate"/>
        </w:r>
        <w:r w:rsidR="005D4215">
          <w:rPr>
            <w:webHidden/>
          </w:rPr>
          <w:t>62</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30" w:history="1">
        <w:r w:rsidR="008B0247" w:rsidRPr="00CF2FE5">
          <w:rPr>
            <w:rStyle w:val="Hyperlink"/>
          </w:rPr>
          <w:t>Figure 35: Journey to work within local government area boundaries, Loddon Mallee South, 2006</w:t>
        </w:r>
        <w:r w:rsidR="008B0247">
          <w:rPr>
            <w:webHidden/>
          </w:rPr>
          <w:tab/>
        </w:r>
        <w:r w:rsidR="00162534">
          <w:rPr>
            <w:webHidden/>
          </w:rPr>
          <w:fldChar w:fldCharType="begin"/>
        </w:r>
        <w:r w:rsidR="008B0247">
          <w:rPr>
            <w:webHidden/>
          </w:rPr>
          <w:instrText xml:space="preserve"> PAGEREF _Toc374530830 \h </w:instrText>
        </w:r>
        <w:r w:rsidR="00162534">
          <w:rPr>
            <w:webHidden/>
          </w:rPr>
        </w:r>
        <w:r w:rsidR="00162534">
          <w:rPr>
            <w:webHidden/>
          </w:rPr>
          <w:fldChar w:fldCharType="separate"/>
        </w:r>
        <w:r w:rsidR="005D4215">
          <w:rPr>
            <w:webHidden/>
          </w:rPr>
          <w:t>63</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31" w:history="1">
        <w:r w:rsidR="008B0247" w:rsidRPr="00CF2FE5">
          <w:rPr>
            <w:rStyle w:val="Hyperlink"/>
          </w:rPr>
          <w:t>Figure 36: Loddon Mallee South public transport routes</w:t>
        </w:r>
        <w:r w:rsidR="008B0247">
          <w:rPr>
            <w:webHidden/>
          </w:rPr>
          <w:tab/>
        </w:r>
        <w:r w:rsidR="00162534">
          <w:rPr>
            <w:webHidden/>
          </w:rPr>
          <w:fldChar w:fldCharType="begin"/>
        </w:r>
        <w:r w:rsidR="008B0247">
          <w:rPr>
            <w:webHidden/>
          </w:rPr>
          <w:instrText xml:space="preserve"> PAGEREF _Toc374530831 \h </w:instrText>
        </w:r>
        <w:r w:rsidR="00162534">
          <w:rPr>
            <w:webHidden/>
          </w:rPr>
        </w:r>
        <w:r w:rsidR="00162534">
          <w:rPr>
            <w:webHidden/>
          </w:rPr>
          <w:fldChar w:fldCharType="separate"/>
        </w:r>
        <w:r w:rsidR="005D4215">
          <w:rPr>
            <w:webHidden/>
          </w:rPr>
          <w:t>64</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32" w:history="1">
        <w:r w:rsidR="008B0247" w:rsidRPr="00CF2FE5">
          <w:rPr>
            <w:rStyle w:val="Hyperlink"/>
          </w:rPr>
          <w:t>Figure 37: Central Victoria’s transport network</w:t>
        </w:r>
        <w:r w:rsidR="008B0247">
          <w:rPr>
            <w:webHidden/>
          </w:rPr>
          <w:tab/>
        </w:r>
        <w:r w:rsidR="00162534">
          <w:rPr>
            <w:webHidden/>
          </w:rPr>
          <w:fldChar w:fldCharType="begin"/>
        </w:r>
        <w:r w:rsidR="008B0247">
          <w:rPr>
            <w:webHidden/>
          </w:rPr>
          <w:instrText xml:space="preserve"> PAGEREF _Toc374530832 \h </w:instrText>
        </w:r>
        <w:r w:rsidR="00162534">
          <w:rPr>
            <w:webHidden/>
          </w:rPr>
        </w:r>
        <w:r w:rsidR="00162534">
          <w:rPr>
            <w:webHidden/>
          </w:rPr>
          <w:fldChar w:fldCharType="separate"/>
        </w:r>
        <w:r w:rsidR="005D4215">
          <w:rPr>
            <w:webHidden/>
          </w:rPr>
          <w:t>65</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33" w:history="1">
        <w:r w:rsidR="008B0247" w:rsidRPr="00CF2FE5">
          <w:rPr>
            <w:rStyle w:val="Hyperlink"/>
          </w:rPr>
          <w:t>Figure 38: Summary of water supply demand strategy outlooks for the Loddon Mallee South region</w:t>
        </w:r>
        <w:r w:rsidR="008B0247">
          <w:rPr>
            <w:webHidden/>
          </w:rPr>
          <w:tab/>
        </w:r>
        <w:r w:rsidR="00162534">
          <w:rPr>
            <w:webHidden/>
          </w:rPr>
          <w:fldChar w:fldCharType="begin"/>
        </w:r>
        <w:r w:rsidR="008B0247">
          <w:rPr>
            <w:webHidden/>
          </w:rPr>
          <w:instrText xml:space="preserve"> PAGEREF _Toc374530833 \h </w:instrText>
        </w:r>
        <w:r w:rsidR="00162534">
          <w:rPr>
            <w:webHidden/>
          </w:rPr>
        </w:r>
        <w:r w:rsidR="00162534">
          <w:rPr>
            <w:webHidden/>
          </w:rPr>
          <w:fldChar w:fldCharType="separate"/>
        </w:r>
        <w:r w:rsidR="005D4215">
          <w:rPr>
            <w:webHidden/>
          </w:rPr>
          <w:t>69</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34" w:history="1">
        <w:r w:rsidR="008B0247" w:rsidRPr="00CF2FE5">
          <w:rPr>
            <w:rStyle w:val="Hyperlink"/>
          </w:rPr>
          <w:t>Figure 39: Major water supply and wastewater projects in the Loddon Mallee South region</w:t>
        </w:r>
        <w:r w:rsidR="008B0247">
          <w:rPr>
            <w:webHidden/>
          </w:rPr>
          <w:tab/>
        </w:r>
        <w:r w:rsidR="00162534">
          <w:rPr>
            <w:webHidden/>
          </w:rPr>
          <w:fldChar w:fldCharType="begin"/>
        </w:r>
        <w:r w:rsidR="008B0247">
          <w:rPr>
            <w:webHidden/>
          </w:rPr>
          <w:instrText xml:space="preserve"> PAGEREF _Toc374530834 \h </w:instrText>
        </w:r>
        <w:r w:rsidR="00162534">
          <w:rPr>
            <w:webHidden/>
          </w:rPr>
        </w:r>
        <w:r w:rsidR="00162534">
          <w:rPr>
            <w:webHidden/>
          </w:rPr>
          <w:fldChar w:fldCharType="separate"/>
        </w:r>
        <w:r w:rsidR="005D4215">
          <w:rPr>
            <w:webHidden/>
          </w:rPr>
          <w:t>70</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35" w:history="1">
        <w:r w:rsidR="008B0247" w:rsidRPr="00CF2FE5">
          <w:rPr>
            <w:rStyle w:val="Hyperlink"/>
          </w:rPr>
          <w:t>Figure 40: NBN Loddon coverage</w:t>
        </w:r>
        <w:r w:rsidR="008B0247">
          <w:rPr>
            <w:webHidden/>
          </w:rPr>
          <w:tab/>
        </w:r>
        <w:r w:rsidR="00162534">
          <w:rPr>
            <w:webHidden/>
          </w:rPr>
          <w:fldChar w:fldCharType="begin"/>
        </w:r>
        <w:r w:rsidR="008B0247">
          <w:rPr>
            <w:webHidden/>
          </w:rPr>
          <w:instrText xml:space="preserve"> PAGEREF _Toc374530835 \h </w:instrText>
        </w:r>
        <w:r w:rsidR="00162534">
          <w:rPr>
            <w:webHidden/>
          </w:rPr>
        </w:r>
        <w:r w:rsidR="00162534">
          <w:rPr>
            <w:webHidden/>
          </w:rPr>
          <w:fldChar w:fldCharType="separate"/>
        </w:r>
        <w:r w:rsidR="005D4215">
          <w:rPr>
            <w:webHidden/>
          </w:rPr>
          <w:t>74</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36" w:history="1">
        <w:r w:rsidR="008B0247" w:rsidRPr="00CF2FE5">
          <w:rPr>
            <w:rStyle w:val="Hyperlink"/>
          </w:rPr>
          <w:t>Figure 41: Loddon Mallee South utilities</w:t>
        </w:r>
        <w:r w:rsidR="008B0247">
          <w:rPr>
            <w:webHidden/>
          </w:rPr>
          <w:tab/>
        </w:r>
        <w:r w:rsidR="00162534">
          <w:rPr>
            <w:webHidden/>
          </w:rPr>
          <w:fldChar w:fldCharType="begin"/>
        </w:r>
        <w:r w:rsidR="008B0247">
          <w:rPr>
            <w:webHidden/>
          </w:rPr>
          <w:instrText xml:space="preserve"> PAGEREF _Toc374530836 \h </w:instrText>
        </w:r>
        <w:r w:rsidR="00162534">
          <w:rPr>
            <w:webHidden/>
          </w:rPr>
        </w:r>
        <w:r w:rsidR="00162534">
          <w:rPr>
            <w:webHidden/>
          </w:rPr>
          <w:fldChar w:fldCharType="separate"/>
        </w:r>
        <w:r w:rsidR="005D4215">
          <w:rPr>
            <w:webHidden/>
          </w:rPr>
          <w:t>75</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37" w:history="1">
        <w:r w:rsidR="008B0247" w:rsidRPr="00CF2FE5">
          <w:rPr>
            <w:rStyle w:val="Hyperlink"/>
          </w:rPr>
          <w:t>Figure 42: Loddon Mallee South planning considerations</w:t>
        </w:r>
        <w:r w:rsidR="008B0247">
          <w:rPr>
            <w:webHidden/>
          </w:rPr>
          <w:tab/>
        </w:r>
        <w:r w:rsidR="00162534">
          <w:rPr>
            <w:webHidden/>
          </w:rPr>
          <w:fldChar w:fldCharType="begin"/>
        </w:r>
        <w:r w:rsidR="008B0247">
          <w:rPr>
            <w:webHidden/>
          </w:rPr>
          <w:instrText xml:space="preserve"> PAGEREF _Toc374530837 \h </w:instrText>
        </w:r>
        <w:r w:rsidR="00162534">
          <w:rPr>
            <w:webHidden/>
          </w:rPr>
        </w:r>
        <w:r w:rsidR="00162534">
          <w:rPr>
            <w:webHidden/>
          </w:rPr>
          <w:fldChar w:fldCharType="separate"/>
        </w:r>
        <w:r w:rsidR="005D4215">
          <w:rPr>
            <w:webHidden/>
          </w:rPr>
          <w:t>78</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38" w:history="1">
        <w:r w:rsidR="008B0247" w:rsidRPr="00CF2FE5">
          <w:rPr>
            <w:rStyle w:val="Hyperlink"/>
          </w:rPr>
          <w:t>Figure 43: Planned population growth and potential population, nominated growth settlements</w:t>
        </w:r>
        <w:r w:rsidR="008B0247">
          <w:rPr>
            <w:webHidden/>
          </w:rPr>
          <w:tab/>
        </w:r>
        <w:r w:rsidR="00162534">
          <w:rPr>
            <w:webHidden/>
          </w:rPr>
          <w:fldChar w:fldCharType="begin"/>
        </w:r>
        <w:r w:rsidR="008B0247">
          <w:rPr>
            <w:webHidden/>
          </w:rPr>
          <w:instrText xml:space="preserve"> PAGEREF _Toc374530838 \h </w:instrText>
        </w:r>
        <w:r w:rsidR="00162534">
          <w:rPr>
            <w:webHidden/>
          </w:rPr>
        </w:r>
        <w:r w:rsidR="00162534">
          <w:rPr>
            <w:webHidden/>
          </w:rPr>
          <w:fldChar w:fldCharType="separate"/>
        </w:r>
        <w:r w:rsidR="005D4215">
          <w:rPr>
            <w:webHidden/>
          </w:rPr>
          <w:t>80</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39" w:history="1">
        <w:r w:rsidR="008B0247" w:rsidRPr="00CF2FE5">
          <w:rPr>
            <w:rStyle w:val="Hyperlink"/>
          </w:rPr>
          <w:t>Figure 44: Examples of greenfields development</w:t>
        </w:r>
        <w:r w:rsidR="008B0247">
          <w:rPr>
            <w:webHidden/>
          </w:rPr>
          <w:tab/>
        </w:r>
        <w:r w:rsidR="00162534">
          <w:rPr>
            <w:webHidden/>
          </w:rPr>
          <w:fldChar w:fldCharType="begin"/>
        </w:r>
        <w:r w:rsidR="008B0247">
          <w:rPr>
            <w:webHidden/>
          </w:rPr>
          <w:instrText xml:space="preserve"> PAGEREF _Toc374530839 \h </w:instrText>
        </w:r>
        <w:r w:rsidR="00162534">
          <w:rPr>
            <w:webHidden/>
          </w:rPr>
        </w:r>
        <w:r w:rsidR="00162534">
          <w:rPr>
            <w:webHidden/>
          </w:rPr>
          <w:fldChar w:fldCharType="separate"/>
        </w:r>
        <w:r w:rsidR="005D4215">
          <w:rPr>
            <w:webHidden/>
          </w:rPr>
          <w:t>83</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40" w:history="1">
        <w:r w:rsidR="008B0247" w:rsidRPr="00CF2FE5">
          <w:rPr>
            <w:rStyle w:val="Hyperlink"/>
          </w:rPr>
          <w:t>Figure 45: Example of infill development</w:t>
        </w:r>
        <w:r w:rsidR="008B0247">
          <w:rPr>
            <w:webHidden/>
          </w:rPr>
          <w:tab/>
        </w:r>
        <w:r w:rsidR="00162534">
          <w:rPr>
            <w:webHidden/>
          </w:rPr>
          <w:fldChar w:fldCharType="begin"/>
        </w:r>
        <w:r w:rsidR="008B0247">
          <w:rPr>
            <w:webHidden/>
          </w:rPr>
          <w:instrText xml:space="preserve"> PAGEREF _Toc374530840 \h </w:instrText>
        </w:r>
        <w:r w:rsidR="00162534">
          <w:rPr>
            <w:webHidden/>
          </w:rPr>
        </w:r>
        <w:r w:rsidR="00162534">
          <w:rPr>
            <w:webHidden/>
          </w:rPr>
          <w:fldChar w:fldCharType="separate"/>
        </w:r>
        <w:r w:rsidR="005D4215">
          <w:rPr>
            <w:webHidden/>
          </w:rPr>
          <w:t>84</w:t>
        </w:r>
        <w:r w:rsidR="00162534">
          <w:rPr>
            <w:webHidden/>
          </w:rPr>
          <w:fldChar w:fldCharType="end"/>
        </w:r>
      </w:hyperlink>
    </w:p>
    <w:p w:rsidR="008B0247" w:rsidRDefault="00680EEE">
      <w:pPr>
        <w:pStyle w:val="TableofFigures"/>
        <w:rPr>
          <w:rFonts w:eastAsiaTheme="minorEastAsia" w:cstheme="minorBidi"/>
          <w:sz w:val="22"/>
          <w:szCs w:val="22"/>
        </w:rPr>
      </w:pPr>
      <w:hyperlink w:anchor="_Toc374530841" w:history="1">
        <w:r w:rsidR="008B0247" w:rsidRPr="00CF2FE5">
          <w:rPr>
            <w:rStyle w:val="Hyperlink"/>
          </w:rPr>
          <w:t>Figure 46: Examples of brownfield development</w:t>
        </w:r>
        <w:r w:rsidR="008B0247">
          <w:rPr>
            <w:webHidden/>
          </w:rPr>
          <w:tab/>
        </w:r>
        <w:r w:rsidR="00162534">
          <w:rPr>
            <w:webHidden/>
          </w:rPr>
          <w:fldChar w:fldCharType="begin"/>
        </w:r>
        <w:r w:rsidR="008B0247">
          <w:rPr>
            <w:webHidden/>
          </w:rPr>
          <w:instrText xml:space="preserve"> PAGEREF _Toc374530841 \h </w:instrText>
        </w:r>
        <w:r w:rsidR="00162534">
          <w:rPr>
            <w:webHidden/>
          </w:rPr>
        </w:r>
        <w:r w:rsidR="00162534">
          <w:rPr>
            <w:webHidden/>
          </w:rPr>
          <w:fldChar w:fldCharType="separate"/>
        </w:r>
        <w:r w:rsidR="005D4215">
          <w:rPr>
            <w:webHidden/>
          </w:rPr>
          <w:t>84</w:t>
        </w:r>
        <w:r w:rsidR="00162534">
          <w:rPr>
            <w:webHidden/>
          </w:rPr>
          <w:fldChar w:fldCharType="end"/>
        </w:r>
      </w:hyperlink>
    </w:p>
    <w:p w:rsidR="00E03BC4" w:rsidRPr="00B8090E" w:rsidRDefault="00162534" w:rsidP="000D766B">
      <w:pPr>
        <w:pStyle w:val="TableofFigures"/>
        <w:rPr>
          <w:sz w:val="24"/>
          <w:u w:val="single"/>
        </w:rPr>
        <w:sectPr w:rsidR="00E03BC4" w:rsidRPr="00B8090E" w:rsidSect="008B0247">
          <w:headerReference w:type="default" r:id="rId13"/>
          <w:pgSz w:w="11907" w:h="16839" w:code="9"/>
          <w:pgMar w:top="1156" w:right="992" w:bottom="1135" w:left="1080" w:header="426" w:footer="0" w:gutter="0"/>
          <w:pgNumType w:start="1"/>
          <w:cols w:space="708"/>
          <w:docGrid w:linePitch="360"/>
        </w:sectPr>
      </w:pPr>
      <w:r w:rsidRPr="00663F7F">
        <w:fldChar w:fldCharType="end"/>
      </w:r>
    </w:p>
    <w:p w:rsidR="00F664F9" w:rsidRPr="00663F7F" w:rsidRDefault="00F664F9" w:rsidP="00D34F87">
      <w:pPr>
        <w:pStyle w:val="Heading1"/>
        <w:tabs>
          <w:tab w:val="left" w:pos="8931"/>
        </w:tabs>
      </w:pPr>
      <w:bookmarkStart w:id="3" w:name="_Toc346027817"/>
      <w:bookmarkStart w:id="4" w:name="_Toc374530842"/>
      <w:r w:rsidRPr="00663F7F">
        <w:lastRenderedPageBreak/>
        <w:t>Introduction</w:t>
      </w:r>
      <w:bookmarkEnd w:id="3"/>
      <w:bookmarkEnd w:id="4"/>
      <w:r w:rsidRPr="00663F7F">
        <w:t xml:space="preserve"> </w:t>
      </w:r>
    </w:p>
    <w:p w:rsidR="004475D5" w:rsidRPr="00225D10" w:rsidRDefault="0067059B" w:rsidP="00D34F87">
      <w:pPr>
        <w:pStyle w:val="bt"/>
        <w:tabs>
          <w:tab w:val="left" w:pos="8931"/>
        </w:tabs>
      </w:pPr>
      <w:r w:rsidRPr="0017297A">
        <w:t xml:space="preserve">The Loddon Mallee South Regional Growth Plan </w:t>
      </w:r>
      <w:r w:rsidR="00DB4F64" w:rsidRPr="0017297A">
        <w:t xml:space="preserve">is one of eight regional growth plans being prepared across Victoria. It </w:t>
      </w:r>
      <w:r w:rsidRPr="0017297A">
        <w:t>provides a long-term regional approach to strategic land</w:t>
      </w:r>
      <w:r w:rsidR="00CB2E8E" w:rsidRPr="0017297A">
        <w:t xml:space="preserve"> </w:t>
      </w:r>
      <w:r w:rsidRPr="0017297A">
        <w:t xml:space="preserve">use planning across the </w:t>
      </w:r>
      <w:r w:rsidR="00CE4099" w:rsidRPr="0017297A">
        <w:t xml:space="preserve">Loddon Mallee South </w:t>
      </w:r>
      <w:r w:rsidRPr="0017297A">
        <w:t xml:space="preserve">region. </w:t>
      </w:r>
      <w:r w:rsidR="00CE4099" w:rsidRPr="0017297A">
        <w:t>Covering</w:t>
      </w:r>
      <w:r w:rsidR="00AB64E5" w:rsidRPr="0017297A">
        <w:t xml:space="preserve"> the municipalities of Greater Bendigo, Macedon Ranges, Mount Alexander</w:t>
      </w:r>
      <w:r w:rsidR="00CE4099" w:rsidRPr="0017297A">
        <w:t xml:space="preserve">, Central Goldfields and Loddon, the </w:t>
      </w:r>
      <w:r w:rsidR="00225A58">
        <w:t>p</w:t>
      </w:r>
      <w:r w:rsidR="005D4DE2" w:rsidRPr="0017297A">
        <w:t>lan</w:t>
      </w:r>
      <w:r w:rsidR="00CE4099" w:rsidRPr="0017297A">
        <w:t xml:space="preserve"> will provide a </w:t>
      </w:r>
      <w:r w:rsidR="00DB4F64" w:rsidRPr="0017297A">
        <w:t xml:space="preserve">high level </w:t>
      </w:r>
      <w:r w:rsidR="00CE4099" w:rsidRPr="0017297A">
        <w:t>framework to manage growth and change across the region to 2041.</w:t>
      </w:r>
      <w:r w:rsidR="006503B4" w:rsidRPr="0017297A">
        <w:t xml:space="preserve"> It will also provide </w:t>
      </w:r>
      <w:r w:rsidR="00DB4F64" w:rsidRPr="0017297A">
        <w:t>the means to implement the strategic land use and infrastructure directions that are set out</w:t>
      </w:r>
      <w:r w:rsidR="006503B4" w:rsidRPr="0017297A">
        <w:t xml:space="preserve"> in the </w:t>
      </w:r>
      <w:r w:rsidR="00E4702F" w:rsidRPr="0017297A">
        <w:t xml:space="preserve">Southern </w:t>
      </w:r>
      <w:r w:rsidR="006503B4" w:rsidRPr="0017297A">
        <w:t>Loddon Mallee Regional Strategic Plan 2010.</w:t>
      </w:r>
    </w:p>
    <w:p w:rsidR="00E51837" w:rsidRPr="00225D10" w:rsidRDefault="00E51837" w:rsidP="00D34F87">
      <w:pPr>
        <w:pStyle w:val="bt"/>
        <w:tabs>
          <w:tab w:val="left" w:pos="8931"/>
        </w:tabs>
      </w:pPr>
      <w:r w:rsidRPr="00225D10">
        <w:t xml:space="preserve">The Loddon Mallee South Regional Growth Plan </w:t>
      </w:r>
      <w:r w:rsidR="00FB02AA" w:rsidRPr="00225D10">
        <w:t>is supported by the following documents</w:t>
      </w:r>
      <w:r w:rsidRPr="00225D10">
        <w:t>:</w:t>
      </w:r>
    </w:p>
    <w:p w:rsidR="00E51837" w:rsidRPr="00A97026" w:rsidRDefault="00267D13" w:rsidP="00D34F87">
      <w:pPr>
        <w:pStyle w:val="Heading4"/>
        <w:tabs>
          <w:tab w:val="left" w:pos="8931"/>
        </w:tabs>
      </w:pPr>
      <w:r w:rsidRPr="00A97026">
        <w:t>Loddon Mallee South Background Report</w:t>
      </w:r>
      <w:r w:rsidR="007C5534">
        <w:t xml:space="preserve"> – this document</w:t>
      </w:r>
    </w:p>
    <w:p w:rsidR="00E51837" w:rsidRPr="00225D10" w:rsidRDefault="00FE046F" w:rsidP="00D34F87">
      <w:pPr>
        <w:pStyle w:val="bt"/>
        <w:tabs>
          <w:tab w:val="left" w:pos="8931"/>
        </w:tabs>
      </w:pPr>
      <w:r w:rsidRPr="00225D10">
        <w:t xml:space="preserve">The </w:t>
      </w:r>
      <w:r w:rsidR="007C5534">
        <w:t>background report</w:t>
      </w:r>
      <w:r w:rsidRPr="00225D10">
        <w:t xml:space="preserve"> provides an outline of the development of the </w:t>
      </w:r>
      <w:r w:rsidR="00997C90">
        <w:t>p</w:t>
      </w:r>
      <w:r w:rsidR="005D4DE2" w:rsidRPr="00225D10">
        <w:t>lan</w:t>
      </w:r>
      <w:r w:rsidRPr="00225D10">
        <w:t xml:space="preserve">, as well as summarising the important issues arising from </w:t>
      </w:r>
      <w:r w:rsidR="007C5534">
        <w:t>a draft</w:t>
      </w:r>
      <w:r w:rsidR="007C5534" w:rsidRPr="00225D10">
        <w:t xml:space="preserve"> </w:t>
      </w:r>
      <w:r w:rsidR="007C5534">
        <w:t>i</w:t>
      </w:r>
      <w:r w:rsidR="007C5534" w:rsidRPr="00225D10">
        <w:t xml:space="preserve">ssues </w:t>
      </w:r>
      <w:r w:rsidR="007C5534">
        <w:t>p</w:t>
      </w:r>
      <w:r w:rsidR="007C5534" w:rsidRPr="00225D10">
        <w:t>aper</w:t>
      </w:r>
      <w:r w:rsidR="007C5534">
        <w:t xml:space="preserve"> which was developed to inform the plan’s strategic directions</w:t>
      </w:r>
      <w:r w:rsidRPr="00225D10">
        <w:t>.</w:t>
      </w:r>
    </w:p>
    <w:p w:rsidR="00E51837" w:rsidRPr="00225D10" w:rsidRDefault="00267D13" w:rsidP="00D34F87">
      <w:pPr>
        <w:pStyle w:val="Heading4"/>
        <w:tabs>
          <w:tab w:val="left" w:pos="8931"/>
        </w:tabs>
      </w:pPr>
      <w:r w:rsidRPr="00225D10">
        <w:t>Loddon Mallee South</w:t>
      </w:r>
      <w:r w:rsidR="007C5534">
        <w:t xml:space="preserve"> draft</w:t>
      </w:r>
      <w:r w:rsidRPr="00225D10">
        <w:t xml:space="preserve"> </w:t>
      </w:r>
      <w:r w:rsidR="007C5534">
        <w:t>i</w:t>
      </w:r>
      <w:r w:rsidRPr="00225D10">
        <w:t xml:space="preserve">ssues </w:t>
      </w:r>
      <w:r w:rsidR="007C5534">
        <w:t>p</w:t>
      </w:r>
      <w:r w:rsidR="007C5534" w:rsidRPr="00225D10">
        <w:t xml:space="preserve">aper </w:t>
      </w:r>
    </w:p>
    <w:p w:rsidR="00C223CA" w:rsidRPr="00225D10" w:rsidRDefault="00E51837" w:rsidP="00D34F87">
      <w:pPr>
        <w:pStyle w:val="bt"/>
        <w:tabs>
          <w:tab w:val="left" w:pos="8931"/>
        </w:tabs>
      </w:pPr>
      <w:r w:rsidRPr="00225D10">
        <w:t xml:space="preserve">A </w:t>
      </w:r>
      <w:r w:rsidR="007C5534">
        <w:t>draft i</w:t>
      </w:r>
      <w:r w:rsidRPr="00225D10">
        <w:t xml:space="preserve">ssues </w:t>
      </w:r>
      <w:r w:rsidR="007C5534">
        <w:t>p</w:t>
      </w:r>
      <w:r w:rsidRPr="00225D10">
        <w:t xml:space="preserve">aper was prepared as background research to inform the development of the </w:t>
      </w:r>
      <w:r w:rsidR="00225A58">
        <w:t>p</w:t>
      </w:r>
      <w:r w:rsidR="005D4DE2" w:rsidRPr="00225D10">
        <w:t>lan</w:t>
      </w:r>
      <w:r w:rsidRPr="00225D10">
        <w:t>.</w:t>
      </w:r>
    </w:p>
    <w:p w:rsidR="00F664F9" w:rsidRPr="00225D10" w:rsidRDefault="00267D13" w:rsidP="00D34F87">
      <w:pPr>
        <w:pStyle w:val="Heading4"/>
        <w:tabs>
          <w:tab w:val="left" w:pos="8931"/>
        </w:tabs>
      </w:pPr>
      <w:r w:rsidRPr="00225D10">
        <w:t xml:space="preserve">Structure of the </w:t>
      </w:r>
      <w:r w:rsidR="007C5534">
        <w:t>background report</w:t>
      </w:r>
      <w:r w:rsidRPr="00225D10">
        <w:t xml:space="preserve"> </w:t>
      </w:r>
    </w:p>
    <w:p w:rsidR="00490673" w:rsidRPr="00225D10" w:rsidRDefault="00A129AF" w:rsidP="00D34F87">
      <w:pPr>
        <w:pStyle w:val="bt"/>
        <w:tabs>
          <w:tab w:val="left" w:pos="8931"/>
        </w:tabs>
      </w:pPr>
      <w:r>
        <w:t xml:space="preserve">Sections </w:t>
      </w:r>
      <w:r w:rsidR="00490673" w:rsidRPr="00225D10">
        <w:t>1</w:t>
      </w:r>
      <w:r>
        <w:t xml:space="preserve"> and 2</w:t>
      </w:r>
      <w:r w:rsidR="00A86E1B">
        <w:t xml:space="preserve"> </w:t>
      </w:r>
      <w:r w:rsidR="00247BE7" w:rsidRPr="00247BE7">
        <w:rPr>
          <w:b/>
        </w:rPr>
        <w:t>–</w:t>
      </w:r>
      <w:r w:rsidR="00490673" w:rsidRPr="00225D10">
        <w:t xml:space="preserve"> </w:t>
      </w:r>
      <w:r w:rsidR="00CF420A">
        <w:t>Introduction and p</w:t>
      </w:r>
      <w:r w:rsidR="00CF420A" w:rsidRPr="00225D10">
        <w:t xml:space="preserve">roject </w:t>
      </w:r>
      <w:r w:rsidR="00CB2E8E" w:rsidRPr="00225D10">
        <w:t>i</w:t>
      </w:r>
      <w:r w:rsidR="00490673" w:rsidRPr="00225D10">
        <w:t>nformation</w:t>
      </w:r>
    </w:p>
    <w:p w:rsidR="00490673" w:rsidRPr="00225D10" w:rsidRDefault="00A129AF" w:rsidP="00D34F87">
      <w:pPr>
        <w:pStyle w:val="bt"/>
        <w:tabs>
          <w:tab w:val="left" w:pos="8931"/>
        </w:tabs>
      </w:pPr>
      <w:r>
        <w:t>Sections</w:t>
      </w:r>
      <w:r w:rsidRPr="00225D10">
        <w:t xml:space="preserve"> </w:t>
      </w:r>
      <w:r>
        <w:t xml:space="preserve">3–7 </w:t>
      </w:r>
      <w:r w:rsidR="00247BE7" w:rsidRPr="00247BE7">
        <w:rPr>
          <w:b/>
        </w:rPr>
        <w:t>–</w:t>
      </w:r>
      <w:r w:rsidR="00490673" w:rsidRPr="00225D10">
        <w:t xml:space="preserve"> </w:t>
      </w:r>
      <w:r w:rsidR="00AB3A98" w:rsidRPr="00225D10">
        <w:t xml:space="preserve">Background </w:t>
      </w:r>
      <w:r w:rsidR="00CB2E8E" w:rsidRPr="00225D10">
        <w:t>i</w:t>
      </w:r>
      <w:r w:rsidR="00AB3A98" w:rsidRPr="00225D10">
        <w:t>nformation</w:t>
      </w:r>
    </w:p>
    <w:p w:rsidR="00E4085C" w:rsidRPr="00225D10" w:rsidRDefault="00A129AF" w:rsidP="00D34F87">
      <w:pPr>
        <w:pStyle w:val="bt"/>
        <w:tabs>
          <w:tab w:val="left" w:pos="8931"/>
        </w:tabs>
      </w:pPr>
      <w:r>
        <w:t>Section</w:t>
      </w:r>
      <w:r w:rsidRPr="00225D10">
        <w:t xml:space="preserve"> </w:t>
      </w:r>
      <w:r>
        <w:t>8</w:t>
      </w:r>
      <w:r w:rsidR="00A86E1B">
        <w:t xml:space="preserve"> </w:t>
      </w:r>
      <w:r w:rsidR="00247BE7" w:rsidRPr="00247BE7">
        <w:rPr>
          <w:b/>
        </w:rPr>
        <w:t>–</w:t>
      </w:r>
      <w:r w:rsidR="00014032" w:rsidRPr="00225D10">
        <w:t xml:space="preserve"> </w:t>
      </w:r>
      <w:r w:rsidR="00426426" w:rsidRPr="00225D10">
        <w:t xml:space="preserve">Developing the </w:t>
      </w:r>
      <w:r w:rsidR="007C5534">
        <w:t>regional growth p</w:t>
      </w:r>
      <w:r w:rsidR="007C5534" w:rsidRPr="00225D10">
        <w:t>lan</w:t>
      </w:r>
      <w:r w:rsidR="00E4085C" w:rsidRPr="00225D10">
        <w:br w:type="page"/>
      </w:r>
    </w:p>
    <w:p w:rsidR="00057E27" w:rsidRPr="00DE1C1D" w:rsidRDefault="00E8192C" w:rsidP="00D34F87">
      <w:pPr>
        <w:pStyle w:val="Heading1"/>
        <w:tabs>
          <w:tab w:val="left" w:pos="8931"/>
        </w:tabs>
      </w:pPr>
      <w:bookmarkStart w:id="5" w:name="_Toc352154170"/>
      <w:bookmarkStart w:id="6" w:name="_Toc374530843"/>
      <w:bookmarkEnd w:id="5"/>
      <w:r w:rsidRPr="00DE1C1D">
        <w:lastRenderedPageBreak/>
        <w:t>P</w:t>
      </w:r>
      <w:r w:rsidR="00057E27" w:rsidRPr="00DE1C1D">
        <w:t xml:space="preserve">roject </w:t>
      </w:r>
      <w:r w:rsidR="00CB2E8E" w:rsidRPr="00DE1C1D">
        <w:t>i</w:t>
      </w:r>
      <w:r w:rsidR="00057E27" w:rsidRPr="00DE1C1D">
        <w:t>nformation</w:t>
      </w:r>
      <w:bookmarkEnd w:id="6"/>
      <w:r w:rsidR="00057E27" w:rsidRPr="00DE1C1D">
        <w:t xml:space="preserve"> </w:t>
      </w:r>
    </w:p>
    <w:p w:rsidR="00F664F9" w:rsidRPr="00663F7F" w:rsidRDefault="00F664F9" w:rsidP="00D34F87">
      <w:pPr>
        <w:pStyle w:val="Heading2"/>
        <w:tabs>
          <w:tab w:val="left" w:pos="8931"/>
        </w:tabs>
        <w:rPr>
          <w:rFonts w:cs="Arial"/>
        </w:rPr>
      </w:pPr>
      <w:bookmarkStart w:id="7" w:name="_Toc374530844"/>
      <w:r w:rsidRPr="00663F7F">
        <w:rPr>
          <w:rFonts w:cs="Arial"/>
        </w:rPr>
        <w:t xml:space="preserve">Frequently </w:t>
      </w:r>
      <w:r w:rsidR="003D3883" w:rsidRPr="00663F7F">
        <w:rPr>
          <w:rFonts w:cs="Arial"/>
        </w:rPr>
        <w:t>a</w:t>
      </w:r>
      <w:r w:rsidRPr="00663F7F">
        <w:rPr>
          <w:rFonts w:cs="Arial"/>
        </w:rPr>
        <w:t xml:space="preserve">sked </w:t>
      </w:r>
      <w:r w:rsidR="003D3883" w:rsidRPr="00663F7F">
        <w:rPr>
          <w:rFonts w:cs="Arial"/>
        </w:rPr>
        <w:t>q</w:t>
      </w:r>
      <w:r w:rsidRPr="00663F7F">
        <w:rPr>
          <w:rFonts w:cs="Arial"/>
        </w:rPr>
        <w:t>uestions</w:t>
      </w:r>
      <w:bookmarkEnd w:id="7"/>
    </w:p>
    <w:p w:rsidR="00E55C4A" w:rsidRPr="00225D10" w:rsidRDefault="00057E27" w:rsidP="00D34F87">
      <w:pPr>
        <w:pStyle w:val="Heading4"/>
        <w:tabs>
          <w:tab w:val="left" w:pos="8931"/>
        </w:tabs>
      </w:pPr>
      <w:r w:rsidRPr="00225D10">
        <w:t xml:space="preserve">Where is Loddon Mallee </w:t>
      </w:r>
      <w:r w:rsidR="00774E5A" w:rsidRPr="00225D10">
        <w:t>South</w:t>
      </w:r>
      <w:r w:rsidR="00AB3A98" w:rsidRPr="00225D10">
        <w:t>?</w:t>
      </w:r>
    </w:p>
    <w:p w:rsidR="0050537D" w:rsidRDefault="00877CB8" w:rsidP="00D34F87">
      <w:pPr>
        <w:pStyle w:val="Caption"/>
        <w:tabs>
          <w:tab w:val="left" w:pos="8931"/>
        </w:tabs>
      </w:pPr>
      <w:bookmarkStart w:id="8" w:name="_Toc352166546"/>
      <w:bookmarkStart w:id="9" w:name="_Toc374530796"/>
      <w:r>
        <w:rPr>
          <w:noProof/>
        </w:rPr>
        <w:drawing>
          <wp:anchor distT="0" distB="0" distL="114300" distR="114300" simplePos="0" relativeHeight="251688960" behindDoc="0" locked="0" layoutInCell="1" allowOverlap="1">
            <wp:simplePos x="0" y="0"/>
            <wp:positionH relativeFrom="column">
              <wp:posOffset>-69850</wp:posOffset>
            </wp:positionH>
            <wp:positionV relativeFrom="paragraph">
              <wp:posOffset>438785</wp:posOffset>
            </wp:positionV>
            <wp:extent cx="6724650" cy="4445000"/>
            <wp:effectExtent l="19050" t="0" r="0" b="0"/>
            <wp:wrapTopAndBottom/>
            <wp:docPr id="3" name="Picture 5" descr="Map of Victoria showing Loddon Mallee Sout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srcRect/>
                    <a:stretch>
                      <a:fillRect/>
                    </a:stretch>
                  </pic:blipFill>
                  <pic:spPr bwMode="auto">
                    <a:xfrm>
                      <a:off x="0" y="0"/>
                      <a:ext cx="6724650" cy="4445000"/>
                    </a:xfrm>
                    <a:prstGeom prst="rect">
                      <a:avLst/>
                    </a:prstGeom>
                    <a:noFill/>
                  </pic:spPr>
                </pic:pic>
              </a:graphicData>
            </a:graphic>
          </wp:anchor>
        </w:drawing>
      </w:r>
      <w:r w:rsidR="0050537D" w:rsidRPr="00654CD7">
        <w:t xml:space="preserve">Figure </w:t>
      </w:r>
      <w:r w:rsidR="00162534" w:rsidRPr="00654CD7">
        <w:fldChar w:fldCharType="begin"/>
      </w:r>
      <w:r w:rsidR="00154847" w:rsidRPr="00654CD7">
        <w:instrText xml:space="preserve"> SEQ Figure \* ARABIC </w:instrText>
      </w:r>
      <w:r w:rsidR="00162534" w:rsidRPr="00654CD7">
        <w:fldChar w:fldCharType="separate"/>
      </w:r>
      <w:r w:rsidR="00EF1401">
        <w:rPr>
          <w:noProof/>
        </w:rPr>
        <w:t>1</w:t>
      </w:r>
      <w:r w:rsidR="00162534" w:rsidRPr="00654CD7">
        <w:fldChar w:fldCharType="end"/>
      </w:r>
      <w:r w:rsidR="00377F5C">
        <w:t xml:space="preserve">: </w:t>
      </w:r>
      <w:r w:rsidR="0050537D" w:rsidRPr="00654CD7">
        <w:t>Loddon Mallee South region</w:t>
      </w:r>
      <w:bookmarkEnd w:id="8"/>
      <w:bookmarkEnd w:id="9"/>
    </w:p>
    <w:p w:rsidR="001309E4" w:rsidRDefault="001309E4" w:rsidP="00D34F87">
      <w:pPr>
        <w:pStyle w:val="Source"/>
        <w:tabs>
          <w:tab w:val="left" w:pos="8931"/>
        </w:tabs>
      </w:pPr>
      <w:r>
        <w:t>Source: Department of Transport, Planning and Local Infrastructure</w:t>
      </w:r>
    </w:p>
    <w:p w:rsidR="0036610C" w:rsidRDefault="00475C72" w:rsidP="00D34F87">
      <w:pPr>
        <w:pStyle w:val="bt"/>
        <w:tabs>
          <w:tab w:val="left" w:pos="8931"/>
        </w:tabs>
      </w:pPr>
      <w:r w:rsidRPr="00225D10">
        <w:t>The Loddon Mallee South region occupies the geographic centre of Victoria. It extends from Boort and Pyramid Hill in the north to the Macedon Ranges in the south-east. At its closest point, the region is 50</w:t>
      </w:r>
      <w:r w:rsidR="003D3883" w:rsidRPr="00225D10">
        <w:t xml:space="preserve"> kilometres</w:t>
      </w:r>
      <w:r w:rsidRPr="00225D10">
        <w:t xml:space="preserve"> from </w:t>
      </w:r>
      <w:r w:rsidR="004941CD" w:rsidRPr="00225D10">
        <w:t>the centre of</w:t>
      </w:r>
      <w:r w:rsidRPr="00225D10">
        <w:t xml:space="preserve"> Melbourne, with </w:t>
      </w:r>
      <w:r w:rsidR="004941CD" w:rsidRPr="00225D10">
        <w:t>much</w:t>
      </w:r>
      <w:r w:rsidRPr="00225D10">
        <w:t xml:space="preserve"> of the region </w:t>
      </w:r>
      <w:r w:rsidR="003D3883" w:rsidRPr="00225D10">
        <w:t xml:space="preserve">covering </w:t>
      </w:r>
      <w:r w:rsidRPr="00225D10">
        <w:t xml:space="preserve">the hinterland of Melbourne. </w:t>
      </w:r>
      <w:r w:rsidR="007C5534">
        <w:t xml:space="preserve">The </w:t>
      </w:r>
      <w:r w:rsidRPr="00225D10">
        <w:t>Loddon Mallee South</w:t>
      </w:r>
      <w:r w:rsidR="007C5534">
        <w:t xml:space="preserve"> region</w:t>
      </w:r>
      <w:r w:rsidRPr="00225D10">
        <w:t xml:space="preserve"> has rich natural and built heritage, attractive towns, a pleasant climate</w:t>
      </w:r>
      <w:r w:rsidR="003D3883" w:rsidRPr="00225D10">
        <w:t>,</w:t>
      </w:r>
      <w:r w:rsidRPr="00225D10">
        <w:t xml:space="preserve"> and both social and economic diversity. Its central location and excellent transport links allow safe and efficient travel to Melbourne and other centres.</w:t>
      </w:r>
    </w:p>
    <w:p w:rsidR="0036610C" w:rsidRDefault="00475C72" w:rsidP="00D34F87">
      <w:pPr>
        <w:pStyle w:val="bt"/>
        <w:tabs>
          <w:tab w:val="left" w:pos="8931"/>
        </w:tabs>
      </w:pPr>
      <w:r w:rsidRPr="00225D10">
        <w:t xml:space="preserve">The region is home </w:t>
      </w:r>
      <w:r w:rsidR="003D3883" w:rsidRPr="00225D10">
        <w:t xml:space="preserve">to some of Victoria’s richest </w:t>
      </w:r>
      <w:r w:rsidRPr="00225D10">
        <w:t>goldfields</w:t>
      </w:r>
      <w:r w:rsidR="00170F24" w:rsidRPr="00225D10">
        <w:t>,</w:t>
      </w:r>
      <w:r w:rsidRPr="00225D10">
        <w:t xml:space="preserve"> and this history </w:t>
      </w:r>
      <w:r w:rsidR="00170F24" w:rsidRPr="00225D10">
        <w:t xml:space="preserve">still </w:t>
      </w:r>
      <w:r w:rsidRPr="00225D10">
        <w:t xml:space="preserve">influences the environment and settlements today. The region has significant historical and environmental assets with substantial forest surrounding the majority of towns. </w:t>
      </w:r>
      <w:r w:rsidR="00170F24" w:rsidRPr="00225D10">
        <w:t xml:space="preserve">It </w:t>
      </w:r>
      <w:r w:rsidRPr="00225D10">
        <w:t>is characterised by settlements nestled within forest and farms.</w:t>
      </w:r>
    </w:p>
    <w:p w:rsidR="001309E4" w:rsidRDefault="00475C72" w:rsidP="00D34F87">
      <w:pPr>
        <w:pStyle w:val="bt"/>
        <w:tabs>
          <w:tab w:val="left" w:pos="8931"/>
        </w:tabs>
      </w:pPr>
      <w:r w:rsidRPr="00225D10">
        <w:t xml:space="preserve">The total population of the region is </w:t>
      </w:r>
      <w:r w:rsidR="00A30C9A" w:rsidRPr="00225D10">
        <w:t>18</w:t>
      </w:r>
      <w:r w:rsidR="00F025A6">
        <w:t>8</w:t>
      </w:r>
      <w:r w:rsidR="00A30C9A" w:rsidRPr="00225D10">
        <w:t>,0</w:t>
      </w:r>
      <w:r w:rsidR="00FB1A93">
        <w:t>00</w:t>
      </w:r>
      <w:r w:rsidR="004941CD" w:rsidRPr="00225D10">
        <w:t xml:space="preserve"> </w:t>
      </w:r>
      <w:r w:rsidRPr="00225D10">
        <w:t>(</w:t>
      </w:r>
      <w:r w:rsidR="00FB1A93">
        <w:t>Victoria in Future</w:t>
      </w:r>
      <w:r w:rsidRPr="00225D10">
        <w:t>). Ben</w:t>
      </w:r>
      <w:r w:rsidR="00E75CC5" w:rsidRPr="00225D10">
        <w:t xml:space="preserve">digo is the regional city and </w:t>
      </w:r>
      <w:r w:rsidRPr="00225D10">
        <w:t>hub of the Loddon Mallee South region</w:t>
      </w:r>
      <w:r w:rsidR="00E75CC5" w:rsidRPr="00225D10">
        <w:t>,</w:t>
      </w:r>
      <w:r w:rsidRPr="00225D10">
        <w:t xml:space="preserve"> </w:t>
      </w:r>
      <w:r w:rsidR="00E75CC5" w:rsidRPr="00225D10">
        <w:t>providing</w:t>
      </w:r>
      <w:r w:rsidRPr="00225D10">
        <w:t xml:space="preserve"> quality healthcare, educational, cultural and economic services. With a population approaching 100,000</w:t>
      </w:r>
      <w:r w:rsidR="00170F24" w:rsidRPr="00225D10">
        <w:t>,</w:t>
      </w:r>
      <w:r w:rsidRPr="00225D10">
        <w:t xml:space="preserve"> the city is experiencing steady growth.</w:t>
      </w:r>
    </w:p>
    <w:p w:rsidR="001309E4" w:rsidRDefault="001309E4" w:rsidP="00D34F87">
      <w:pPr>
        <w:tabs>
          <w:tab w:val="left" w:pos="8931"/>
        </w:tabs>
        <w:spacing w:before="0"/>
        <w:rPr>
          <w:rFonts w:ascii="Calibri" w:hAnsi="Calibri"/>
          <w:szCs w:val="24"/>
        </w:rPr>
      </w:pPr>
      <w:r>
        <w:br w:type="page"/>
      </w:r>
    </w:p>
    <w:p w:rsidR="003F2E9B" w:rsidRPr="00225D10" w:rsidRDefault="00AB3A98" w:rsidP="00D34F87">
      <w:pPr>
        <w:pStyle w:val="Heading4"/>
        <w:tabs>
          <w:tab w:val="left" w:pos="8931"/>
        </w:tabs>
      </w:pPr>
      <w:r w:rsidRPr="00225D10">
        <w:lastRenderedPageBreak/>
        <w:t xml:space="preserve">Why do we need a </w:t>
      </w:r>
      <w:r w:rsidR="007C5534">
        <w:t>regional growth plan</w:t>
      </w:r>
      <w:r w:rsidRPr="00225D10">
        <w:t>?</w:t>
      </w:r>
    </w:p>
    <w:p w:rsidR="00C5461A" w:rsidRPr="00225D10" w:rsidRDefault="00C5461A" w:rsidP="00D34F87">
      <w:pPr>
        <w:pStyle w:val="bt"/>
        <w:tabs>
          <w:tab w:val="left" w:pos="8931"/>
        </w:tabs>
      </w:pPr>
      <w:r w:rsidRPr="00716866">
        <w:t>The Loddon Mallee South region is experiencing a growth rate higher than many other areas of regional Victoria. The regional city of Bendigo is one of the fastest growing, and one of the four largest inland cities in the country. The region is experiencing change, from agricultural areas in the north</w:t>
      </w:r>
      <w:r w:rsidR="00170F24" w:rsidRPr="00716866">
        <w:t>-</w:t>
      </w:r>
      <w:r w:rsidRPr="00716866">
        <w:t xml:space="preserve">west to pressures on the peri-urban </w:t>
      </w:r>
      <w:r w:rsidR="00170F24" w:rsidRPr="00716866">
        <w:t>fringe</w:t>
      </w:r>
      <w:r w:rsidRPr="00716866">
        <w:t xml:space="preserve"> in the south. There is strong population growth in some</w:t>
      </w:r>
      <w:r w:rsidRPr="00225D10">
        <w:t xml:space="preserve"> areas, </w:t>
      </w:r>
      <w:r w:rsidR="00527453" w:rsidRPr="00225D10">
        <w:t xml:space="preserve">with demand for </w:t>
      </w:r>
      <w:r w:rsidR="00170F24" w:rsidRPr="00225D10">
        <w:t>‘</w:t>
      </w:r>
      <w:r w:rsidR="00527453" w:rsidRPr="00225D10">
        <w:t>lifestyle living</w:t>
      </w:r>
      <w:r w:rsidR="00170F24" w:rsidRPr="00225D10">
        <w:t>’</w:t>
      </w:r>
      <w:r w:rsidR="00527453" w:rsidRPr="00225D10">
        <w:t xml:space="preserve"> and pressure on land supply. Other areas have low or negative population growth</w:t>
      </w:r>
      <w:r w:rsidR="00170F24" w:rsidRPr="00225D10">
        <w:t xml:space="preserve">. When </w:t>
      </w:r>
      <w:r w:rsidR="00527453" w:rsidRPr="00225D10">
        <w:t xml:space="preserve">combined with low population density and dispersed patterns of settlement, </w:t>
      </w:r>
      <w:r w:rsidR="00170F24" w:rsidRPr="00225D10">
        <w:t xml:space="preserve">this </w:t>
      </w:r>
      <w:r w:rsidR="00527453" w:rsidRPr="00225D10">
        <w:t>present</w:t>
      </w:r>
      <w:r w:rsidR="00170F24" w:rsidRPr="00225D10">
        <w:t>s</w:t>
      </w:r>
      <w:r w:rsidR="00527453" w:rsidRPr="00225D10">
        <w:t xml:space="preserve"> different challenges. The </w:t>
      </w:r>
      <w:r w:rsidR="00225A58">
        <w:t>p</w:t>
      </w:r>
      <w:r w:rsidR="00527453" w:rsidRPr="00225D10">
        <w:t>lan provides an opportunity to manage these pressures</w:t>
      </w:r>
      <w:r w:rsidR="00A30C9A" w:rsidRPr="00225D10">
        <w:t xml:space="preserve"> through the development of a regional strategic land use framework for growth and change</w:t>
      </w:r>
      <w:r w:rsidR="00527453" w:rsidRPr="00225D10">
        <w:t>.</w:t>
      </w:r>
    </w:p>
    <w:p w:rsidR="00AB3A98" w:rsidRPr="00225D10" w:rsidRDefault="00AB3A98" w:rsidP="00D34F87">
      <w:pPr>
        <w:pStyle w:val="Heading4"/>
        <w:tabs>
          <w:tab w:val="left" w:pos="8931"/>
        </w:tabs>
      </w:pPr>
      <w:r w:rsidRPr="00225D10">
        <w:t xml:space="preserve">What will the </w:t>
      </w:r>
      <w:r w:rsidR="00225A58">
        <w:t>p</w:t>
      </w:r>
      <w:r w:rsidR="005D4DE2" w:rsidRPr="00225D10">
        <w:t>lan</w:t>
      </w:r>
      <w:r w:rsidRPr="00225D10">
        <w:t xml:space="preserve"> do?</w:t>
      </w:r>
    </w:p>
    <w:p w:rsidR="00AB64E5" w:rsidRPr="00225D10" w:rsidRDefault="0056187E" w:rsidP="00D34F87">
      <w:pPr>
        <w:pStyle w:val="bt"/>
        <w:tabs>
          <w:tab w:val="left" w:pos="8931"/>
        </w:tabs>
      </w:pPr>
      <w:r w:rsidRPr="00225D10">
        <w:t>The g</w:t>
      </w:r>
      <w:r w:rsidR="00AB64E5" w:rsidRPr="00225D10">
        <w:t xml:space="preserve">rowth of regional Victoria is essential to a vibrant and sustainable state. Regional </w:t>
      </w:r>
      <w:r w:rsidR="00997C90">
        <w:t>g</w:t>
      </w:r>
      <w:r w:rsidR="00AB64E5" w:rsidRPr="00225D10">
        <w:t xml:space="preserve">rowth </w:t>
      </w:r>
      <w:r w:rsidR="00997C90">
        <w:t>p</w:t>
      </w:r>
      <w:r w:rsidR="00AB64E5" w:rsidRPr="00225D10">
        <w:t xml:space="preserve">lans will provide a long-term strategic land use and settlement framework that </w:t>
      </w:r>
      <w:r w:rsidRPr="00225D10">
        <w:t xml:space="preserve">presents </w:t>
      </w:r>
      <w:r w:rsidR="00AB64E5" w:rsidRPr="00225D10">
        <w:t xml:space="preserve">a broad outline </w:t>
      </w:r>
      <w:r w:rsidRPr="00225D10">
        <w:t xml:space="preserve">for </w:t>
      </w:r>
      <w:r w:rsidR="00AB64E5" w:rsidRPr="00225D10">
        <w:t xml:space="preserve">future change in the region.  </w:t>
      </w:r>
    </w:p>
    <w:p w:rsidR="00AB64E5" w:rsidRPr="00225D10" w:rsidRDefault="0067059B" w:rsidP="00D34F87">
      <w:pPr>
        <w:pStyle w:val="bt"/>
        <w:tabs>
          <w:tab w:val="left" w:pos="8931"/>
        </w:tabs>
      </w:pPr>
      <w:bookmarkStart w:id="10" w:name="OLE_LINK16"/>
      <w:bookmarkStart w:id="11" w:name="OLE_LINK17"/>
      <w:r w:rsidRPr="00225D10">
        <w:t xml:space="preserve">Responding to directions provided in the </w:t>
      </w:r>
      <w:r w:rsidR="00E4702F" w:rsidRPr="00225D10">
        <w:t xml:space="preserve">Southern </w:t>
      </w:r>
      <w:r w:rsidRPr="00225D10">
        <w:t>Loddon Mallee Regional Strategic Plan 2010, t</w:t>
      </w:r>
      <w:r w:rsidR="00AB64E5" w:rsidRPr="00225D10">
        <w:t xml:space="preserve">he </w:t>
      </w:r>
      <w:r w:rsidR="00225A58">
        <w:t>p</w:t>
      </w:r>
      <w:r w:rsidR="0056187E" w:rsidRPr="00225D10">
        <w:t xml:space="preserve">lan </w:t>
      </w:r>
      <w:r w:rsidR="00AB64E5" w:rsidRPr="00225D10">
        <w:t>show</w:t>
      </w:r>
      <w:r w:rsidR="00FB1A93">
        <w:t>s</w:t>
      </w:r>
      <w:r w:rsidR="00AB64E5" w:rsidRPr="00225D10">
        <w:t xml:space="preserve"> how and where residential and commercial growth can be accommodated across the region to 2041. </w:t>
      </w:r>
      <w:r w:rsidR="0056187E" w:rsidRPr="00225D10">
        <w:t xml:space="preserve">It also </w:t>
      </w:r>
      <w:r w:rsidR="00AB64E5" w:rsidRPr="00225D10">
        <w:t>highlight</w:t>
      </w:r>
      <w:r w:rsidR="00FB1A93">
        <w:t>s</w:t>
      </w:r>
      <w:r w:rsidR="00AB64E5" w:rsidRPr="00225D10">
        <w:t xml:space="preserve"> the importance of our non</w:t>
      </w:r>
      <w:r w:rsidR="0056187E" w:rsidRPr="00225D10">
        <w:t>-</w:t>
      </w:r>
      <w:r w:rsidR="00AB64E5" w:rsidRPr="00225D10">
        <w:t xml:space="preserve">urban spaces for agriculture, recreation and as environmental assets. </w:t>
      </w:r>
    </w:p>
    <w:bookmarkEnd w:id="10"/>
    <w:bookmarkEnd w:id="11"/>
    <w:p w:rsidR="00DB0958" w:rsidRDefault="0067059B" w:rsidP="00D34F87">
      <w:pPr>
        <w:pStyle w:val="bt"/>
        <w:tabs>
          <w:tab w:val="left" w:pos="8931"/>
        </w:tabs>
      </w:pPr>
      <w:r w:rsidRPr="00225D10">
        <w:t xml:space="preserve">In all regions, the </w:t>
      </w:r>
      <w:r w:rsidR="00997C90">
        <w:t>r</w:t>
      </w:r>
      <w:r w:rsidR="0056187E" w:rsidRPr="00225D10">
        <w:t xml:space="preserve">egional </w:t>
      </w:r>
      <w:r w:rsidR="00997C90">
        <w:t>g</w:t>
      </w:r>
      <w:r w:rsidR="0056187E" w:rsidRPr="00225D10">
        <w:t xml:space="preserve">rowth </w:t>
      </w:r>
      <w:r w:rsidR="00997C90">
        <w:t>p</w:t>
      </w:r>
      <w:r w:rsidRPr="00225D10">
        <w:t xml:space="preserve">lans will ensure there is linkage between economic development and strategic land use planning. Creating opportunities for economic growth is essential to maintaining the sustainability of services and facilities in cities, towns and communities of all sizes. Economic development will be supported by high level infrastructure analysis informed by current and future land patterns that will </w:t>
      </w:r>
      <w:r w:rsidR="0056187E" w:rsidRPr="00225D10">
        <w:t xml:space="preserve">guide </w:t>
      </w:r>
      <w:r w:rsidRPr="00225D10">
        <w:t>regional level infrastructure considerations</w:t>
      </w:r>
      <w:r w:rsidR="0056187E" w:rsidRPr="00225D10">
        <w:t>,</w:t>
      </w:r>
      <w:r w:rsidRPr="00225D10">
        <w:t xml:space="preserve"> future planning and investment.</w:t>
      </w:r>
    </w:p>
    <w:p w:rsidR="001E6C39" w:rsidRDefault="0067059B" w:rsidP="00D34F87">
      <w:pPr>
        <w:pStyle w:val="bt"/>
        <w:tabs>
          <w:tab w:val="left" w:pos="8931"/>
        </w:tabs>
      </w:pPr>
      <w:r w:rsidRPr="00225D10">
        <w:t>Planning for sustainable growth in regions also requires identification of the key regional assets to be preserved, improved or developed</w:t>
      </w:r>
      <w:r w:rsidR="0056187E" w:rsidRPr="00225D10">
        <w:t xml:space="preserve">. This </w:t>
      </w:r>
      <w:r w:rsidRPr="00225D10">
        <w:t>includ</w:t>
      </w:r>
      <w:r w:rsidR="0056187E" w:rsidRPr="00225D10">
        <w:t>e</w:t>
      </w:r>
      <w:r w:rsidR="00FB1A93">
        <w:t>s</w:t>
      </w:r>
      <w:r w:rsidR="0056187E" w:rsidRPr="00225D10">
        <w:t xml:space="preserve"> </w:t>
      </w:r>
      <w:r w:rsidR="00ED10AA" w:rsidRPr="00225D10">
        <w:t xml:space="preserve">identifying </w:t>
      </w:r>
      <w:r w:rsidRPr="00225D10">
        <w:t>areas for protection and constraints to growth</w:t>
      </w:r>
      <w:r w:rsidR="0056187E" w:rsidRPr="00225D10">
        <w:t xml:space="preserve"> such as </w:t>
      </w:r>
      <w:r w:rsidRPr="00225D10">
        <w:t>flood, bushfire hazard, native vegetation and strategically important agricultural land.</w:t>
      </w:r>
    </w:p>
    <w:p w:rsidR="00550ABB" w:rsidRPr="00663F7F" w:rsidRDefault="00D30C4F" w:rsidP="00D34F87">
      <w:pPr>
        <w:pStyle w:val="Heading2"/>
        <w:tabs>
          <w:tab w:val="left" w:pos="8931"/>
        </w:tabs>
        <w:rPr>
          <w:rFonts w:cs="Arial"/>
        </w:rPr>
      </w:pPr>
      <w:bookmarkStart w:id="12" w:name="_Toc374530845"/>
      <w:r w:rsidRPr="00663F7F">
        <w:rPr>
          <w:rFonts w:cs="Arial"/>
        </w:rPr>
        <w:t xml:space="preserve">Preparation and </w:t>
      </w:r>
      <w:r w:rsidR="0056187E" w:rsidRPr="00663F7F">
        <w:rPr>
          <w:rFonts w:cs="Arial"/>
        </w:rPr>
        <w:t>p</w:t>
      </w:r>
      <w:r w:rsidRPr="00663F7F">
        <w:rPr>
          <w:rFonts w:cs="Arial"/>
        </w:rPr>
        <w:t>rocess</w:t>
      </w:r>
      <w:bookmarkEnd w:id="12"/>
    </w:p>
    <w:p w:rsidR="00E8192C" w:rsidRPr="00133813" w:rsidRDefault="00267D13" w:rsidP="00655244">
      <w:pPr>
        <w:pStyle w:val="Heading3"/>
      </w:pPr>
      <w:bookmarkStart w:id="13" w:name="_Toc371951888"/>
      <w:bookmarkStart w:id="14" w:name="_Toc372889268"/>
      <w:bookmarkStart w:id="15" w:name="_Toc374530846"/>
      <w:r w:rsidRPr="00133813">
        <w:t>Workshops</w:t>
      </w:r>
      <w:bookmarkEnd w:id="13"/>
      <w:bookmarkEnd w:id="14"/>
      <w:bookmarkEnd w:id="15"/>
    </w:p>
    <w:p w:rsidR="00E7624D" w:rsidRPr="00225D10" w:rsidRDefault="001309E4" w:rsidP="00D34F87">
      <w:pPr>
        <w:pStyle w:val="bt"/>
        <w:tabs>
          <w:tab w:val="left" w:pos="8931"/>
        </w:tabs>
      </w:pPr>
      <w:r>
        <w:t>The regional growth p</w:t>
      </w:r>
      <w:r w:rsidR="005D4DE2" w:rsidRPr="00225D10">
        <w:t>lan</w:t>
      </w:r>
      <w:r w:rsidR="00D30C4F" w:rsidRPr="00225D10">
        <w:t xml:space="preserve"> has been prepared in partnership with </w:t>
      </w:r>
      <w:r w:rsidR="00E7624D" w:rsidRPr="00225D10">
        <w:t xml:space="preserve">the </w:t>
      </w:r>
      <w:r w:rsidR="00225A58">
        <w:t>s</w:t>
      </w:r>
      <w:r w:rsidR="00E7624D" w:rsidRPr="00225D10">
        <w:t xml:space="preserve">hires of </w:t>
      </w:r>
      <w:r w:rsidR="00653CEA">
        <w:t xml:space="preserve">Central Goldfields, Loddon, </w:t>
      </w:r>
      <w:r w:rsidR="00E7624D" w:rsidRPr="00225D10">
        <w:t xml:space="preserve">Macedon Ranges, Mount Alexander and the City of Greater Bendigo, as well as </w:t>
      </w:r>
      <w:r w:rsidR="007C5534">
        <w:t>state government</w:t>
      </w:r>
      <w:r w:rsidR="00E7624D" w:rsidRPr="00225D10">
        <w:t xml:space="preserve"> departments and agencies including the Department of </w:t>
      </w:r>
      <w:r w:rsidR="00225A58" w:rsidRPr="00225D10">
        <w:t>Transport</w:t>
      </w:r>
      <w:r w:rsidR="00225A58">
        <w:t>,</w:t>
      </w:r>
      <w:r w:rsidR="00225A58" w:rsidRPr="00225D10">
        <w:t xml:space="preserve"> </w:t>
      </w:r>
      <w:r w:rsidR="00E7624D" w:rsidRPr="00225D10">
        <w:t xml:space="preserve">Planning and </w:t>
      </w:r>
      <w:r w:rsidR="00225A58">
        <w:t>Local Infrastructure</w:t>
      </w:r>
      <w:r w:rsidR="00E7624D" w:rsidRPr="00225D10">
        <w:t xml:space="preserve">, </w:t>
      </w:r>
      <w:r w:rsidR="00ED10AA" w:rsidRPr="00225D10">
        <w:t xml:space="preserve">the </w:t>
      </w:r>
      <w:r w:rsidR="00E7624D" w:rsidRPr="00225D10">
        <w:t>Department of Environment</w:t>
      </w:r>
      <w:r w:rsidR="00225A58">
        <w:t xml:space="preserve"> and </w:t>
      </w:r>
      <w:r w:rsidR="00225A58" w:rsidRPr="00225D10">
        <w:t>Primary Industries</w:t>
      </w:r>
      <w:r w:rsidR="00E7624D" w:rsidRPr="00225D10">
        <w:t xml:space="preserve">, </w:t>
      </w:r>
      <w:r w:rsidR="00ED10AA" w:rsidRPr="00225D10">
        <w:t xml:space="preserve">the </w:t>
      </w:r>
      <w:r w:rsidR="00E7624D" w:rsidRPr="00225D10">
        <w:t>Department of</w:t>
      </w:r>
      <w:r w:rsidR="00225A58">
        <w:t xml:space="preserve"> State Development, Business and Innovation</w:t>
      </w:r>
      <w:r w:rsidR="00E7624D" w:rsidRPr="00225D10">
        <w:t xml:space="preserve">, VicRoads </w:t>
      </w:r>
      <w:r w:rsidR="00653CEA">
        <w:t xml:space="preserve">catchment management authorities </w:t>
      </w:r>
      <w:r w:rsidR="00E7624D" w:rsidRPr="00225D10">
        <w:t xml:space="preserve">and </w:t>
      </w:r>
      <w:r w:rsidR="00ED10AA" w:rsidRPr="00225D10">
        <w:t>w</w:t>
      </w:r>
      <w:r w:rsidR="00E7624D" w:rsidRPr="00225D10">
        <w:t xml:space="preserve">ater </w:t>
      </w:r>
      <w:r w:rsidR="00ED10AA" w:rsidRPr="00225D10">
        <w:t>a</w:t>
      </w:r>
      <w:r w:rsidR="00E7624D" w:rsidRPr="00225D10">
        <w:t>uthorities.</w:t>
      </w:r>
    </w:p>
    <w:p w:rsidR="003F2E9B" w:rsidRPr="00225D10" w:rsidRDefault="00E7624D" w:rsidP="00D34F87">
      <w:pPr>
        <w:pStyle w:val="bt"/>
        <w:tabs>
          <w:tab w:val="left" w:pos="8931"/>
        </w:tabs>
      </w:pPr>
      <w:r w:rsidRPr="00225D10">
        <w:t xml:space="preserve">A Project Steering Group and a Technical Working Group </w:t>
      </w:r>
      <w:r w:rsidR="00653CEA">
        <w:t>were</w:t>
      </w:r>
      <w:r w:rsidRPr="00225D10">
        <w:t xml:space="preserve"> formed to oversee the development of the </w:t>
      </w:r>
      <w:r w:rsidR="00225A58">
        <w:t>p</w:t>
      </w:r>
      <w:r w:rsidR="005D4DE2" w:rsidRPr="00225D10">
        <w:t>lan</w:t>
      </w:r>
      <w:r w:rsidR="005876DC" w:rsidRPr="00225D10">
        <w:t>.</w:t>
      </w:r>
      <w:r w:rsidR="00CD6798" w:rsidRPr="00225D10">
        <w:t xml:space="preserve"> </w:t>
      </w:r>
      <w:r w:rsidR="005D4DE2" w:rsidRPr="00225D10">
        <w:t>Four</w:t>
      </w:r>
      <w:r w:rsidR="00550ABB" w:rsidRPr="00225D10">
        <w:t xml:space="preserve"> workshops were held </w:t>
      </w:r>
      <w:r w:rsidR="005D4DE2" w:rsidRPr="00225D10">
        <w:t xml:space="preserve">with the Technical Working Group </w:t>
      </w:r>
      <w:r w:rsidR="00550ABB" w:rsidRPr="00225D10">
        <w:t>to canvas regional issues, settlement scenarios and potential Future Directions</w:t>
      </w:r>
      <w:r w:rsidR="005876DC" w:rsidRPr="00225D10">
        <w:t xml:space="preserve"> for the region</w:t>
      </w:r>
      <w:r w:rsidR="00550ABB" w:rsidRPr="00225D10">
        <w:t>.</w:t>
      </w:r>
      <w:r w:rsidR="005876DC" w:rsidRPr="00225D10">
        <w:t xml:space="preserve"> The outcomes of these workshops have been incorporated into the </w:t>
      </w:r>
      <w:r w:rsidR="00225A58">
        <w:t>p</w:t>
      </w:r>
      <w:r w:rsidR="005D4DE2" w:rsidRPr="00225D10">
        <w:t>lan</w:t>
      </w:r>
      <w:r w:rsidR="005876DC" w:rsidRPr="00225D10">
        <w:t>.</w:t>
      </w:r>
    </w:p>
    <w:p w:rsidR="00133813" w:rsidRDefault="00AA00FE" w:rsidP="00D34F87">
      <w:pPr>
        <w:pStyle w:val="bt"/>
        <w:tabs>
          <w:tab w:val="left" w:pos="8931"/>
        </w:tabs>
      </w:pPr>
      <w:r w:rsidRPr="00225D10">
        <w:t>The second of the four workshops of the Technical Working Group worked through the development of</w:t>
      </w:r>
      <w:r w:rsidR="003D1080" w:rsidRPr="00225D10">
        <w:t xml:space="preserve"> a </w:t>
      </w:r>
      <w:r w:rsidRPr="00225D10">
        <w:t>future settlement framework for the region</w:t>
      </w:r>
      <w:r w:rsidR="003D1080" w:rsidRPr="00225D10">
        <w:t>.</w:t>
      </w:r>
      <w:r w:rsidR="000E2F7F" w:rsidRPr="00225D10">
        <w:t xml:space="preserve"> </w:t>
      </w:r>
      <w:r w:rsidR="00ED10AA" w:rsidRPr="00225D10">
        <w:t xml:space="preserve">Rather than presenting </w:t>
      </w:r>
      <w:r w:rsidR="003D1080" w:rsidRPr="00225D10">
        <w:t>alternative growth scenarios</w:t>
      </w:r>
      <w:r w:rsidR="00ED10AA" w:rsidRPr="00225D10">
        <w:t xml:space="preserve">, </w:t>
      </w:r>
      <w:r w:rsidR="003D1080" w:rsidRPr="00225D10">
        <w:t xml:space="preserve">four main theme areas </w:t>
      </w:r>
      <w:r w:rsidR="000E2F7F" w:rsidRPr="00225D10">
        <w:t xml:space="preserve">were prepared and presented to participants. These four theme areas </w:t>
      </w:r>
      <w:r w:rsidR="003D1080" w:rsidRPr="00225D10">
        <w:t>could be cons</w:t>
      </w:r>
      <w:r w:rsidR="000E2F7F" w:rsidRPr="00225D10">
        <w:t>idered in isolation or combined</w:t>
      </w:r>
      <w:r w:rsidR="00ED10AA" w:rsidRPr="00225D10">
        <w:t>:</w:t>
      </w:r>
      <w:r w:rsidR="003D1080" w:rsidRPr="00225D10">
        <w:t xml:space="preserve"> </w:t>
      </w:r>
      <w:proofErr w:type="spellStart"/>
      <w:r w:rsidR="003D1080" w:rsidRPr="00225D10">
        <w:t>i</w:t>
      </w:r>
      <w:proofErr w:type="spellEnd"/>
      <w:r w:rsidR="003D1080" w:rsidRPr="00225D10">
        <w:t xml:space="preserve">) Regional City and centre growth, ii) Growing small towns and Bendigo’s hinterland, iii) Rural </w:t>
      </w:r>
      <w:r w:rsidR="00ED10AA" w:rsidRPr="00225D10">
        <w:t>r</w:t>
      </w:r>
      <w:r w:rsidR="003D1080" w:rsidRPr="00225D10">
        <w:t>esidential d</w:t>
      </w:r>
      <w:r w:rsidR="000E2F7F" w:rsidRPr="00225D10">
        <w:t>evelopment; and</w:t>
      </w:r>
      <w:r w:rsidR="003D1080" w:rsidRPr="00225D10">
        <w:t xml:space="preserve"> </w:t>
      </w:r>
      <w:proofErr w:type="gramStart"/>
      <w:r w:rsidR="003D1080" w:rsidRPr="00225D10">
        <w:t>iv) Places</w:t>
      </w:r>
      <w:proofErr w:type="gramEnd"/>
      <w:r w:rsidR="003D1080" w:rsidRPr="00225D10">
        <w:t xml:space="preserve"> </w:t>
      </w:r>
      <w:r w:rsidR="00ED10AA" w:rsidRPr="00225D10">
        <w:t>f</w:t>
      </w:r>
      <w:r w:rsidR="003D1080" w:rsidRPr="00225D10">
        <w:t xml:space="preserve">acing </w:t>
      </w:r>
      <w:r w:rsidR="00ED10AA" w:rsidRPr="00225D10">
        <w:t>c</w:t>
      </w:r>
      <w:r w:rsidR="003D1080" w:rsidRPr="00225D10">
        <w:t>hange</w:t>
      </w:r>
      <w:r w:rsidR="000E2F7F" w:rsidRPr="00225D10">
        <w:t xml:space="preserve">. </w:t>
      </w:r>
    </w:p>
    <w:p w:rsidR="00EC6C49" w:rsidRDefault="000E2F7F">
      <w:pPr>
        <w:pStyle w:val="bt"/>
        <w:tabs>
          <w:tab w:val="left" w:pos="8931"/>
        </w:tabs>
      </w:pPr>
      <w:r w:rsidRPr="00225D10">
        <w:t>The p</w:t>
      </w:r>
      <w:r w:rsidR="003D1080" w:rsidRPr="00225D10">
        <w:t xml:space="preserve">urpose </w:t>
      </w:r>
      <w:r w:rsidRPr="00225D10">
        <w:t xml:space="preserve">of the </w:t>
      </w:r>
      <w:r w:rsidR="00ED10AA" w:rsidRPr="00225D10">
        <w:t>second w</w:t>
      </w:r>
      <w:r w:rsidRPr="00225D10">
        <w:t xml:space="preserve">orkshop </w:t>
      </w:r>
      <w:r w:rsidR="003D1080" w:rsidRPr="00225D10">
        <w:t xml:space="preserve">was to explore the identified themes; understand the opportunities and barriers to achieving growth; explore if and how barriers </w:t>
      </w:r>
      <w:r w:rsidR="00ED10AA" w:rsidRPr="00225D10">
        <w:t xml:space="preserve">could </w:t>
      </w:r>
      <w:r w:rsidR="003D1080" w:rsidRPr="00225D10">
        <w:t>be removed</w:t>
      </w:r>
      <w:r w:rsidR="00ED10AA" w:rsidRPr="00225D10">
        <w:t>;</w:t>
      </w:r>
      <w:r w:rsidR="003D1080" w:rsidRPr="00225D10">
        <w:t xml:space="preserve"> </w:t>
      </w:r>
      <w:r w:rsidRPr="00225D10">
        <w:t>discuss preferred locations for future urban growth</w:t>
      </w:r>
      <w:r w:rsidR="00ED10AA" w:rsidRPr="00225D10">
        <w:t>;</w:t>
      </w:r>
      <w:r w:rsidRPr="00225D10">
        <w:t xml:space="preserve"> and consider settlement management outside existing urban centres. </w:t>
      </w:r>
      <w:r w:rsidR="00ED10AA" w:rsidRPr="00225D10">
        <w:t>G</w:t>
      </w:r>
      <w:r w:rsidR="00AA00FE" w:rsidRPr="00225D10">
        <w:t xml:space="preserve">rowth themes and scenarios were informed by existing settlement strategy work undertaken by local councils. </w:t>
      </w:r>
      <w:r w:rsidRPr="00225D10">
        <w:t xml:space="preserve">A </w:t>
      </w:r>
      <w:r w:rsidR="003D1080" w:rsidRPr="00225D10">
        <w:t>preferred scenario for further investigation</w:t>
      </w:r>
      <w:r w:rsidRPr="00225D10">
        <w:t xml:space="preserve"> was agreed and this form</w:t>
      </w:r>
      <w:r w:rsidR="00ED10AA" w:rsidRPr="00225D10">
        <w:t>ed</w:t>
      </w:r>
      <w:r w:rsidRPr="00225D10">
        <w:t xml:space="preserve"> the basis of the </w:t>
      </w:r>
      <w:r w:rsidR="007C5534">
        <w:t>p</w:t>
      </w:r>
      <w:r w:rsidR="007C5534" w:rsidRPr="00225D10">
        <w:t>lan</w:t>
      </w:r>
      <w:r w:rsidRPr="00225D10">
        <w:t>.</w:t>
      </w:r>
    </w:p>
    <w:p w:rsidR="00E8192C" w:rsidRPr="00225D10" w:rsidRDefault="007C5534" w:rsidP="00655244">
      <w:pPr>
        <w:pStyle w:val="Heading3"/>
      </w:pPr>
      <w:bookmarkStart w:id="16" w:name="_Toc371951889"/>
      <w:bookmarkStart w:id="17" w:name="_Toc372889269"/>
      <w:bookmarkStart w:id="18" w:name="_Toc374530847"/>
      <w:r>
        <w:lastRenderedPageBreak/>
        <w:t>Draft i</w:t>
      </w:r>
      <w:r w:rsidR="00267D13" w:rsidRPr="00225D10">
        <w:t xml:space="preserve">ssues </w:t>
      </w:r>
      <w:r>
        <w:t>p</w:t>
      </w:r>
      <w:r w:rsidRPr="00225D10">
        <w:t>aper</w:t>
      </w:r>
      <w:bookmarkEnd w:id="16"/>
      <w:bookmarkEnd w:id="17"/>
      <w:bookmarkEnd w:id="18"/>
    </w:p>
    <w:p w:rsidR="001E1F8A" w:rsidRPr="00225D10" w:rsidRDefault="000F197D" w:rsidP="00D34F87">
      <w:pPr>
        <w:pStyle w:val="bt"/>
        <w:tabs>
          <w:tab w:val="left" w:pos="8931"/>
        </w:tabs>
      </w:pPr>
      <w:r w:rsidRPr="00225D10">
        <w:t xml:space="preserve">A </w:t>
      </w:r>
      <w:r>
        <w:t>draft i</w:t>
      </w:r>
      <w:r w:rsidRPr="00225D10">
        <w:t xml:space="preserve">ssues </w:t>
      </w:r>
      <w:r>
        <w:t>p</w:t>
      </w:r>
      <w:r w:rsidRPr="00225D10">
        <w:t xml:space="preserve">aper was prepared to provide input into the development of the </w:t>
      </w:r>
      <w:r>
        <w:t>p</w:t>
      </w:r>
      <w:r w:rsidRPr="00225D10">
        <w:t xml:space="preserve">lan. </w:t>
      </w:r>
      <w:r w:rsidR="001E1F8A" w:rsidRPr="00225D10">
        <w:t>Th</w:t>
      </w:r>
      <w:r w:rsidR="00B06913" w:rsidRPr="00225D10">
        <w:t>e</w:t>
      </w:r>
      <w:r w:rsidR="001E1F8A" w:rsidRPr="00225D10">
        <w:t xml:space="preserve"> </w:t>
      </w:r>
      <w:r w:rsidR="007C5534">
        <w:t>draft i</w:t>
      </w:r>
      <w:r w:rsidR="007C5534" w:rsidRPr="00225D10">
        <w:t xml:space="preserve">ssues </w:t>
      </w:r>
      <w:r w:rsidR="007C5534">
        <w:t>p</w:t>
      </w:r>
      <w:r w:rsidR="007C5534" w:rsidRPr="00225D10">
        <w:t xml:space="preserve">aper </w:t>
      </w:r>
      <w:r w:rsidR="001E1F8A" w:rsidRPr="00225D10">
        <w:t xml:space="preserve">outlines challenges </w:t>
      </w:r>
      <w:r w:rsidR="00003200" w:rsidRPr="00225D10">
        <w:t>and opportunities across the r</w:t>
      </w:r>
      <w:r w:rsidR="001E1F8A" w:rsidRPr="00225D10">
        <w:t xml:space="preserve">egion </w:t>
      </w:r>
      <w:r w:rsidR="00B06913" w:rsidRPr="00225D10">
        <w:t xml:space="preserve">under </w:t>
      </w:r>
      <w:r w:rsidR="001E1F8A" w:rsidRPr="00225D10">
        <w:t>the key areas of:</w:t>
      </w:r>
    </w:p>
    <w:p w:rsidR="001E1F8A" w:rsidRPr="00225D10" w:rsidRDefault="00C92845" w:rsidP="00D34F87">
      <w:pPr>
        <w:pStyle w:val="ListParagraphSummary"/>
        <w:tabs>
          <w:tab w:val="left" w:pos="8931"/>
        </w:tabs>
      </w:pPr>
      <w:r>
        <w:t>s</w:t>
      </w:r>
      <w:r w:rsidR="001E1F8A" w:rsidRPr="00225D10">
        <w:t xml:space="preserve">ettlement and </w:t>
      </w:r>
      <w:r w:rsidR="00B06913" w:rsidRPr="00225D10">
        <w:t>p</w:t>
      </w:r>
      <w:r w:rsidR="001E1F8A" w:rsidRPr="00225D10">
        <w:t>opulation</w:t>
      </w:r>
    </w:p>
    <w:p w:rsidR="001E1F8A" w:rsidRPr="00225D10" w:rsidRDefault="00C92845" w:rsidP="00D34F87">
      <w:pPr>
        <w:pStyle w:val="ListParagraphSummary"/>
        <w:tabs>
          <w:tab w:val="left" w:pos="8931"/>
        </w:tabs>
      </w:pPr>
      <w:r>
        <w:t>e</w:t>
      </w:r>
      <w:r w:rsidR="001E1F8A" w:rsidRPr="00225D10">
        <w:t xml:space="preserve">conomic </w:t>
      </w:r>
      <w:r w:rsidR="00B06913" w:rsidRPr="00225D10">
        <w:t>h</w:t>
      </w:r>
      <w:r w:rsidR="001E1F8A" w:rsidRPr="00225D10">
        <w:t xml:space="preserve">ealth and </w:t>
      </w:r>
      <w:r w:rsidR="00B06913" w:rsidRPr="00225D10">
        <w:t>g</w:t>
      </w:r>
      <w:r w:rsidR="001E1F8A" w:rsidRPr="00225D10">
        <w:t>rowth</w:t>
      </w:r>
    </w:p>
    <w:p w:rsidR="001E1F8A" w:rsidRPr="00225D10" w:rsidRDefault="00C92845" w:rsidP="00D34F87">
      <w:pPr>
        <w:pStyle w:val="ListParagraphSummary"/>
        <w:tabs>
          <w:tab w:val="left" w:pos="8931"/>
        </w:tabs>
      </w:pPr>
      <w:r>
        <w:t>e</w:t>
      </w:r>
      <w:r w:rsidR="001E1F8A" w:rsidRPr="00225D10">
        <w:t xml:space="preserve">nvironment and </w:t>
      </w:r>
      <w:r w:rsidR="00B06913" w:rsidRPr="00225D10">
        <w:t>n</w:t>
      </w:r>
      <w:r w:rsidR="001E1F8A" w:rsidRPr="00225D10">
        <w:t xml:space="preserve">atural </w:t>
      </w:r>
      <w:r w:rsidR="00B06913" w:rsidRPr="00225D10">
        <w:t>r</w:t>
      </w:r>
      <w:r w:rsidR="001E1F8A" w:rsidRPr="00225D10">
        <w:t>esources</w:t>
      </w:r>
    </w:p>
    <w:p w:rsidR="001E1F8A" w:rsidRPr="00225D10" w:rsidRDefault="00C92845" w:rsidP="00D34F87">
      <w:pPr>
        <w:pStyle w:val="ListParagraphSummary"/>
        <w:tabs>
          <w:tab w:val="left" w:pos="8931"/>
        </w:tabs>
      </w:pPr>
      <w:proofErr w:type="gramStart"/>
      <w:r>
        <w:t>i</w:t>
      </w:r>
      <w:r w:rsidR="001E1F8A" w:rsidRPr="00225D10">
        <w:t>nfrastructure</w:t>
      </w:r>
      <w:proofErr w:type="gramEnd"/>
      <w:r w:rsidR="00B06913" w:rsidRPr="00225D10">
        <w:t>.</w:t>
      </w:r>
    </w:p>
    <w:p w:rsidR="001E1F8A" w:rsidRPr="00225D10" w:rsidRDefault="001E1F8A" w:rsidP="00D34F87">
      <w:pPr>
        <w:pStyle w:val="bt"/>
        <w:tabs>
          <w:tab w:val="left" w:pos="8931"/>
        </w:tabs>
      </w:pPr>
      <w:r w:rsidRPr="00225D10">
        <w:t xml:space="preserve">Federal, </w:t>
      </w:r>
      <w:r w:rsidR="007C5534">
        <w:t>s</w:t>
      </w:r>
      <w:r w:rsidR="007C5534" w:rsidRPr="00225D10">
        <w:t xml:space="preserve">tate </w:t>
      </w:r>
      <w:r w:rsidRPr="00225D10">
        <w:t xml:space="preserve">and local government policies and strategies </w:t>
      </w:r>
      <w:r w:rsidR="00B06913" w:rsidRPr="00225D10">
        <w:t xml:space="preserve">were </w:t>
      </w:r>
      <w:r w:rsidR="007C5534">
        <w:t xml:space="preserve">considered in </w:t>
      </w:r>
      <w:r w:rsidRPr="00225D10">
        <w:t>develop</w:t>
      </w:r>
      <w:r w:rsidR="007C5534">
        <w:t>ing</w:t>
      </w:r>
      <w:r w:rsidRPr="00225D10">
        <w:t xml:space="preserve"> the </w:t>
      </w:r>
      <w:r w:rsidR="00C92845">
        <w:t>p</w:t>
      </w:r>
      <w:r w:rsidRPr="00225D10">
        <w:t>lan. Data and mapping sources include:</w:t>
      </w:r>
    </w:p>
    <w:p w:rsidR="001E1F8A" w:rsidRPr="00225D10" w:rsidRDefault="00D71B33" w:rsidP="00D34F87">
      <w:pPr>
        <w:pStyle w:val="ListParagraphSummary"/>
        <w:tabs>
          <w:tab w:val="left" w:pos="8931"/>
        </w:tabs>
      </w:pPr>
      <w:r>
        <w:t>Australian Bureau of Statistics</w:t>
      </w:r>
      <w:r w:rsidR="001E1F8A" w:rsidRPr="00225D10">
        <w:t xml:space="preserve"> </w:t>
      </w:r>
      <w:r>
        <w:t xml:space="preserve">(ABS) </w:t>
      </w:r>
      <w:r w:rsidR="001E1F8A" w:rsidRPr="00225D10">
        <w:t>2011 Census data</w:t>
      </w:r>
    </w:p>
    <w:p w:rsidR="001E1F8A" w:rsidRPr="00225D10" w:rsidRDefault="001E1F8A" w:rsidP="00D34F87">
      <w:pPr>
        <w:pStyle w:val="ListParagraphSummary"/>
        <w:tabs>
          <w:tab w:val="left" w:pos="8931"/>
        </w:tabs>
      </w:pPr>
      <w:r w:rsidRPr="00225D10">
        <w:t xml:space="preserve">Victoria in Future 2012 </w:t>
      </w:r>
      <w:r w:rsidR="00B06913" w:rsidRPr="00225D10">
        <w:t>p</w:t>
      </w:r>
      <w:r w:rsidRPr="00225D10">
        <w:t>opulation projections</w:t>
      </w:r>
    </w:p>
    <w:p w:rsidR="001E1F8A" w:rsidRPr="00225D10" w:rsidRDefault="001E1F8A" w:rsidP="00D34F87">
      <w:pPr>
        <w:pStyle w:val="ListParagraphSummary"/>
        <w:tabs>
          <w:tab w:val="left" w:pos="8931"/>
        </w:tabs>
      </w:pPr>
      <w:r w:rsidRPr="00225D10">
        <w:t>Regional Urban Development Program data</w:t>
      </w:r>
      <w:r w:rsidR="00B06913" w:rsidRPr="00225D10">
        <w:t>.</w:t>
      </w:r>
    </w:p>
    <w:p w:rsidR="00200DF9" w:rsidRDefault="00200DF9" w:rsidP="00D34F87">
      <w:pPr>
        <w:pStyle w:val="ListParagraphSummary"/>
        <w:numPr>
          <w:ilvl w:val="0"/>
          <w:numId w:val="0"/>
        </w:numPr>
        <w:tabs>
          <w:tab w:val="left" w:pos="8931"/>
        </w:tabs>
      </w:pPr>
    </w:p>
    <w:p w:rsidR="001E1F8A" w:rsidRPr="00225D10" w:rsidRDefault="001E1F8A" w:rsidP="00D34F87">
      <w:pPr>
        <w:pStyle w:val="ListParagraphSummary"/>
        <w:numPr>
          <w:ilvl w:val="0"/>
          <w:numId w:val="0"/>
        </w:numPr>
        <w:tabs>
          <w:tab w:val="left" w:pos="8931"/>
        </w:tabs>
      </w:pPr>
      <w:r w:rsidRPr="00225D10">
        <w:t xml:space="preserve">The following assumptions </w:t>
      </w:r>
      <w:r w:rsidR="00B06913" w:rsidRPr="00225D10">
        <w:t xml:space="preserve">were </w:t>
      </w:r>
      <w:r w:rsidRPr="00225D10">
        <w:t xml:space="preserve">used in the development of the </w:t>
      </w:r>
      <w:r w:rsidR="00C92845">
        <w:t>p</w:t>
      </w:r>
      <w:r w:rsidRPr="00225D10">
        <w:t>lan:</w:t>
      </w:r>
    </w:p>
    <w:p w:rsidR="001E1F8A" w:rsidRPr="00225D10" w:rsidRDefault="001E1F8A" w:rsidP="00D34F87">
      <w:pPr>
        <w:pStyle w:val="ListParagraphSummary"/>
        <w:tabs>
          <w:tab w:val="left" w:pos="8931"/>
        </w:tabs>
      </w:pPr>
      <w:r w:rsidRPr="00225D10">
        <w:t xml:space="preserve">The </w:t>
      </w:r>
      <w:r w:rsidR="00C92845">
        <w:t>p</w:t>
      </w:r>
      <w:r w:rsidRPr="00225D10">
        <w:t>lan is a regional plan and will not undertake localised planning</w:t>
      </w:r>
      <w:r w:rsidR="00C92845">
        <w:t>.</w:t>
      </w:r>
    </w:p>
    <w:p w:rsidR="001E1F8A" w:rsidRPr="00225D10" w:rsidRDefault="001E1F8A" w:rsidP="00D34F87">
      <w:pPr>
        <w:pStyle w:val="ListParagraphSummary"/>
        <w:tabs>
          <w:tab w:val="left" w:pos="8931"/>
        </w:tabs>
      </w:pPr>
      <w:r w:rsidRPr="00225D10">
        <w:t xml:space="preserve">Current local government planning strategies are taken as given. The </w:t>
      </w:r>
      <w:r w:rsidR="00C92845">
        <w:t>p</w:t>
      </w:r>
      <w:r w:rsidRPr="00225D10">
        <w:t>lan will not seek to change the directions contained in these</w:t>
      </w:r>
      <w:r w:rsidR="00C92845">
        <w:t>.</w:t>
      </w:r>
    </w:p>
    <w:p w:rsidR="00200DF9" w:rsidRDefault="00B06913" w:rsidP="00D34F87">
      <w:pPr>
        <w:pStyle w:val="ListParagraphSummary"/>
        <w:tabs>
          <w:tab w:val="left" w:pos="8931"/>
        </w:tabs>
      </w:pPr>
      <w:r w:rsidRPr="00225D10">
        <w:t>One</w:t>
      </w:r>
      <w:r w:rsidR="001E1F8A" w:rsidRPr="00225D10">
        <w:t xml:space="preserve"> job per household with no net increase in travel to Melbourne or outside the region</w:t>
      </w:r>
      <w:r w:rsidR="00242E43">
        <w:t>.</w:t>
      </w:r>
    </w:p>
    <w:p w:rsidR="00550ABB" w:rsidRPr="00225D10" w:rsidRDefault="00550ABB" w:rsidP="00D34F87">
      <w:pPr>
        <w:pStyle w:val="Heading4"/>
        <w:tabs>
          <w:tab w:val="left" w:pos="8931"/>
        </w:tabs>
      </w:pPr>
      <w:r w:rsidRPr="00225D10">
        <w:t xml:space="preserve">Where does the </w:t>
      </w:r>
      <w:r w:rsidR="00997C90">
        <w:t>p</w:t>
      </w:r>
      <w:r w:rsidRPr="00225D10">
        <w:t xml:space="preserve">lan fit? </w:t>
      </w:r>
    </w:p>
    <w:p w:rsidR="00C5067B" w:rsidRDefault="003B6E58" w:rsidP="00D34F87">
      <w:pPr>
        <w:pStyle w:val="bt"/>
        <w:tabs>
          <w:tab w:val="left" w:pos="8931"/>
        </w:tabs>
      </w:pPr>
      <w:r w:rsidRPr="00225D10">
        <w:t xml:space="preserve">The </w:t>
      </w:r>
      <w:r w:rsidR="00C92845">
        <w:t>p</w:t>
      </w:r>
      <w:r w:rsidRPr="00225D10">
        <w:t xml:space="preserve">lan </w:t>
      </w:r>
      <w:r w:rsidR="00C5461A" w:rsidRPr="00225D10">
        <w:t>is</w:t>
      </w:r>
      <w:r w:rsidRPr="00225D10">
        <w:t xml:space="preserve"> consistent with </w:t>
      </w:r>
      <w:r w:rsidR="007C5534">
        <w:t>state government</w:t>
      </w:r>
      <w:r w:rsidRPr="00225D10">
        <w:t xml:space="preserve"> </w:t>
      </w:r>
      <w:r w:rsidR="007C5534">
        <w:t>p</w:t>
      </w:r>
      <w:r w:rsidRPr="00225D10">
        <w:t xml:space="preserve">olicy, particularly the State Planning Policy Framework. </w:t>
      </w:r>
      <w:r w:rsidR="00BA1ED6">
        <w:t>Regional</w:t>
      </w:r>
      <w:r w:rsidR="007C5534">
        <w:t xml:space="preserve"> growth plan</w:t>
      </w:r>
      <w:r w:rsidR="00B5345F" w:rsidRPr="00225D10">
        <w:t>s will integrate with the</w:t>
      </w:r>
      <w:r w:rsidR="00F025A6">
        <w:t xml:space="preserve"> new</w:t>
      </w:r>
      <w:r w:rsidR="00B5345F" w:rsidRPr="00225D10">
        <w:t xml:space="preserve"> </w:t>
      </w:r>
      <w:r w:rsidR="00653CEA">
        <w:t>m</w:t>
      </w:r>
      <w:r w:rsidR="00B5345F" w:rsidRPr="00225D10">
        <w:t xml:space="preserve">etropolitan </w:t>
      </w:r>
      <w:r w:rsidR="00653CEA">
        <w:t>p</w:t>
      </w:r>
      <w:r w:rsidR="00B5345F" w:rsidRPr="00225D10">
        <w:t xml:space="preserve">lanning </w:t>
      </w:r>
      <w:r w:rsidR="00653CEA">
        <w:t>s</w:t>
      </w:r>
      <w:r w:rsidR="00B5345F" w:rsidRPr="00225D10">
        <w:t>trategy</w:t>
      </w:r>
      <w:r w:rsidR="00653CEA">
        <w:t xml:space="preserve">, </w:t>
      </w:r>
      <w:r w:rsidR="00647515" w:rsidRPr="00647515">
        <w:rPr>
          <w:i/>
        </w:rPr>
        <w:t>Plan Melbourne</w:t>
      </w:r>
      <w:r w:rsidR="00B5345F" w:rsidRPr="00225D10">
        <w:t xml:space="preserve"> and the </w:t>
      </w:r>
      <w:r w:rsidR="007C5534">
        <w:t>g</w:t>
      </w:r>
      <w:r w:rsidR="007C5534" w:rsidRPr="00225D10">
        <w:t xml:space="preserve">overnment’s </w:t>
      </w:r>
      <w:proofErr w:type="gramStart"/>
      <w:r w:rsidR="00B5345F" w:rsidRPr="00225D10">
        <w:t>Regional Cities</w:t>
      </w:r>
      <w:proofErr w:type="gramEnd"/>
      <w:r w:rsidR="00B5345F" w:rsidRPr="00225D10">
        <w:t xml:space="preserve"> agenda, as well as </w:t>
      </w:r>
      <w:r w:rsidR="00B5345F">
        <w:t>planning for Melbourne's peri-urban area (the area within 100km of Melbourne)</w:t>
      </w:r>
      <w:r w:rsidR="00B5345F" w:rsidRPr="00225D10">
        <w:t xml:space="preserve">. </w:t>
      </w:r>
      <w:r w:rsidR="00B06913" w:rsidRPr="00225D10">
        <w:t>Some r</w:t>
      </w:r>
      <w:r w:rsidRPr="00225D10">
        <w:t xml:space="preserve">egional </w:t>
      </w:r>
      <w:r w:rsidR="00B06913" w:rsidRPr="00225D10">
        <w:t>c</w:t>
      </w:r>
      <w:r w:rsidRPr="00225D10">
        <w:t>ities and</w:t>
      </w:r>
      <w:r w:rsidR="007C5534">
        <w:t xml:space="preserve"> the</w:t>
      </w:r>
      <w:r w:rsidRPr="00225D10">
        <w:t xml:space="preserve"> peri-urban region may be influenced by the growth of metropolitan Melbourne. </w:t>
      </w:r>
    </w:p>
    <w:p w:rsidR="008818CB" w:rsidRPr="00225D10" w:rsidRDefault="003B6E58" w:rsidP="00D34F87">
      <w:pPr>
        <w:pStyle w:val="bt"/>
        <w:tabs>
          <w:tab w:val="left" w:pos="8931"/>
        </w:tabs>
      </w:pPr>
      <w:r w:rsidRPr="00225D10">
        <w:t xml:space="preserve">The </w:t>
      </w:r>
      <w:r w:rsidR="00C92845">
        <w:t>p</w:t>
      </w:r>
      <w:r w:rsidRPr="00225D10">
        <w:t xml:space="preserve">lan provides a regional view of land use planning and growth. </w:t>
      </w:r>
      <w:r w:rsidR="005876DC" w:rsidRPr="00225D10">
        <w:t xml:space="preserve">It </w:t>
      </w:r>
      <w:r w:rsidR="00B06913" w:rsidRPr="00225D10">
        <w:t xml:space="preserve">also </w:t>
      </w:r>
      <w:r w:rsidR="005876DC" w:rsidRPr="00225D10">
        <w:t xml:space="preserve">provides a link between </w:t>
      </w:r>
      <w:r w:rsidR="001E6C39">
        <w:t>statewide and local policy</w:t>
      </w:r>
      <w:r w:rsidR="001D1EFE">
        <w:t xml:space="preserve"> (refer to Figure 2)</w:t>
      </w:r>
      <w:r w:rsidR="001E6C39">
        <w:t>.</w:t>
      </w:r>
    </w:p>
    <w:p w:rsidR="00B21B2A" w:rsidRDefault="00C5067B" w:rsidP="00D34F87">
      <w:pPr>
        <w:pStyle w:val="Caption"/>
        <w:tabs>
          <w:tab w:val="left" w:pos="8931"/>
        </w:tabs>
        <w:spacing w:after="120"/>
      </w:pPr>
      <w:bookmarkStart w:id="19" w:name="_Toc352166547"/>
      <w:bookmarkStart w:id="20" w:name="_Toc352171528"/>
      <w:bookmarkStart w:id="21" w:name="_Toc374530797"/>
      <w:r>
        <w:t xml:space="preserve">Figure </w:t>
      </w:r>
      <w:r w:rsidR="00680EEE">
        <w:fldChar w:fldCharType="begin"/>
      </w:r>
      <w:r w:rsidR="00680EEE">
        <w:instrText xml:space="preserve"> SEQ Figure \* ARABIC </w:instrText>
      </w:r>
      <w:r w:rsidR="00680EEE">
        <w:fldChar w:fldCharType="separate"/>
      </w:r>
      <w:r w:rsidR="00EF1401">
        <w:rPr>
          <w:noProof/>
        </w:rPr>
        <w:t>2</w:t>
      </w:r>
      <w:r w:rsidR="00680EEE">
        <w:rPr>
          <w:noProof/>
        </w:rPr>
        <w:fldChar w:fldCharType="end"/>
      </w:r>
      <w:r w:rsidR="00377F5C">
        <w:t xml:space="preserve">: </w:t>
      </w:r>
      <w:r w:rsidRPr="002B4D42">
        <w:t>Hierarchy of plans</w:t>
      </w:r>
      <w:bookmarkEnd w:id="19"/>
      <w:bookmarkEnd w:id="20"/>
      <w:bookmarkEnd w:id="21"/>
    </w:p>
    <w:p w:rsidR="00C5663E" w:rsidRPr="00C5663E" w:rsidRDefault="00C5663E" w:rsidP="00C5663E">
      <w:pPr>
        <w:pStyle w:val="bt"/>
        <w:rPr>
          <w:b/>
          <w:szCs w:val="20"/>
        </w:rPr>
      </w:pPr>
      <w:r w:rsidRPr="00C5663E">
        <w:rPr>
          <w:b/>
          <w:szCs w:val="20"/>
        </w:rPr>
        <w:t>Regional planning</w:t>
      </w:r>
    </w:p>
    <w:p w:rsidR="00C5663E" w:rsidRPr="00C5663E" w:rsidRDefault="00C5663E" w:rsidP="00BA2D96">
      <w:pPr>
        <w:pStyle w:val="ListParagraph"/>
        <w:numPr>
          <w:ilvl w:val="0"/>
          <w:numId w:val="23"/>
        </w:numPr>
        <w:tabs>
          <w:tab w:val="left" w:pos="8931"/>
        </w:tabs>
        <w:rPr>
          <w:b/>
          <w:szCs w:val="20"/>
        </w:rPr>
      </w:pPr>
      <w:r w:rsidRPr="00C5663E">
        <w:rPr>
          <w:b/>
          <w:szCs w:val="20"/>
        </w:rPr>
        <w:t>Regional Strategic Plans</w:t>
      </w:r>
      <w:r>
        <w:rPr>
          <w:b/>
          <w:szCs w:val="20"/>
        </w:rPr>
        <w:br/>
      </w:r>
      <w:r w:rsidRPr="00C5663E">
        <w:t>Shorter to medium term priorities and directions for regions</w:t>
      </w:r>
    </w:p>
    <w:p w:rsidR="00C5663E" w:rsidRPr="00C5663E" w:rsidRDefault="00C5663E" w:rsidP="00BA2D96">
      <w:pPr>
        <w:pStyle w:val="ListParagraph"/>
        <w:numPr>
          <w:ilvl w:val="0"/>
          <w:numId w:val="23"/>
        </w:numPr>
        <w:tabs>
          <w:tab w:val="left" w:pos="8931"/>
        </w:tabs>
        <w:rPr>
          <w:b/>
          <w:szCs w:val="20"/>
        </w:rPr>
      </w:pPr>
      <w:r w:rsidRPr="00C5663E">
        <w:rPr>
          <w:b/>
          <w:szCs w:val="20"/>
        </w:rPr>
        <w:t>Regional Growth Plans</w:t>
      </w:r>
      <w:r>
        <w:rPr>
          <w:b/>
          <w:szCs w:val="20"/>
        </w:rPr>
        <w:br/>
      </w:r>
      <w:r w:rsidRPr="00C5663E">
        <w:t>Long-term strategic direction for land use planning for regions</w:t>
      </w:r>
    </w:p>
    <w:p w:rsidR="00C5663E" w:rsidRPr="00C5663E" w:rsidRDefault="00C5663E" w:rsidP="00C5663E">
      <w:pPr>
        <w:pStyle w:val="bt"/>
        <w:rPr>
          <w:b/>
          <w:szCs w:val="20"/>
        </w:rPr>
      </w:pPr>
      <w:r w:rsidRPr="00C5663E">
        <w:rPr>
          <w:b/>
          <w:szCs w:val="20"/>
        </w:rPr>
        <w:t>Local planning</w:t>
      </w:r>
    </w:p>
    <w:p w:rsidR="00C5663E" w:rsidRPr="00C5663E" w:rsidRDefault="00C5663E" w:rsidP="00BA2D96">
      <w:pPr>
        <w:pStyle w:val="ListParagraph"/>
        <w:numPr>
          <w:ilvl w:val="0"/>
          <w:numId w:val="24"/>
        </w:numPr>
        <w:tabs>
          <w:tab w:val="left" w:pos="8931"/>
        </w:tabs>
        <w:rPr>
          <w:b/>
          <w:szCs w:val="20"/>
        </w:rPr>
      </w:pPr>
      <w:r w:rsidRPr="00C5663E">
        <w:rPr>
          <w:b/>
          <w:szCs w:val="20"/>
        </w:rPr>
        <w:t>Council Plans</w:t>
      </w:r>
      <w:r>
        <w:rPr>
          <w:b/>
          <w:szCs w:val="20"/>
        </w:rPr>
        <w:br/>
      </w:r>
      <w:r w:rsidRPr="00C5663E">
        <w:t>Shorter to medium term priorities and actions for councils</w:t>
      </w:r>
    </w:p>
    <w:p w:rsidR="001E55B0" w:rsidRPr="00C5663E" w:rsidRDefault="00C5663E" w:rsidP="00BA2D96">
      <w:pPr>
        <w:pStyle w:val="ListParagraph"/>
        <w:numPr>
          <w:ilvl w:val="0"/>
          <w:numId w:val="24"/>
        </w:numPr>
        <w:tabs>
          <w:tab w:val="left" w:pos="8931"/>
        </w:tabs>
        <w:rPr>
          <w:b/>
          <w:szCs w:val="20"/>
        </w:rPr>
      </w:pPr>
      <w:r w:rsidRPr="00C5663E">
        <w:rPr>
          <w:b/>
          <w:szCs w:val="20"/>
        </w:rPr>
        <w:t>Municipal Strategic Statements</w:t>
      </w:r>
      <w:r>
        <w:rPr>
          <w:b/>
          <w:szCs w:val="20"/>
        </w:rPr>
        <w:br/>
      </w:r>
      <w:r w:rsidRPr="00C5663E">
        <w:t>Long-term strategic direction for land use planning for councils</w:t>
      </w:r>
    </w:p>
    <w:p w:rsidR="00EC6C49" w:rsidRDefault="00D71B33">
      <w:pPr>
        <w:pStyle w:val="bt"/>
        <w:tabs>
          <w:tab w:val="left" w:pos="8931"/>
        </w:tabs>
      </w:pPr>
      <w:r w:rsidRPr="003A58CF">
        <w:t>A Localised Planning Statement is being prepared for the Macedon Ranges to provide the basis for state recognition of the valued attributes of the area. This regional growth plan will provide broad strategic direction for land use in the Macedon Ranges Shire. The Localised Planning Statement will provide the basis for greater recognition and protection for the area and supplement the more general state level strategies and policies</w:t>
      </w:r>
      <w:r>
        <w:t>.</w:t>
      </w:r>
    </w:p>
    <w:p w:rsidR="00057E27" w:rsidRPr="00663F7F" w:rsidRDefault="00057E27" w:rsidP="00D34F87">
      <w:pPr>
        <w:pStyle w:val="Heading1"/>
        <w:tabs>
          <w:tab w:val="left" w:pos="8931"/>
        </w:tabs>
      </w:pPr>
      <w:bookmarkStart w:id="22" w:name="_Toc374530848"/>
      <w:r w:rsidRPr="00663F7F">
        <w:lastRenderedPageBreak/>
        <w:t xml:space="preserve">Background </w:t>
      </w:r>
      <w:r w:rsidR="00C137BD" w:rsidRPr="00663F7F">
        <w:t>i</w:t>
      </w:r>
      <w:r w:rsidRPr="00663F7F">
        <w:t>nformation</w:t>
      </w:r>
      <w:bookmarkEnd w:id="22"/>
      <w:r w:rsidRPr="00663F7F">
        <w:t xml:space="preserve"> </w:t>
      </w:r>
    </w:p>
    <w:p w:rsidR="00057E27" w:rsidRPr="00663F7F" w:rsidRDefault="00B934F3" w:rsidP="00D34F87">
      <w:pPr>
        <w:pStyle w:val="Heading2"/>
        <w:tabs>
          <w:tab w:val="left" w:pos="8931"/>
        </w:tabs>
        <w:rPr>
          <w:rFonts w:cs="Arial"/>
        </w:rPr>
      </w:pPr>
      <w:bookmarkStart w:id="23" w:name="_Toc374530849"/>
      <w:r w:rsidRPr="00663F7F">
        <w:rPr>
          <w:rFonts w:cs="Arial"/>
        </w:rPr>
        <w:t xml:space="preserve">Overview of the </w:t>
      </w:r>
      <w:r w:rsidR="00061CEF" w:rsidRPr="00663F7F">
        <w:rPr>
          <w:rFonts w:cs="Arial"/>
        </w:rPr>
        <w:t xml:space="preserve">Southern Loddon </w:t>
      </w:r>
      <w:r w:rsidR="00AA2969" w:rsidRPr="00663F7F">
        <w:rPr>
          <w:rFonts w:cs="Arial"/>
        </w:rPr>
        <w:t xml:space="preserve">Mallee </w:t>
      </w:r>
      <w:r w:rsidRPr="00663F7F">
        <w:rPr>
          <w:rFonts w:cs="Arial"/>
        </w:rPr>
        <w:t xml:space="preserve">Regional Strategic Plan </w:t>
      </w:r>
      <w:r w:rsidR="00AA2969" w:rsidRPr="00663F7F">
        <w:rPr>
          <w:rFonts w:cs="Arial"/>
        </w:rPr>
        <w:t>2010</w:t>
      </w:r>
      <w:bookmarkEnd w:id="23"/>
    </w:p>
    <w:p w:rsidR="00A91D0D" w:rsidRPr="00225D10" w:rsidRDefault="00A91D0D" w:rsidP="00D34F87">
      <w:pPr>
        <w:pStyle w:val="bt"/>
        <w:tabs>
          <w:tab w:val="left" w:pos="8931"/>
        </w:tabs>
      </w:pPr>
      <w:r w:rsidRPr="00225D10">
        <w:t>The Southern Loddon</w:t>
      </w:r>
      <w:r w:rsidR="00550ABB" w:rsidRPr="00225D10">
        <w:t xml:space="preserve"> Mallee Regional Strategic Plan </w:t>
      </w:r>
      <w:r w:rsidR="00061CEF" w:rsidRPr="00225D10">
        <w:t>2010</w:t>
      </w:r>
      <w:r w:rsidRPr="00225D10">
        <w:t xml:space="preserve"> </w:t>
      </w:r>
      <w:r w:rsidR="00894B31">
        <w:t xml:space="preserve">(the Regional Strategic Plan 2010) </w:t>
      </w:r>
      <w:r w:rsidRPr="00225D10">
        <w:t xml:space="preserve">addresses the challenges and opportunities </w:t>
      </w:r>
      <w:r w:rsidR="00061CEF" w:rsidRPr="00225D10">
        <w:t xml:space="preserve">facing </w:t>
      </w:r>
      <w:r w:rsidRPr="00225D10">
        <w:t>the region over the next 10</w:t>
      </w:r>
      <w:r w:rsidR="00061CEF" w:rsidRPr="00225D10">
        <w:t xml:space="preserve"> to </w:t>
      </w:r>
      <w:r w:rsidRPr="00225D10">
        <w:t xml:space="preserve">15 years. </w:t>
      </w:r>
      <w:r w:rsidR="00061CEF" w:rsidRPr="00225D10">
        <w:t xml:space="preserve">Released </w:t>
      </w:r>
      <w:r w:rsidRPr="00225D10">
        <w:t xml:space="preserve">in 2010, it presents a framework for the region to manage future growth and change in a way that strengthens </w:t>
      </w:r>
      <w:r w:rsidR="00061CEF" w:rsidRPr="00225D10">
        <w:t xml:space="preserve">its </w:t>
      </w:r>
      <w:r w:rsidRPr="00225D10">
        <w:t xml:space="preserve">economy, helps people thrive and protects </w:t>
      </w:r>
      <w:r w:rsidR="00061CEF" w:rsidRPr="00225D10">
        <w:t xml:space="preserve">the region’s </w:t>
      </w:r>
      <w:r w:rsidRPr="00225D10">
        <w:t>rich natural and cultural heritage.</w:t>
      </w:r>
    </w:p>
    <w:p w:rsidR="00A91D0D" w:rsidRPr="00225D10" w:rsidRDefault="00A91D0D" w:rsidP="00D34F87">
      <w:pPr>
        <w:pStyle w:val="bt"/>
        <w:tabs>
          <w:tab w:val="left" w:pos="8931"/>
        </w:tabs>
      </w:pPr>
      <w:r w:rsidRPr="00225D10">
        <w:t xml:space="preserve">Developed collaboratively, the </w:t>
      </w:r>
      <w:r w:rsidR="007C5534">
        <w:t>Regional Strategic Plan 2010</w:t>
      </w:r>
      <w:r w:rsidR="00061CEF" w:rsidRPr="00225D10">
        <w:t xml:space="preserve"> </w:t>
      </w:r>
      <w:r w:rsidRPr="00225D10">
        <w:t xml:space="preserve">has the support of key local industries and community organisations, and has been endorsed by the </w:t>
      </w:r>
      <w:r w:rsidR="00003200" w:rsidRPr="00225D10">
        <w:t>region</w:t>
      </w:r>
      <w:r w:rsidRPr="00225D10">
        <w:t xml:space="preserve">’s local councils, the Loddon Mallee Regional Management Forum and the Regional Development Australia Committee.  </w:t>
      </w:r>
    </w:p>
    <w:p w:rsidR="00A91D0D" w:rsidRPr="00225D10" w:rsidRDefault="00A91D0D" w:rsidP="00D34F87">
      <w:pPr>
        <w:pStyle w:val="bt"/>
        <w:tabs>
          <w:tab w:val="left" w:pos="8931"/>
        </w:tabs>
      </w:pPr>
      <w:r w:rsidRPr="00225D10">
        <w:t xml:space="preserve">The </w:t>
      </w:r>
      <w:r w:rsidR="007C5534">
        <w:t>Regional Strategic Plan 2010</w:t>
      </w:r>
      <w:r w:rsidR="00061CEF" w:rsidRPr="00225D10">
        <w:t xml:space="preserve"> </w:t>
      </w:r>
      <w:r w:rsidRPr="00225D10">
        <w:t>establishe</w:t>
      </w:r>
      <w:r w:rsidR="00061CEF" w:rsidRPr="00225D10">
        <w:t>s</w:t>
      </w:r>
      <w:r w:rsidRPr="00225D10">
        <w:t xml:space="preserve"> an agreed vision for the region. It is supported by six strategic directions underpinned by agreed priority actions and key initiatives.</w:t>
      </w:r>
    </w:p>
    <w:p w:rsidR="00B934F3" w:rsidRPr="00225D10" w:rsidRDefault="00B934F3" w:rsidP="00D34F87">
      <w:pPr>
        <w:pStyle w:val="Heading4"/>
        <w:tabs>
          <w:tab w:val="left" w:pos="8931"/>
        </w:tabs>
      </w:pPr>
      <w:r w:rsidRPr="00225D10">
        <w:t>Vision</w:t>
      </w:r>
    </w:p>
    <w:p w:rsidR="007C5534" w:rsidRDefault="007C5534" w:rsidP="00D34F87">
      <w:pPr>
        <w:pStyle w:val="bt"/>
        <w:tabs>
          <w:tab w:val="left" w:pos="8931"/>
        </w:tabs>
      </w:pPr>
      <w:r>
        <w:t>The Regional Strategic Plan 2010 identifies the following vision for the region:</w:t>
      </w:r>
    </w:p>
    <w:p w:rsidR="00A91D0D" w:rsidRPr="00AE1327" w:rsidRDefault="00AE690A" w:rsidP="00D34F87">
      <w:pPr>
        <w:pStyle w:val="bt"/>
        <w:tabs>
          <w:tab w:val="left" w:pos="8931"/>
        </w:tabs>
        <w:rPr>
          <w:i/>
        </w:rPr>
      </w:pPr>
      <w:r w:rsidRPr="00AE1327">
        <w:rPr>
          <w:i/>
        </w:rPr>
        <w:t>Our communities will continue to enjoy regional liveability with urban accessibility. We will be a region with vibrant, innovative, sustainable and connected communities offering a diversity of lifestyles, building on our heritage and natural environment. Over the next 10 to 20 years, this Strategic Plan will assist us to build a region that has:</w:t>
      </w:r>
    </w:p>
    <w:tbl>
      <w:tblPr>
        <w:tblW w:w="10037" w:type="dxa"/>
        <w:tblInd w:w="108" w:type="dxa"/>
        <w:tblBorders>
          <w:insideV w:val="single" w:sz="36" w:space="0" w:color="FFFFFF" w:themeColor="background1"/>
        </w:tblBorders>
        <w:shd w:val="clear" w:color="auto" w:fill="E7CF66"/>
        <w:tblLook w:val="04A0" w:firstRow="1" w:lastRow="0" w:firstColumn="1" w:lastColumn="0" w:noHBand="0" w:noVBand="1"/>
      </w:tblPr>
      <w:tblGrid>
        <w:gridCol w:w="2552"/>
        <w:gridCol w:w="2551"/>
        <w:gridCol w:w="2552"/>
        <w:gridCol w:w="2382"/>
      </w:tblGrid>
      <w:tr w:rsidR="00382236" w:rsidRPr="00225D10" w:rsidTr="00C5663E">
        <w:trPr>
          <w:cantSplit/>
          <w:trHeight w:val="3793"/>
        </w:trPr>
        <w:tc>
          <w:tcPr>
            <w:tcW w:w="2552" w:type="dxa"/>
            <w:shd w:val="clear" w:color="auto" w:fill="F5EEC3"/>
          </w:tcPr>
          <w:p w:rsidR="00382236" w:rsidRPr="00225D10" w:rsidRDefault="00382236" w:rsidP="00D34F87">
            <w:pPr>
              <w:tabs>
                <w:tab w:val="left" w:pos="8931"/>
              </w:tabs>
              <w:rPr>
                <w:lang w:eastAsia="en-US"/>
              </w:rPr>
            </w:pPr>
            <w:r w:rsidRPr="00225D10">
              <w:rPr>
                <w:b/>
                <w:lang w:eastAsia="en-US"/>
              </w:rPr>
              <w:t>Prosperous places</w:t>
            </w:r>
            <w:r w:rsidRPr="00225D10">
              <w:rPr>
                <w:lang w:eastAsia="en-US"/>
              </w:rPr>
              <w:t xml:space="preserve"> – our region’s towns and settlements, and the people within them, will form a network and continue to share in the region’s vibrancy, diversity and opportunity. They will retain great access to services and infrastructure in Bendigo and Melbourne.</w:t>
            </w:r>
          </w:p>
        </w:tc>
        <w:tc>
          <w:tcPr>
            <w:tcW w:w="2551" w:type="dxa"/>
            <w:shd w:val="clear" w:color="auto" w:fill="D9CC91"/>
          </w:tcPr>
          <w:p w:rsidR="00382236" w:rsidRPr="00225D10" w:rsidRDefault="00382236" w:rsidP="00877CB8">
            <w:pPr>
              <w:tabs>
                <w:tab w:val="left" w:pos="8931"/>
              </w:tabs>
              <w:rPr>
                <w:lang w:eastAsia="en-US"/>
              </w:rPr>
            </w:pPr>
            <w:r w:rsidRPr="00225D10">
              <w:rPr>
                <w:b/>
                <w:lang w:eastAsia="en-US"/>
              </w:rPr>
              <w:t>A vibrant provincial city</w:t>
            </w:r>
            <w:r w:rsidRPr="00225D10">
              <w:rPr>
                <w:lang w:eastAsia="en-US"/>
              </w:rPr>
              <w:t xml:space="preserve"> – the population of Greater Bendigo will grow towards 135,000 people. Arts, recreation and culture will thrive. The city will have quality infrastructure, educational opportunities, healthcare and other services.</w:t>
            </w:r>
          </w:p>
        </w:tc>
        <w:tc>
          <w:tcPr>
            <w:tcW w:w="2552" w:type="dxa"/>
            <w:shd w:val="clear" w:color="auto" w:fill="F5EEC3"/>
          </w:tcPr>
          <w:p w:rsidR="00382236" w:rsidRPr="00225D10" w:rsidRDefault="00382236" w:rsidP="00D34F87">
            <w:pPr>
              <w:tabs>
                <w:tab w:val="left" w:pos="8931"/>
              </w:tabs>
              <w:rPr>
                <w:lang w:eastAsia="en-US"/>
              </w:rPr>
            </w:pPr>
            <w:r w:rsidRPr="00225D10">
              <w:rPr>
                <w:b/>
                <w:lang w:eastAsia="en-US"/>
              </w:rPr>
              <w:t>A thriving, diverse economy</w:t>
            </w:r>
            <w:r w:rsidRPr="00225D10">
              <w:rPr>
                <w:lang w:eastAsia="en-US"/>
              </w:rPr>
              <w:t xml:space="preserve"> – our region will continue to attract new investment and a diverse range of jobs, building on the region’s competitive advantages. Health, education, construction, retail, tourism, agriculture and renewable energy all provide opportunities for the region. Manufacturing will continue to prosper through investment in innovation.</w:t>
            </w:r>
          </w:p>
        </w:tc>
        <w:tc>
          <w:tcPr>
            <w:tcW w:w="2382" w:type="dxa"/>
            <w:shd w:val="clear" w:color="auto" w:fill="D9CC91"/>
          </w:tcPr>
          <w:p w:rsidR="00382236" w:rsidRPr="00225D10" w:rsidRDefault="00382236" w:rsidP="00D34F87">
            <w:pPr>
              <w:tabs>
                <w:tab w:val="left" w:pos="8931"/>
              </w:tabs>
              <w:rPr>
                <w:lang w:eastAsia="en-US"/>
              </w:rPr>
            </w:pPr>
            <w:r w:rsidRPr="00225D10">
              <w:rPr>
                <w:b/>
                <w:bCs/>
                <w:lang w:eastAsia="en-US"/>
              </w:rPr>
              <w:t>Enhanced natural and cultural heritage</w:t>
            </w:r>
            <w:r w:rsidRPr="00225D10">
              <w:t xml:space="preserve"> </w:t>
            </w:r>
            <w:r w:rsidRPr="00225D10">
              <w:rPr>
                <w:lang w:eastAsia="en-US"/>
              </w:rPr>
              <w:t>– our natural, Indigenous and goldfields heritage is widely appreciated and protected. The forests of the Great Dividing Range and the goldfields interconnect and will provide linkages to the Murray River.</w:t>
            </w:r>
          </w:p>
        </w:tc>
      </w:tr>
    </w:tbl>
    <w:p w:rsidR="00A91D0D" w:rsidRPr="00225D10" w:rsidRDefault="000524AD" w:rsidP="00D34F87">
      <w:pPr>
        <w:pStyle w:val="Heading4"/>
        <w:tabs>
          <w:tab w:val="left" w:pos="8931"/>
        </w:tabs>
      </w:pPr>
      <w:r w:rsidRPr="00225D10">
        <w:t xml:space="preserve">Strategic </w:t>
      </w:r>
      <w:r w:rsidR="00721D9D" w:rsidRPr="00225D10">
        <w:t>d</w:t>
      </w:r>
      <w:r w:rsidRPr="00225D10">
        <w:t>irections</w:t>
      </w:r>
    </w:p>
    <w:p w:rsidR="00A91D0D" w:rsidRPr="00225D10" w:rsidRDefault="00A91D0D" w:rsidP="00D34F87">
      <w:pPr>
        <w:pStyle w:val="bt"/>
        <w:tabs>
          <w:tab w:val="left" w:pos="8931"/>
        </w:tabs>
      </w:pPr>
      <w:r w:rsidRPr="00225D10">
        <w:t>Six strategic directions were identified, with each strategic direction including agreed priority actions and key initiatives</w:t>
      </w:r>
      <w:r w:rsidR="00894B31">
        <w:t>:</w:t>
      </w:r>
    </w:p>
    <w:p w:rsidR="00A91D0D" w:rsidRPr="00225D10" w:rsidRDefault="00A91D0D" w:rsidP="00D34F87">
      <w:pPr>
        <w:pStyle w:val="ListNumber2"/>
        <w:tabs>
          <w:tab w:val="left" w:pos="8931"/>
        </w:tabs>
      </w:pPr>
      <w:r w:rsidRPr="00225D10">
        <w:t>Manage our population growth and settlements</w:t>
      </w:r>
    </w:p>
    <w:p w:rsidR="00A91D0D" w:rsidRPr="00225D10" w:rsidRDefault="00A91D0D" w:rsidP="00D34F87">
      <w:pPr>
        <w:pStyle w:val="ListNumber2"/>
        <w:tabs>
          <w:tab w:val="left" w:pos="8931"/>
        </w:tabs>
      </w:pPr>
      <w:r w:rsidRPr="00225D10">
        <w:t>Strengthen our communities, especially in our small towns</w:t>
      </w:r>
    </w:p>
    <w:p w:rsidR="00A91D0D" w:rsidRPr="00225D10" w:rsidRDefault="00A91D0D" w:rsidP="00D34F87">
      <w:pPr>
        <w:pStyle w:val="ListNumber2"/>
        <w:tabs>
          <w:tab w:val="left" w:pos="8931"/>
        </w:tabs>
      </w:pPr>
      <w:r w:rsidRPr="00225D10">
        <w:t>Strengthen and diversify our economy</w:t>
      </w:r>
    </w:p>
    <w:p w:rsidR="00A91D0D" w:rsidRPr="00225D10" w:rsidRDefault="00A91D0D" w:rsidP="00D34F87">
      <w:pPr>
        <w:pStyle w:val="ListNumber2"/>
        <w:tabs>
          <w:tab w:val="left" w:pos="8931"/>
        </w:tabs>
      </w:pPr>
      <w:r w:rsidRPr="00225D10">
        <w:t>Improve our infrastructure</w:t>
      </w:r>
    </w:p>
    <w:p w:rsidR="00A91D0D" w:rsidRPr="00225D10" w:rsidRDefault="00A91D0D" w:rsidP="00D34F87">
      <w:pPr>
        <w:pStyle w:val="ListNumber2"/>
        <w:tabs>
          <w:tab w:val="left" w:pos="8931"/>
        </w:tabs>
      </w:pPr>
      <w:r w:rsidRPr="00225D10">
        <w:t>Improve education and training outcomes</w:t>
      </w:r>
    </w:p>
    <w:p w:rsidR="00721D9D" w:rsidRPr="00225D10" w:rsidRDefault="00A91D0D" w:rsidP="00D34F87">
      <w:pPr>
        <w:pStyle w:val="ListNumber2"/>
        <w:tabs>
          <w:tab w:val="left" w:pos="8931"/>
        </w:tabs>
      </w:pPr>
      <w:r w:rsidRPr="00225D10">
        <w:t>Protect and enhance our natural environment</w:t>
      </w:r>
    </w:p>
    <w:p w:rsidR="007D3F64" w:rsidRPr="00225D10" w:rsidRDefault="00CD149E" w:rsidP="00D34F87">
      <w:pPr>
        <w:pStyle w:val="bt"/>
        <w:tabs>
          <w:tab w:val="left" w:pos="8931"/>
        </w:tabs>
      </w:pPr>
      <w:r w:rsidRPr="00225D10">
        <w:t>The Regional Strategic Plan Annual Report 2011</w:t>
      </w:r>
      <w:r w:rsidR="00721D9D" w:rsidRPr="00225D10">
        <w:t>–</w:t>
      </w:r>
      <w:r w:rsidRPr="00225D10">
        <w:t xml:space="preserve">12 reports on the progress of initiatives put in place by agencies, local government and communities across the region. These documents can be found at </w:t>
      </w:r>
      <w:hyperlink r:id="rId15" w:history="1">
        <w:r w:rsidR="008D37E7" w:rsidRPr="00B64582">
          <w:rPr>
            <w:rStyle w:val="Hyperlink"/>
          </w:rPr>
          <w:t>http://www.rdv.vic.gov.au/victorian-regions/loddon-mallee/loddon-mallee-south</w:t>
        </w:r>
      </w:hyperlink>
      <w:r w:rsidR="008D37E7" w:rsidRPr="00B64582">
        <w:t>.</w:t>
      </w:r>
    </w:p>
    <w:p w:rsidR="00B934F3" w:rsidRPr="00225D10" w:rsidRDefault="00B934F3" w:rsidP="00D34F87">
      <w:pPr>
        <w:pStyle w:val="Heading4"/>
        <w:tabs>
          <w:tab w:val="left" w:pos="8931"/>
        </w:tabs>
      </w:pPr>
      <w:r w:rsidRPr="00225D10">
        <w:lastRenderedPageBreak/>
        <w:t>Implications for the</w:t>
      </w:r>
      <w:r w:rsidR="007C5534">
        <w:t xml:space="preserve"> regional growth</w:t>
      </w:r>
      <w:r w:rsidRPr="00225D10">
        <w:t xml:space="preserve"> </w:t>
      </w:r>
      <w:r w:rsidR="00C92845">
        <w:t>p</w:t>
      </w:r>
      <w:r w:rsidR="000524AD" w:rsidRPr="00225D10">
        <w:t>lan</w:t>
      </w:r>
    </w:p>
    <w:p w:rsidR="00A91D0D" w:rsidRPr="00225D10" w:rsidRDefault="00A91D0D" w:rsidP="00D34F87">
      <w:pPr>
        <w:pStyle w:val="bt"/>
        <w:tabs>
          <w:tab w:val="left" w:pos="8931"/>
        </w:tabs>
      </w:pPr>
      <w:r w:rsidRPr="00225D10">
        <w:t>The Loddon Mallee South Regional Growth Plan</w:t>
      </w:r>
      <w:r w:rsidR="002A4F41" w:rsidRPr="00225D10">
        <w:t xml:space="preserve"> </w:t>
      </w:r>
      <w:r w:rsidRPr="00225D10">
        <w:t xml:space="preserve">will provide the means to implement the strategic land use and infrastructure components of the </w:t>
      </w:r>
      <w:r w:rsidR="007C5534">
        <w:t>Regional Strategic Plan 2010</w:t>
      </w:r>
      <w:r w:rsidRPr="00225D10">
        <w:t>. It will do this by</w:t>
      </w:r>
      <w:r w:rsidR="00CA15D4" w:rsidRPr="00225D10">
        <w:t>:</w:t>
      </w:r>
      <w:r w:rsidRPr="00225D10">
        <w:t xml:space="preserve"> </w:t>
      </w:r>
    </w:p>
    <w:p w:rsidR="00A91D0D" w:rsidRPr="00225D10" w:rsidRDefault="00A91D0D" w:rsidP="00D34F87">
      <w:pPr>
        <w:pStyle w:val="ListParagraphSummary"/>
        <w:tabs>
          <w:tab w:val="left" w:pos="8931"/>
        </w:tabs>
      </w:pPr>
      <w:r w:rsidRPr="00225D10">
        <w:t>providing broad direction for regional land use and development including detailed planning frameworks for key regional centres</w:t>
      </w:r>
    </w:p>
    <w:p w:rsidR="00A91D0D" w:rsidRPr="00225D10" w:rsidRDefault="00A91D0D" w:rsidP="00D34F87">
      <w:pPr>
        <w:pStyle w:val="ListParagraphSummary"/>
        <w:tabs>
          <w:tab w:val="left" w:pos="8931"/>
        </w:tabs>
      </w:pPr>
      <w:r w:rsidRPr="00225D10">
        <w:t>provid</w:t>
      </w:r>
      <w:r w:rsidR="00CA15D4" w:rsidRPr="00225D10">
        <w:t>ing</w:t>
      </w:r>
      <w:r w:rsidRPr="00225D10">
        <w:t xml:space="preserve"> direction </w:t>
      </w:r>
      <w:r w:rsidR="00CA15D4" w:rsidRPr="00225D10">
        <w:t xml:space="preserve">to </w:t>
      </w:r>
      <w:r w:rsidRPr="00225D10">
        <w:t>accommodat</w:t>
      </w:r>
      <w:r w:rsidR="00CA15D4" w:rsidRPr="00225D10">
        <w:t>e</w:t>
      </w:r>
      <w:r w:rsidRPr="00225D10">
        <w:t xml:space="preserve"> growth and change </w:t>
      </w:r>
      <w:r w:rsidR="00CA15D4" w:rsidRPr="00225D10">
        <w:t xml:space="preserve">in </w:t>
      </w:r>
      <w:r w:rsidRPr="00225D10">
        <w:t>residential, employment, industrial, commercial, agricultural and other rural activities</w:t>
      </w:r>
    </w:p>
    <w:p w:rsidR="00A91D0D" w:rsidRPr="00225D10" w:rsidRDefault="00A91D0D" w:rsidP="00D34F87">
      <w:pPr>
        <w:pStyle w:val="ListParagraphSummary"/>
        <w:tabs>
          <w:tab w:val="left" w:pos="8931"/>
        </w:tabs>
      </w:pPr>
      <w:r w:rsidRPr="00225D10">
        <w:t>identifying important economic, environmental, social and cultural resources to be preserved, maintained or developed</w:t>
      </w:r>
    </w:p>
    <w:p w:rsidR="00A91D0D" w:rsidRPr="00225D10" w:rsidRDefault="00A91D0D" w:rsidP="00D34F87">
      <w:pPr>
        <w:pStyle w:val="ListParagraphSummary"/>
        <w:tabs>
          <w:tab w:val="left" w:pos="8931"/>
        </w:tabs>
      </w:pPr>
      <w:r w:rsidRPr="00225D10">
        <w:t xml:space="preserve">broadly </w:t>
      </w:r>
      <w:r w:rsidR="00CA15D4" w:rsidRPr="00225D10">
        <w:t xml:space="preserve">mapping </w:t>
      </w:r>
      <w:r w:rsidRPr="00225D10">
        <w:t>which areas of land can accommodate growth and which are to be maintained, including consideration of the infrastructure needed to support growth or change</w:t>
      </w:r>
    </w:p>
    <w:p w:rsidR="00A91D0D" w:rsidRPr="00225D10" w:rsidRDefault="00A91D0D" w:rsidP="00D34F87">
      <w:pPr>
        <w:pStyle w:val="ListParagraphSummary"/>
        <w:tabs>
          <w:tab w:val="left" w:pos="8931"/>
        </w:tabs>
      </w:pPr>
      <w:proofErr w:type="gramStart"/>
      <w:r w:rsidRPr="00225D10">
        <w:t>helping</w:t>
      </w:r>
      <w:proofErr w:type="gramEnd"/>
      <w:r w:rsidRPr="00225D10">
        <w:t xml:space="preserve"> councils by streamlining planning policy as well as potentially reducing the amount of strategic work councils have to do.</w:t>
      </w:r>
    </w:p>
    <w:p w:rsidR="00A91D0D" w:rsidRPr="00225D10" w:rsidRDefault="00A91D0D" w:rsidP="00D34F87">
      <w:pPr>
        <w:pStyle w:val="bt"/>
        <w:tabs>
          <w:tab w:val="left" w:pos="8931"/>
        </w:tabs>
      </w:pPr>
      <w:r w:rsidRPr="00225D10">
        <w:t xml:space="preserve">Each of the </w:t>
      </w:r>
      <w:r w:rsidR="00CA15D4" w:rsidRPr="00225D10">
        <w:t xml:space="preserve">six directions of the </w:t>
      </w:r>
      <w:r w:rsidR="00D71B33">
        <w:t xml:space="preserve">Regional </w:t>
      </w:r>
      <w:r w:rsidR="007C5534">
        <w:t>Strategic Plan 2010</w:t>
      </w:r>
      <w:r w:rsidRPr="00225D10">
        <w:t xml:space="preserve"> have land use and infrastructure implications as outlined below</w:t>
      </w:r>
      <w:r w:rsidR="00CA15D4" w:rsidRPr="00225D10">
        <w:t>. These</w:t>
      </w:r>
      <w:r w:rsidRPr="00225D10">
        <w:t xml:space="preserve"> have been taken into consideration </w:t>
      </w:r>
      <w:r w:rsidR="00CA15D4" w:rsidRPr="00225D10">
        <w:t xml:space="preserve">when developing </w:t>
      </w:r>
      <w:r w:rsidRPr="00225D10">
        <w:t xml:space="preserve">the </w:t>
      </w:r>
      <w:r w:rsidR="00E47728">
        <w:t xml:space="preserve">regional growth </w:t>
      </w:r>
      <w:r w:rsidR="00C92845">
        <w:t>p</w:t>
      </w:r>
      <w:r w:rsidR="005D4DE2" w:rsidRPr="00225D10">
        <w:t>lan</w:t>
      </w:r>
      <w:r w:rsidRPr="00225D10">
        <w:t>.</w:t>
      </w:r>
    </w:p>
    <w:p w:rsidR="00A91D0D" w:rsidRPr="00AE1327" w:rsidRDefault="00A91D0D" w:rsidP="00D34F87">
      <w:pPr>
        <w:pStyle w:val="bt"/>
        <w:tabs>
          <w:tab w:val="left" w:pos="8931"/>
        </w:tabs>
        <w:rPr>
          <w:rStyle w:val="Strong"/>
        </w:rPr>
      </w:pPr>
      <w:r w:rsidRPr="00AE1327">
        <w:rPr>
          <w:rStyle w:val="Strong"/>
        </w:rPr>
        <w:t xml:space="preserve">Direction 1 </w:t>
      </w:r>
      <w:r w:rsidR="00CA15D4" w:rsidRPr="00AE1327">
        <w:rPr>
          <w:rStyle w:val="Strong"/>
        </w:rPr>
        <w:t xml:space="preserve">– </w:t>
      </w:r>
      <w:r w:rsidRPr="00AE1327">
        <w:rPr>
          <w:rStyle w:val="Strong"/>
        </w:rPr>
        <w:t>Manage our population growth and settlements</w:t>
      </w:r>
    </w:p>
    <w:p w:rsidR="00A91D0D" w:rsidRPr="00225D10" w:rsidRDefault="00A91D0D" w:rsidP="00D34F87">
      <w:pPr>
        <w:pStyle w:val="ListParagraphSummary"/>
        <w:tabs>
          <w:tab w:val="left" w:pos="8931"/>
        </w:tabs>
      </w:pPr>
      <w:r w:rsidRPr="00225D10">
        <w:t>Protect non-urban breaks.</w:t>
      </w:r>
    </w:p>
    <w:p w:rsidR="00A91D0D" w:rsidRPr="00225D10" w:rsidRDefault="00CA15D4" w:rsidP="00D34F87">
      <w:pPr>
        <w:pStyle w:val="ListParagraphSummary"/>
        <w:tabs>
          <w:tab w:val="left" w:pos="8931"/>
        </w:tabs>
      </w:pPr>
      <w:r w:rsidRPr="00225D10">
        <w:t>Undertake d</w:t>
      </w:r>
      <w:r w:rsidR="00A91D0D" w:rsidRPr="00225D10">
        <w:t>etailed capacity analysis and growth area planning for settlements to protect their unique identities.</w:t>
      </w:r>
    </w:p>
    <w:p w:rsidR="00A91D0D" w:rsidRPr="00225D10" w:rsidRDefault="00A91D0D" w:rsidP="00D34F87">
      <w:pPr>
        <w:pStyle w:val="ListParagraphSummary"/>
        <w:tabs>
          <w:tab w:val="left" w:pos="8931"/>
        </w:tabs>
      </w:pPr>
      <w:r w:rsidRPr="00225D10">
        <w:t>Maint</w:t>
      </w:r>
      <w:r w:rsidR="00CA15D4" w:rsidRPr="00225D10">
        <w:t xml:space="preserve">ain </w:t>
      </w:r>
      <w:r w:rsidRPr="00225D10">
        <w:t>a well-connected network of towns and settlements</w:t>
      </w:r>
      <w:r w:rsidR="00AF70AD" w:rsidRPr="00225D10">
        <w:t>,</w:t>
      </w:r>
      <w:r w:rsidRPr="00225D10">
        <w:t xml:space="preserve"> which are the focus of high-quality development, activity, employment and living.</w:t>
      </w:r>
    </w:p>
    <w:p w:rsidR="00A91D0D" w:rsidRPr="00225D10" w:rsidRDefault="00A91D0D" w:rsidP="00D34F87">
      <w:pPr>
        <w:pStyle w:val="ListParagraphSummary"/>
        <w:tabs>
          <w:tab w:val="left" w:pos="8931"/>
        </w:tabs>
      </w:pPr>
      <w:r w:rsidRPr="00225D10">
        <w:t>Concentrat</w:t>
      </w:r>
      <w:r w:rsidR="00AF70AD" w:rsidRPr="00225D10">
        <w:t>e</w:t>
      </w:r>
      <w:r w:rsidRPr="00225D10">
        <w:t xml:space="preserve"> new urban development in existing towns and settlements that can accommodate growth, whilst preserving township/regional character.</w:t>
      </w:r>
    </w:p>
    <w:p w:rsidR="00A91D0D" w:rsidRPr="00225D10" w:rsidRDefault="00A91D0D" w:rsidP="00D34F87">
      <w:pPr>
        <w:pStyle w:val="ListParagraphSummary"/>
        <w:tabs>
          <w:tab w:val="left" w:pos="8931"/>
        </w:tabs>
      </w:pPr>
      <w:r w:rsidRPr="00225D10">
        <w:t>Provi</w:t>
      </w:r>
      <w:r w:rsidR="00AF70AD" w:rsidRPr="00225D10">
        <w:t xml:space="preserve">de </w:t>
      </w:r>
      <w:r w:rsidRPr="00225D10">
        <w:t>a diverse range of housing options to meet the community’s needs.</w:t>
      </w:r>
    </w:p>
    <w:p w:rsidR="00A91D0D" w:rsidRPr="00225D10" w:rsidRDefault="00A91D0D" w:rsidP="00D34F87">
      <w:pPr>
        <w:pStyle w:val="ListParagraphSummary"/>
        <w:tabs>
          <w:tab w:val="left" w:pos="8931"/>
        </w:tabs>
      </w:pPr>
      <w:r w:rsidRPr="00225D10">
        <w:t xml:space="preserve">Develop physical infrastructure that keeps pace with growth. </w:t>
      </w:r>
    </w:p>
    <w:p w:rsidR="00A91D0D" w:rsidRPr="00AE1327" w:rsidRDefault="00A91D0D" w:rsidP="00D34F87">
      <w:pPr>
        <w:pStyle w:val="bt"/>
        <w:tabs>
          <w:tab w:val="left" w:pos="8931"/>
        </w:tabs>
        <w:rPr>
          <w:rStyle w:val="Strong"/>
        </w:rPr>
      </w:pPr>
      <w:r w:rsidRPr="00AE1327">
        <w:rPr>
          <w:rStyle w:val="Strong"/>
        </w:rPr>
        <w:t>Direction 2</w:t>
      </w:r>
      <w:r w:rsidR="00523C87" w:rsidRPr="00AE1327">
        <w:rPr>
          <w:rStyle w:val="Strong"/>
        </w:rPr>
        <w:t xml:space="preserve"> –</w:t>
      </w:r>
      <w:r w:rsidR="006C181D">
        <w:rPr>
          <w:rStyle w:val="Strong"/>
        </w:rPr>
        <w:t xml:space="preserve"> </w:t>
      </w:r>
      <w:r w:rsidRPr="00AE1327">
        <w:rPr>
          <w:rStyle w:val="Strong"/>
        </w:rPr>
        <w:t>Strengthen our communities, especially in our small towns</w:t>
      </w:r>
    </w:p>
    <w:p w:rsidR="00A91D0D" w:rsidRPr="00225D10" w:rsidRDefault="00A91D0D" w:rsidP="00D34F87">
      <w:pPr>
        <w:pStyle w:val="ListParagraphSummary"/>
        <w:tabs>
          <w:tab w:val="left" w:pos="8931"/>
        </w:tabs>
      </w:pPr>
      <w:r w:rsidRPr="00225D10">
        <w:t>Improv</w:t>
      </w:r>
      <w:r w:rsidR="00523C87" w:rsidRPr="00225D10">
        <w:t>e</w:t>
      </w:r>
      <w:r w:rsidRPr="00225D10">
        <w:t xml:space="preserve"> access to social services and community infrastructure through improved land use and infrastructure planning.</w:t>
      </w:r>
    </w:p>
    <w:p w:rsidR="00AE1327" w:rsidRDefault="00A91D0D" w:rsidP="00D34F87">
      <w:pPr>
        <w:pStyle w:val="ListParagraphSummary"/>
        <w:tabs>
          <w:tab w:val="left" w:pos="8931"/>
        </w:tabs>
      </w:pPr>
      <w:r w:rsidRPr="00225D10">
        <w:t>Build community connectedness and reduc</w:t>
      </w:r>
      <w:r w:rsidR="00523C87" w:rsidRPr="00225D10">
        <w:t>e</w:t>
      </w:r>
      <w:r w:rsidRPr="00225D10">
        <w:t xml:space="preserve"> areas of social disadvantage through best practice urban design.</w:t>
      </w:r>
    </w:p>
    <w:p w:rsidR="00A91D0D" w:rsidRPr="00AE1327" w:rsidRDefault="00A91D0D" w:rsidP="00D34F87">
      <w:pPr>
        <w:pStyle w:val="bt"/>
        <w:tabs>
          <w:tab w:val="left" w:pos="8931"/>
        </w:tabs>
        <w:rPr>
          <w:rStyle w:val="Strong"/>
        </w:rPr>
      </w:pPr>
      <w:r w:rsidRPr="00AE1327">
        <w:rPr>
          <w:rStyle w:val="Strong"/>
        </w:rPr>
        <w:t xml:space="preserve">Direction 3 </w:t>
      </w:r>
      <w:r w:rsidR="00523C87" w:rsidRPr="00AE1327">
        <w:rPr>
          <w:rStyle w:val="Strong"/>
        </w:rPr>
        <w:t xml:space="preserve">– </w:t>
      </w:r>
      <w:r w:rsidRPr="00AE1327">
        <w:rPr>
          <w:rStyle w:val="Strong"/>
        </w:rPr>
        <w:t>Strengthen and diversify our economy</w:t>
      </w:r>
    </w:p>
    <w:p w:rsidR="00A91D0D" w:rsidRPr="00225D10" w:rsidRDefault="00A91D0D" w:rsidP="00D34F87">
      <w:pPr>
        <w:pStyle w:val="ListParagraphSummary"/>
        <w:tabs>
          <w:tab w:val="left" w:pos="8931"/>
        </w:tabs>
      </w:pPr>
      <w:r w:rsidRPr="00225D10">
        <w:t>Ensur</w:t>
      </w:r>
      <w:r w:rsidR="00523C87" w:rsidRPr="00225D10">
        <w:t>e</w:t>
      </w:r>
      <w:r w:rsidRPr="00225D10">
        <w:t xml:space="preserve"> infrastructure supports the growth of current and emerging industries.</w:t>
      </w:r>
    </w:p>
    <w:p w:rsidR="00A91D0D" w:rsidRPr="00225D10" w:rsidRDefault="00A91D0D" w:rsidP="00D34F87">
      <w:pPr>
        <w:pStyle w:val="ListParagraphSummary"/>
        <w:tabs>
          <w:tab w:val="left" w:pos="8931"/>
        </w:tabs>
      </w:pPr>
      <w:r w:rsidRPr="00225D10">
        <w:t xml:space="preserve">Support more local employment opportunities throughout the </w:t>
      </w:r>
      <w:r w:rsidR="00003200" w:rsidRPr="00225D10">
        <w:t>region</w:t>
      </w:r>
      <w:r w:rsidRPr="00225D10">
        <w:t xml:space="preserve"> through the provision of appropriately zoned and serviced land.</w:t>
      </w:r>
    </w:p>
    <w:p w:rsidR="00A91D0D" w:rsidRPr="00225D10" w:rsidRDefault="00A91D0D" w:rsidP="00D34F87">
      <w:pPr>
        <w:pStyle w:val="ListParagraphSummary"/>
        <w:tabs>
          <w:tab w:val="left" w:pos="8931"/>
        </w:tabs>
      </w:pPr>
      <w:r w:rsidRPr="00225D10">
        <w:t>Maintain prosperous and sustainable agriculture.</w:t>
      </w:r>
    </w:p>
    <w:p w:rsidR="00A91D0D" w:rsidRPr="00225D10" w:rsidRDefault="00A91D0D" w:rsidP="00D34F87">
      <w:pPr>
        <w:pStyle w:val="ListParagraphSummary"/>
        <w:tabs>
          <w:tab w:val="left" w:pos="8931"/>
        </w:tabs>
      </w:pPr>
      <w:r w:rsidRPr="00225D10">
        <w:t>Ensur</w:t>
      </w:r>
      <w:r w:rsidR="00523C87" w:rsidRPr="00225D10">
        <w:t>e</w:t>
      </w:r>
      <w:r w:rsidRPr="00225D10">
        <w:t xml:space="preserve"> land use and infrastructure planning support</w:t>
      </w:r>
      <w:r w:rsidR="00523C87" w:rsidRPr="00225D10">
        <w:t>s</w:t>
      </w:r>
      <w:r w:rsidRPr="00225D10">
        <w:t xml:space="preserve"> emerging and potential growth sectors such as tourism and ‘green’ industries.</w:t>
      </w:r>
    </w:p>
    <w:p w:rsidR="00A91D0D" w:rsidRPr="00AE1327" w:rsidRDefault="00A91D0D" w:rsidP="00D34F87">
      <w:pPr>
        <w:pStyle w:val="bt"/>
        <w:tabs>
          <w:tab w:val="left" w:pos="8931"/>
        </w:tabs>
        <w:rPr>
          <w:rStyle w:val="Strong"/>
        </w:rPr>
      </w:pPr>
      <w:r w:rsidRPr="00AE1327">
        <w:rPr>
          <w:rStyle w:val="Strong"/>
        </w:rPr>
        <w:t xml:space="preserve">Direction 4 </w:t>
      </w:r>
      <w:r w:rsidR="00523C87" w:rsidRPr="00AE1327">
        <w:rPr>
          <w:rStyle w:val="Strong"/>
        </w:rPr>
        <w:t xml:space="preserve">– </w:t>
      </w:r>
      <w:r w:rsidRPr="00AE1327">
        <w:rPr>
          <w:rStyle w:val="Strong"/>
        </w:rPr>
        <w:t>Improve our infrastructure</w:t>
      </w:r>
    </w:p>
    <w:p w:rsidR="00A91D0D" w:rsidRPr="00225D10" w:rsidRDefault="00A91D0D" w:rsidP="00D34F87">
      <w:pPr>
        <w:pStyle w:val="ListParagraphSummary"/>
        <w:tabs>
          <w:tab w:val="left" w:pos="8931"/>
        </w:tabs>
      </w:pPr>
      <w:r w:rsidRPr="00225D10">
        <w:t xml:space="preserve">Develop infrastructure and services that facilitate continued growth </w:t>
      </w:r>
      <w:r w:rsidR="00D666F1" w:rsidRPr="00225D10">
        <w:t xml:space="preserve">of the </w:t>
      </w:r>
      <w:r w:rsidRPr="00225D10">
        <w:t>regional economy.</w:t>
      </w:r>
    </w:p>
    <w:p w:rsidR="00A91D0D" w:rsidRPr="00225D10" w:rsidRDefault="00A91D0D" w:rsidP="00D34F87">
      <w:pPr>
        <w:pStyle w:val="ListParagraphSummary"/>
        <w:tabs>
          <w:tab w:val="left" w:pos="8931"/>
        </w:tabs>
      </w:pPr>
      <w:r w:rsidRPr="00225D10">
        <w:t>Maintain liveability in towns and regional centres through proactive infrastructure provision.</w:t>
      </w:r>
    </w:p>
    <w:p w:rsidR="00877CB8" w:rsidRDefault="00A91D0D" w:rsidP="00D34F87">
      <w:pPr>
        <w:pStyle w:val="ListParagraphSummary"/>
        <w:tabs>
          <w:tab w:val="left" w:pos="8931"/>
        </w:tabs>
      </w:pPr>
      <w:r w:rsidRPr="00225D10">
        <w:t>Improv</w:t>
      </w:r>
      <w:r w:rsidR="00D666F1" w:rsidRPr="00225D10">
        <w:t>e</w:t>
      </w:r>
      <w:r w:rsidRPr="00225D10">
        <w:t xml:space="preserve"> road, rail and public transport access to Melbourne through continued investment and development in highways, local roads and rail infrastructure.</w:t>
      </w:r>
    </w:p>
    <w:p w:rsidR="00877CB8" w:rsidRDefault="00877CB8">
      <w:pPr>
        <w:spacing w:before="0"/>
        <w:rPr>
          <w:rFonts w:ascii="Calibri" w:hAnsi="Calibri" w:cs="Calibri"/>
          <w:szCs w:val="22"/>
        </w:rPr>
      </w:pPr>
      <w:r>
        <w:br w:type="page"/>
      </w:r>
    </w:p>
    <w:p w:rsidR="004B7308" w:rsidRPr="00AE1327" w:rsidRDefault="00A91D0D" w:rsidP="00D34F87">
      <w:pPr>
        <w:pStyle w:val="bt"/>
        <w:tabs>
          <w:tab w:val="left" w:pos="8931"/>
        </w:tabs>
        <w:rPr>
          <w:rStyle w:val="Strong"/>
        </w:rPr>
      </w:pPr>
      <w:r w:rsidRPr="00AE1327">
        <w:rPr>
          <w:rStyle w:val="Strong"/>
        </w:rPr>
        <w:lastRenderedPageBreak/>
        <w:t xml:space="preserve">Direction 5 </w:t>
      </w:r>
      <w:r w:rsidR="00D666F1" w:rsidRPr="00AE1327">
        <w:rPr>
          <w:rStyle w:val="Strong"/>
        </w:rPr>
        <w:t xml:space="preserve">– </w:t>
      </w:r>
      <w:r w:rsidRPr="00AE1327">
        <w:rPr>
          <w:rStyle w:val="Strong"/>
        </w:rPr>
        <w:t>Improve education and training outcomes</w:t>
      </w:r>
    </w:p>
    <w:p w:rsidR="00A91D0D" w:rsidRPr="00225D10" w:rsidRDefault="00A91D0D" w:rsidP="00D34F87">
      <w:pPr>
        <w:pStyle w:val="ListParagraphSummary"/>
        <w:tabs>
          <w:tab w:val="left" w:pos="8931"/>
        </w:tabs>
      </w:pPr>
      <w:r w:rsidRPr="00225D10">
        <w:t>Address the lack of student accommodation in Bendigo.</w:t>
      </w:r>
    </w:p>
    <w:p w:rsidR="00A91D0D" w:rsidRPr="00AE1327" w:rsidRDefault="00A91D0D" w:rsidP="00D34F87">
      <w:pPr>
        <w:pStyle w:val="bt"/>
        <w:tabs>
          <w:tab w:val="left" w:pos="8931"/>
        </w:tabs>
        <w:rPr>
          <w:rStyle w:val="Strong"/>
        </w:rPr>
      </w:pPr>
      <w:r w:rsidRPr="00AE1327">
        <w:rPr>
          <w:rStyle w:val="Strong"/>
        </w:rPr>
        <w:t>Direction 6 - Protect and enhance our natural environment</w:t>
      </w:r>
    </w:p>
    <w:p w:rsidR="00A91D0D" w:rsidRPr="00225D10" w:rsidRDefault="00A91D0D" w:rsidP="00D34F87">
      <w:pPr>
        <w:pStyle w:val="ListParagraphSummary"/>
        <w:tabs>
          <w:tab w:val="left" w:pos="8931"/>
        </w:tabs>
      </w:pPr>
      <w:r w:rsidRPr="00225D10">
        <w:t>Protect significant environmental and natural assets.</w:t>
      </w:r>
    </w:p>
    <w:p w:rsidR="00AE1327" w:rsidRDefault="00A91D0D" w:rsidP="00D34F87">
      <w:pPr>
        <w:pStyle w:val="ListParagraphSummary"/>
        <w:tabs>
          <w:tab w:val="left" w:pos="8931"/>
        </w:tabs>
      </w:pPr>
      <w:r w:rsidRPr="00225D10">
        <w:t>Protect visually important landscapes.</w:t>
      </w:r>
    </w:p>
    <w:p w:rsidR="004A1FF9" w:rsidRDefault="00B934F3">
      <w:pPr>
        <w:pStyle w:val="Heading4"/>
      </w:pPr>
      <w:r w:rsidRPr="000D2EEF">
        <w:t xml:space="preserve">Fast </w:t>
      </w:r>
      <w:r w:rsidR="00BD072D">
        <w:t>facts about the Loddon Mallee South region</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7338"/>
        <w:gridCol w:w="2126"/>
      </w:tblGrid>
      <w:tr w:rsidR="00382236" w:rsidRPr="00225D10" w:rsidTr="00C5663E">
        <w:trPr>
          <w:cantSplit/>
          <w:trHeight w:val="139"/>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Current population Loddon Mallee South region</w:t>
            </w:r>
            <w:r w:rsidR="00894B31">
              <w:rPr>
                <w:lang w:eastAsia="en-US"/>
              </w:rPr>
              <w:t xml:space="preserve"> (VIF 2012)</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EC6C49" w:rsidRDefault="00382236">
            <w:pPr>
              <w:tabs>
                <w:tab w:val="left" w:pos="8931"/>
              </w:tabs>
              <w:spacing w:before="60" w:after="60"/>
              <w:rPr>
                <w:b/>
                <w:lang w:eastAsia="en-US"/>
              </w:rPr>
            </w:pPr>
            <w:r w:rsidRPr="00225D10">
              <w:rPr>
                <w:b/>
                <w:lang w:eastAsia="en-US"/>
              </w:rPr>
              <w:t>18</w:t>
            </w:r>
            <w:r w:rsidR="00894B31">
              <w:rPr>
                <w:b/>
                <w:lang w:eastAsia="en-US"/>
              </w:rPr>
              <w:t>8</w:t>
            </w:r>
            <w:r w:rsidRPr="00225D10">
              <w:rPr>
                <w:b/>
                <w:lang w:eastAsia="en-US"/>
              </w:rPr>
              <w:t>,0</w:t>
            </w:r>
            <w:r w:rsidR="00894B31">
              <w:rPr>
                <w:b/>
                <w:lang w:eastAsia="en-US"/>
              </w:rPr>
              <w:t>00</w:t>
            </w:r>
          </w:p>
        </w:tc>
      </w:tr>
      <w:tr w:rsidR="00382236" w:rsidRPr="00225D10" w:rsidTr="00C5663E">
        <w:trPr>
          <w:cantSplit/>
          <w:trHeight w:val="139"/>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Current population – urban Bendigo</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82,794</w:t>
            </w:r>
          </w:p>
        </w:tc>
      </w:tr>
      <w:tr w:rsidR="00382236" w:rsidRPr="00225D10" w:rsidTr="00C5663E">
        <w:trPr>
          <w:cantSplit/>
          <w:trHeight w:val="139"/>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t>Distance from centre of Melbourne at its closest point</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50 kilometres</w:t>
            </w:r>
          </w:p>
        </w:tc>
      </w:tr>
      <w:tr w:rsidR="00382236" w:rsidRPr="00225D10" w:rsidTr="00C5663E">
        <w:trPr>
          <w:cantSplit/>
          <w:trHeight w:val="139"/>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Proportion of residents living in Bendigo</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56%</w:t>
            </w:r>
          </w:p>
        </w:tc>
      </w:tr>
      <w:tr w:rsidR="00382236" w:rsidRPr="00225D10" w:rsidTr="00C5663E">
        <w:trPr>
          <w:cantSplit/>
          <w:trHeight w:val="139"/>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Proportion of residents living in farming and rural locations</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22%</w:t>
            </w:r>
          </w:p>
        </w:tc>
      </w:tr>
      <w:tr w:rsidR="00382236" w:rsidRPr="00225D10" w:rsidTr="00C5663E">
        <w:trPr>
          <w:cantSplit/>
          <w:trHeight w:val="139"/>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Number of people within the region born overseas</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13,500 or 7%</w:t>
            </w:r>
          </w:p>
        </w:tc>
      </w:tr>
      <w:tr w:rsidR="00382236" w:rsidRPr="00225D10" w:rsidTr="00C5663E">
        <w:trPr>
          <w:cantSplit/>
          <w:trHeight w:val="139"/>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Growth rate for the region over the past 10 years</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1.2%</w:t>
            </w:r>
          </w:p>
        </w:tc>
      </w:tr>
      <w:tr w:rsidR="00382236" w:rsidRPr="00225D10" w:rsidTr="00C5663E">
        <w:trPr>
          <w:cantSplit/>
          <w:trHeight w:val="139"/>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Projected population in 2031</w:t>
            </w:r>
            <w:r w:rsidR="00894B31">
              <w:rPr>
                <w:lang w:eastAsia="en-US"/>
              </w:rPr>
              <w:t xml:space="preserve"> (VIF 2012)</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242,251</w:t>
            </w:r>
          </w:p>
        </w:tc>
      </w:tr>
      <w:tr w:rsidR="00382236" w:rsidRPr="00225D10" w:rsidTr="00C5663E">
        <w:trPr>
          <w:cantSplit/>
          <w:trHeight w:val="139"/>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Forecast average annual population growth</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1.3%</w:t>
            </w:r>
          </w:p>
        </w:tc>
      </w:tr>
      <w:tr w:rsidR="00382236" w:rsidRPr="00225D10" w:rsidTr="00C5663E">
        <w:trPr>
          <w:cantSplit/>
          <w:trHeight w:val="362"/>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BF4B0E" w:rsidP="00D34F87">
            <w:pPr>
              <w:tabs>
                <w:tab w:val="left" w:pos="8931"/>
              </w:tabs>
              <w:spacing w:before="60" w:after="60"/>
              <w:rPr>
                <w:lang w:eastAsia="en-US"/>
              </w:rPr>
            </w:pPr>
            <w:r>
              <w:t>Potential 2041 p</w:t>
            </w:r>
            <w:r w:rsidRPr="00A83F2F">
              <w:t>opul</w:t>
            </w:r>
            <w:r>
              <w:t>ation of the Loddon Mallee South region with accelerated growth</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300,000</w:t>
            </w:r>
          </w:p>
        </w:tc>
      </w:tr>
      <w:tr w:rsidR="00382236" w:rsidRPr="00225D10" w:rsidTr="00C5663E">
        <w:trPr>
          <w:cantSplit/>
          <w:trHeight w:val="183"/>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Average household size for the region in 2011/estimated 2031</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2.49 / 2.36 persons</w:t>
            </w:r>
          </w:p>
        </w:tc>
      </w:tr>
      <w:tr w:rsidR="00382236" w:rsidRPr="00225D10" w:rsidTr="00C5663E">
        <w:trPr>
          <w:cantSplit/>
          <w:trHeight w:val="217"/>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 xml:space="preserve">Population </w:t>
            </w:r>
            <w:r w:rsidR="00BF4B0E">
              <w:rPr>
                <w:lang w:eastAsia="en-US"/>
              </w:rPr>
              <w:t>plans</w:t>
            </w:r>
            <w:r w:rsidRPr="00225D10">
              <w:rPr>
                <w:lang w:eastAsia="en-US"/>
              </w:rPr>
              <w:t xml:space="preserve"> for urban Bendigo</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150,000 to 200,000</w:t>
            </w:r>
          </w:p>
        </w:tc>
      </w:tr>
      <w:tr w:rsidR="00382236" w:rsidRPr="00225D10" w:rsidTr="00C5663E">
        <w:trPr>
          <w:cantSplit/>
          <w:trHeight w:val="411"/>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Planned growth for Bendigo</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38,500 people</w:t>
            </w:r>
          </w:p>
        </w:tc>
      </w:tr>
      <w:tr w:rsidR="00382236" w:rsidRPr="00225D10" w:rsidTr="00C5663E">
        <w:trPr>
          <w:cantSplit/>
          <w:trHeight w:val="411"/>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Proportion of planned growth for Bendigo which comprises urban infill</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10,300 people</w:t>
            </w:r>
          </w:p>
        </w:tc>
      </w:tr>
      <w:tr w:rsidR="00382236" w:rsidRPr="00225D10" w:rsidTr="00C5663E">
        <w:trPr>
          <w:cantSplit/>
          <w:trHeight w:val="417"/>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EC6C49" w:rsidRDefault="00382236">
            <w:pPr>
              <w:tabs>
                <w:tab w:val="left" w:pos="8931"/>
              </w:tabs>
              <w:spacing w:before="60" w:after="60"/>
              <w:rPr>
                <w:lang w:eastAsia="en-US"/>
              </w:rPr>
            </w:pPr>
            <w:r w:rsidRPr="00225D10">
              <w:rPr>
                <w:lang w:eastAsia="en-US"/>
              </w:rPr>
              <w:t xml:space="preserve">Current total </w:t>
            </w:r>
            <w:r w:rsidR="00894B31">
              <w:rPr>
                <w:lang w:eastAsia="en-US"/>
              </w:rPr>
              <w:t xml:space="preserve">planned </w:t>
            </w:r>
            <w:r w:rsidR="00185D49">
              <w:rPr>
                <w:lang w:eastAsia="en-US"/>
              </w:rPr>
              <w:t>growth</w:t>
            </w:r>
            <w:r w:rsidRPr="00225D10">
              <w:rPr>
                <w:lang w:eastAsia="en-US"/>
              </w:rPr>
              <w:t xml:space="preserve"> capacity for urban Bendigo</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vAlign w:val="center"/>
          </w:tcPr>
          <w:p w:rsidR="00382236" w:rsidRPr="00225D10" w:rsidRDefault="00382236" w:rsidP="00D34F87">
            <w:pPr>
              <w:tabs>
                <w:tab w:val="left" w:pos="8931"/>
              </w:tabs>
              <w:spacing w:before="60" w:after="60"/>
              <w:rPr>
                <w:b/>
                <w:lang w:eastAsia="en-US"/>
              </w:rPr>
            </w:pPr>
            <w:r w:rsidRPr="00225D10">
              <w:rPr>
                <w:b/>
                <w:lang w:eastAsia="en-US"/>
              </w:rPr>
              <w:t>121,375</w:t>
            </w:r>
          </w:p>
        </w:tc>
      </w:tr>
      <w:tr w:rsidR="00382236" w:rsidRPr="00225D10" w:rsidTr="00C5663E">
        <w:trPr>
          <w:cantSplit/>
          <w:trHeight w:val="362"/>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CC91"/>
          </w:tcPr>
          <w:p w:rsidR="00382236" w:rsidRPr="00225D10" w:rsidRDefault="00382236" w:rsidP="00D34F87">
            <w:pPr>
              <w:tabs>
                <w:tab w:val="left" w:pos="8931"/>
              </w:tabs>
              <w:spacing w:before="60" w:after="60"/>
              <w:rPr>
                <w:lang w:eastAsia="en-US"/>
              </w:rPr>
            </w:pPr>
            <w:r w:rsidRPr="00225D10">
              <w:rPr>
                <w:lang w:eastAsia="en-US"/>
              </w:rPr>
              <w:t>Industry sector with largest share of total economic output</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CC91"/>
            <w:vAlign w:val="center"/>
          </w:tcPr>
          <w:p w:rsidR="00382236" w:rsidRPr="00225D10" w:rsidRDefault="00382236" w:rsidP="00D34F87">
            <w:pPr>
              <w:tabs>
                <w:tab w:val="left" w:pos="8931"/>
              </w:tabs>
              <w:spacing w:before="60" w:after="60"/>
              <w:rPr>
                <w:b/>
                <w:lang w:eastAsia="en-US"/>
              </w:rPr>
            </w:pPr>
            <w:r w:rsidRPr="00225D10">
              <w:rPr>
                <w:b/>
                <w:lang w:eastAsia="en-US"/>
              </w:rPr>
              <w:t>Manufacturing</w:t>
            </w:r>
          </w:p>
        </w:tc>
      </w:tr>
      <w:tr w:rsidR="00382236" w:rsidRPr="00225D10" w:rsidTr="00C5663E">
        <w:trPr>
          <w:cantSplit/>
          <w:trHeight w:val="362"/>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CC91"/>
          </w:tcPr>
          <w:p w:rsidR="00382236" w:rsidRPr="00225D10" w:rsidRDefault="00382236" w:rsidP="00D34F87">
            <w:pPr>
              <w:tabs>
                <w:tab w:val="left" w:pos="8931"/>
              </w:tabs>
              <w:spacing w:before="60" w:after="60"/>
              <w:rPr>
                <w:lang w:eastAsia="en-US"/>
              </w:rPr>
            </w:pPr>
            <w:r w:rsidRPr="00225D10">
              <w:rPr>
                <w:lang w:eastAsia="en-US"/>
              </w:rPr>
              <w:t>Number of jobs currently within the region</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CC91"/>
            <w:vAlign w:val="center"/>
          </w:tcPr>
          <w:p w:rsidR="00382236" w:rsidRPr="00225D10" w:rsidRDefault="00382236" w:rsidP="00D34F87">
            <w:pPr>
              <w:tabs>
                <w:tab w:val="left" w:pos="8931"/>
              </w:tabs>
              <w:spacing w:before="60" w:after="60"/>
              <w:rPr>
                <w:b/>
                <w:lang w:eastAsia="en-US"/>
              </w:rPr>
            </w:pPr>
            <w:r w:rsidRPr="00225D10">
              <w:rPr>
                <w:b/>
                <w:lang w:eastAsia="en-US"/>
              </w:rPr>
              <w:t>58,317</w:t>
            </w:r>
          </w:p>
        </w:tc>
      </w:tr>
      <w:tr w:rsidR="00382236" w:rsidRPr="00225D10" w:rsidTr="00C5663E">
        <w:trPr>
          <w:cantSplit/>
          <w:trHeight w:val="607"/>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CC91"/>
          </w:tcPr>
          <w:p w:rsidR="00382236" w:rsidRPr="00225D10" w:rsidRDefault="00382236" w:rsidP="00D34F87">
            <w:pPr>
              <w:tabs>
                <w:tab w:val="left" w:pos="8931"/>
              </w:tabs>
              <w:spacing w:before="60" w:after="60"/>
              <w:rPr>
                <w:lang w:eastAsia="en-US"/>
              </w:rPr>
            </w:pPr>
            <w:r w:rsidRPr="00225D10">
              <w:rPr>
                <w:lang w:eastAsia="en-US"/>
              </w:rPr>
              <w:t>Percentage of population from Macedon, Woodend and Gisborne who commute to Melbourne for work</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CC91"/>
            <w:vAlign w:val="center"/>
          </w:tcPr>
          <w:p w:rsidR="00382236" w:rsidRPr="00225D10" w:rsidRDefault="00382236" w:rsidP="00D34F87">
            <w:pPr>
              <w:tabs>
                <w:tab w:val="left" w:pos="8931"/>
              </w:tabs>
              <w:spacing w:before="60" w:after="60"/>
              <w:rPr>
                <w:b/>
                <w:lang w:eastAsia="en-US"/>
              </w:rPr>
            </w:pPr>
            <w:r w:rsidRPr="00225D10">
              <w:rPr>
                <w:b/>
                <w:lang w:eastAsia="en-US"/>
              </w:rPr>
              <w:t>&gt;40%</w:t>
            </w:r>
          </w:p>
        </w:tc>
      </w:tr>
      <w:tr w:rsidR="00382236" w:rsidRPr="00225D10" w:rsidTr="00C5663E">
        <w:trPr>
          <w:cantSplit/>
          <w:trHeight w:val="362"/>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CC91"/>
          </w:tcPr>
          <w:p w:rsidR="00382236" w:rsidRPr="00225D10" w:rsidRDefault="00382236" w:rsidP="00D34F87">
            <w:pPr>
              <w:tabs>
                <w:tab w:val="left" w:pos="8931"/>
              </w:tabs>
              <w:spacing w:before="60" w:after="60"/>
              <w:rPr>
                <w:lang w:eastAsia="en-US"/>
              </w:rPr>
            </w:pPr>
            <w:r w:rsidRPr="00225D10">
              <w:rPr>
                <w:lang w:eastAsia="en-US"/>
              </w:rPr>
              <w:t>Unemployment rate</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CC91"/>
            <w:vAlign w:val="center"/>
          </w:tcPr>
          <w:p w:rsidR="00382236" w:rsidRPr="00225D10" w:rsidRDefault="00382236" w:rsidP="00D34F87">
            <w:pPr>
              <w:tabs>
                <w:tab w:val="left" w:pos="8931"/>
              </w:tabs>
              <w:spacing w:before="60" w:after="60"/>
              <w:rPr>
                <w:b/>
                <w:lang w:eastAsia="en-US"/>
              </w:rPr>
            </w:pPr>
            <w:r w:rsidRPr="00225D10">
              <w:rPr>
                <w:b/>
                <w:lang w:eastAsia="en-US"/>
              </w:rPr>
              <w:t>4.9%</w:t>
            </w:r>
          </w:p>
        </w:tc>
      </w:tr>
      <w:tr w:rsidR="00382236" w:rsidRPr="00225D10" w:rsidTr="00C5663E">
        <w:trPr>
          <w:cantSplit/>
          <w:trHeight w:val="607"/>
        </w:trPr>
        <w:tc>
          <w:tcPr>
            <w:tcW w:w="733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CC91"/>
          </w:tcPr>
          <w:p w:rsidR="00382236" w:rsidRPr="00225D10" w:rsidRDefault="00382236" w:rsidP="00D34F87">
            <w:pPr>
              <w:tabs>
                <w:tab w:val="left" w:pos="8931"/>
              </w:tabs>
              <w:spacing w:before="60" w:after="60"/>
              <w:rPr>
                <w:lang w:eastAsia="en-US"/>
              </w:rPr>
            </w:pPr>
            <w:r w:rsidRPr="00225D10">
              <w:rPr>
                <w:lang w:eastAsia="en-US"/>
              </w:rPr>
              <w:t>Number of new jobs required to support the future additional regional population of 120,000 people</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CC91"/>
            <w:vAlign w:val="center"/>
          </w:tcPr>
          <w:p w:rsidR="00382236" w:rsidRPr="00225D10" w:rsidRDefault="00382236" w:rsidP="00D34F87">
            <w:pPr>
              <w:tabs>
                <w:tab w:val="left" w:pos="8931"/>
              </w:tabs>
              <w:spacing w:before="60" w:after="60"/>
              <w:rPr>
                <w:b/>
                <w:lang w:eastAsia="en-US"/>
              </w:rPr>
            </w:pPr>
            <w:r w:rsidRPr="00225D10">
              <w:rPr>
                <w:b/>
                <w:lang w:eastAsia="en-US"/>
              </w:rPr>
              <w:t>48,000</w:t>
            </w:r>
          </w:p>
        </w:tc>
      </w:tr>
      <w:tr w:rsidR="00382236" w:rsidRPr="00225D10" w:rsidTr="00C5663E">
        <w:trPr>
          <w:cantSplit/>
          <w:trHeight w:val="447"/>
        </w:trPr>
        <w:tc>
          <w:tcPr>
            <w:tcW w:w="946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There are three main river catchments in the region – the Loddon, Campaspe and Avoca rivers</w:t>
            </w:r>
          </w:p>
        </w:tc>
      </w:tr>
      <w:tr w:rsidR="00382236" w:rsidRPr="00225D10" w:rsidTr="00C5663E">
        <w:trPr>
          <w:cantSplit/>
          <w:trHeight w:val="362"/>
        </w:trPr>
        <w:tc>
          <w:tcPr>
            <w:tcW w:w="946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BF4B0E" w:rsidP="00D34F87">
            <w:pPr>
              <w:tabs>
                <w:tab w:val="left" w:pos="8931"/>
              </w:tabs>
              <w:spacing w:before="60" w:after="60"/>
              <w:rPr>
                <w:lang w:eastAsia="en-US"/>
              </w:rPr>
            </w:pPr>
            <w:r>
              <w:rPr>
                <w:lang w:eastAsia="en-US"/>
              </w:rPr>
              <w:t xml:space="preserve">Urban </w:t>
            </w:r>
            <w:r w:rsidR="00382236" w:rsidRPr="00225D10">
              <w:rPr>
                <w:lang w:eastAsia="en-US"/>
              </w:rPr>
              <w:t>Bendigo is the only city of any size in Australia to be encircled by a national park</w:t>
            </w:r>
            <w:r w:rsidR="00382236" w:rsidRPr="00225D10">
              <w:rPr>
                <w:rStyle w:val="FootnoteReference"/>
                <w:lang w:eastAsia="en-US"/>
              </w:rPr>
              <w:footnoteReference w:id="1"/>
            </w:r>
          </w:p>
        </w:tc>
      </w:tr>
      <w:tr w:rsidR="00382236" w:rsidRPr="00225D10" w:rsidTr="00C5663E">
        <w:trPr>
          <w:cantSplit/>
          <w:trHeight w:val="419"/>
        </w:trPr>
        <w:tc>
          <w:tcPr>
            <w:tcW w:w="946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5EEC3"/>
          </w:tcPr>
          <w:p w:rsidR="00382236" w:rsidRPr="00225D10" w:rsidRDefault="00382236" w:rsidP="00D34F87">
            <w:pPr>
              <w:tabs>
                <w:tab w:val="left" w:pos="8931"/>
              </w:tabs>
              <w:spacing w:before="60" w:after="60"/>
              <w:rPr>
                <w:lang w:eastAsia="en-US"/>
              </w:rPr>
            </w:pPr>
            <w:r w:rsidRPr="00225D10">
              <w:rPr>
                <w:lang w:eastAsia="en-US"/>
              </w:rPr>
              <w:t xml:space="preserve">The region contains Australia’s only </w:t>
            </w:r>
            <w:r>
              <w:rPr>
                <w:lang w:eastAsia="en-US"/>
              </w:rPr>
              <w:t>National</w:t>
            </w:r>
            <w:r w:rsidRPr="00225D10">
              <w:rPr>
                <w:lang w:eastAsia="en-US"/>
              </w:rPr>
              <w:t xml:space="preserve"> </w:t>
            </w:r>
            <w:r>
              <w:rPr>
                <w:lang w:eastAsia="en-US"/>
              </w:rPr>
              <w:t>H</w:t>
            </w:r>
            <w:r w:rsidRPr="00225D10">
              <w:rPr>
                <w:lang w:eastAsia="en-US"/>
              </w:rPr>
              <w:t xml:space="preserve">eritage </w:t>
            </w:r>
            <w:r>
              <w:rPr>
                <w:lang w:eastAsia="en-US"/>
              </w:rPr>
              <w:t>P</w:t>
            </w:r>
            <w:r w:rsidRPr="00225D10">
              <w:rPr>
                <w:lang w:eastAsia="en-US"/>
              </w:rPr>
              <w:t xml:space="preserve">ark at the </w:t>
            </w:r>
            <w:r>
              <w:rPr>
                <w:lang w:eastAsia="en-US"/>
              </w:rPr>
              <w:t>Castlemaine</w:t>
            </w:r>
            <w:r w:rsidRPr="00225D10">
              <w:rPr>
                <w:lang w:eastAsia="en-US"/>
              </w:rPr>
              <w:t xml:space="preserve"> diggings</w:t>
            </w:r>
          </w:p>
        </w:tc>
      </w:tr>
      <w:tr w:rsidR="00382236" w:rsidRPr="00225D10" w:rsidTr="00C5663E">
        <w:trPr>
          <w:cantSplit/>
          <w:trHeight w:val="613"/>
        </w:trPr>
        <w:tc>
          <w:tcPr>
            <w:tcW w:w="946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CC91"/>
          </w:tcPr>
          <w:p w:rsidR="00382236" w:rsidRPr="00225D10" w:rsidRDefault="00BF4B0E" w:rsidP="00D34F87">
            <w:pPr>
              <w:tabs>
                <w:tab w:val="left" w:pos="8931"/>
              </w:tabs>
              <w:spacing w:before="60" w:after="60"/>
              <w:rPr>
                <w:lang w:eastAsia="en-US"/>
              </w:rPr>
            </w:pPr>
            <w:r>
              <w:rPr>
                <w:lang w:eastAsia="en-US"/>
              </w:rPr>
              <w:t xml:space="preserve">The City of Greater </w:t>
            </w:r>
            <w:r w:rsidR="00382236" w:rsidRPr="00225D10">
              <w:rPr>
                <w:lang w:eastAsia="en-US"/>
              </w:rPr>
              <w:t>Bendigo is located at the junction of four highways and acts as a major transport hub for northern and north-western Victoria. Regional fast rail links Bendigo to Melbourne.</w:t>
            </w:r>
          </w:p>
        </w:tc>
      </w:tr>
    </w:tbl>
    <w:p w:rsidR="00A467C4" w:rsidRPr="00225D10" w:rsidRDefault="00A467C4" w:rsidP="00D34F87">
      <w:pPr>
        <w:tabs>
          <w:tab w:val="left" w:pos="8931"/>
        </w:tabs>
        <w:sectPr w:rsidR="00A467C4" w:rsidRPr="00225D10" w:rsidSect="00807582">
          <w:headerReference w:type="default" r:id="rId16"/>
          <w:footerReference w:type="default" r:id="rId17"/>
          <w:pgSz w:w="11907" w:h="16839" w:code="9"/>
          <w:pgMar w:top="1440" w:right="1080" w:bottom="993" w:left="1080" w:header="708" w:footer="709" w:gutter="0"/>
          <w:pgNumType w:start="1"/>
          <w:cols w:space="708"/>
          <w:docGrid w:linePitch="360"/>
        </w:sectPr>
      </w:pPr>
    </w:p>
    <w:p w:rsidR="00136C51" w:rsidRDefault="00A91D0D" w:rsidP="00D34F87">
      <w:pPr>
        <w:pStyle w:val="Heading1"/>
        <w:tabs>
          <w:tab w:val="left" w:pos="8931"/>
        </w:tabs>
      </w:pPr>
      <w:bookmarkStart w:id="24" w:name="_Toc374530850"/>
      <w:r w:rsidRPr="00663F7F">
        <w:lastRenderedPageBreak/>
        <w:t>Population</w:t>
      </w:r>
      <w:r w:rsidR="001E1F8A" w:rsidRPr="00663F7F">
        <w:t>,</w:t>
      </w:r>
      <w:r w:rsidR="008A4BC9" w:rsidRPr="00663F7F">
        <w:t xml:space="preserve"> </w:t>
      </w:r>
      <w:r w:rsidR="005F3095" w:rsidRPr="00663F7F">
        <w:t>s</w:t>
      </w:r>
      <w:r w:rsidR="001E1F8A" w:rsidRPr="00663F7F">
        <w:t xml:space="preserve">ettlement and </w:t>
      </w:r>
      <w:r w:rsidR="005F3095" w:rsidRPr="00663F7F">
        <w:t>h</w:t>
      </w:r>
      <w:r w:rsidR="001E1F8A" w:rsidRPr="00663F7F">
        <w:t>ousing</w:t>
      </w:r>
      <w:bookmarkEnd w:id="24"/>
    </w:p>
    <w:p w:rsidR="004A1FF9" w:rsidRDefault="00CD46B2">
      <w:pPr>
        <w:pStyle w:val="Heading4"/>
      </w:pPr>
      <w:r w:rsidRPr="000D2EEF">
        <w:t>Key findings – Population, settlement and housing</w:t>
      </w:r>
    </w:p>
    <w:p w:rsidR="00CD46B2" w:rsidRDefault="001127A4" w:rsidP="00D34F87">
      <w:pPr>
        <w:pStyle w:val="ListParagraphSummary"/>
        <w:shd w:val="clear" w:color="auto" w:fill="F5EEC3"/>
        <w:tabs>
          <w:tab w:val="left" w:pos="8931"/>
        </w:tabs>
      </w:pPr>
      <w:r>
        <w:t xml:space="preserve">Urban </w:t>
      </w:r>
      <w:r w:rsidR="00CD46B2">
        <w:t>Bendigo has evolved into a specialised retail, health, education, financial and administrative centre for its wider region.</w:t>
      </w:r>
    </w:p>
    <w:p w:rsidR="00CD46B2" w:rsidRDefault="00CD46B2" w:rsidP="00D34F87">
      <w:pPr>
        <w:pStyle w:val="ListParagraphSummary"/>
        <w:shd w:val="clear" w:color="auto" w:fill="F5EEC3"/>
        <w:tabs>
          <w:tab w:val="left" w:pos="8931"/>
        </w:tabs>
      </w:pPr>
      <w:r>
        <w:t>Growth across the region is not uniform. Strong population growth is occurring in Bendigo and in many townships located on, or in close proximity to, the Calder corridor. Population growth has traditionally been much slower in Central Goldfields and Loddon shires.</w:t>
      </w:r>
    </w:p>
    <w:p w:rsidR="00CD46B2" w:rsidRDefault="00CD46B2" w:rsidP="00D34F87">
      <w:pPr>
        <w:pStyle w:val="ListParagraphSummary"/>
        <w:shd w:val="clear" w:color="auto" w:fill="F5EEC3"/>
        <w:tabs>
          <w:tab w:val="left" w:pos="8931"/>
        </w:tabs>
      </w:pPr>
      <w:r>
        <w:t xml:space="preserve">The number of households is increasing at a faster rate than the population. </w:t>
      </w:r>
    </w:p>
    <w:p w:rsidR="00CD46B2" w:rsidRDefault="00CD46B2" w:rsidP="00D34F87">
      <w:pPr>
        <w:pStyle w:val="ListParagraphSummary"/>
        <w:shd w:val="clear" w:color="auto" w:fill="F5EEC3"/>
        <w:tabs>
          <w:tab w:val="left" w:pos="8931"/>
        </w:tabs>
      </w:pPr>
      <w:r>
        <w:t>By 2031, nearly two-thirds of households in Bendigo and regional Victoria will consist of one or two people.</w:t>
      </w:r>
    </w:p>
    <w:p w:rsidR="00CD46B2" w:rsidRDefault="00CD46B2" w:rsidP="00D34F87">
      <w:pPr>
        <w:pStyle w:val="ListParagraphSummary"/>
        <w:shd w:val="clear" w:color="auto" w:fill="F5EEC3"/>
        <w:tabs>
          <w:tab w:val="left" w:pos="8931"/>
        </w:tabs>
      </w:pPr>
      <w:r>
        <w:t>The region’s population is ageing, with the highest population growth projected to be in age groups above 59 years of age.</w:t>
      </w:r>
    </w:p>
    <w:p w:rsidR="00CD46B2" w:rsidRDefault="00CD46B2" w:rsidP="00D34F87">
      <w:pPr>
        <w:pStyle w:val="ListParagraphSummary"/>
        <w:shd w:val="clear" w:color="auto" w:fill="F5EEC3"/>
        <w:tabs>
          <w:tab w:val="left" w:pos="8931"/>
        </w:tabs>
      </w:pPr>
      <w:r>
        <w:t>A high proportion of dwellings across the region are detached houses.</w:t>
      </w:r>
    </w:p>
    <w:p w:rsidR="00BF4B0E" w:rsidRDefault="00CD46B2" w:rsidP="00D34F87">
      <w:pPr>
        <w:pStyle w:val="ListParagraphSummary"/>
        <w:shd w:val="clear" w:color="auto" w:fill="F5EEC3"/>
        <w:tabs>
          <w:tab w:val="left" w:pos="8931"/>
        </w:tabs>
      </w:pPr>
      <w:r>
        <w:t>There are a number of areas with high level of socio economic disadvantage, much of which coincides with areas of lower population growth. Measures of disadvantage are also divided along corridor and non-corridor lines, with much of the disadvantage located in areas away from the Calder corridor</w:t>
      </w:r>
      <w:r w:rsidR="00242E43">
        <w:t>.</w:t>
      </w:r>
    </w:p>
    <w:p w:rsidR="004A1FF9" w:rsidRDefault="00BD072D">
      <w:pPr>
        <w:pStyle w:val="Heading4"/>
      </w:pPr>
      <w:r>
        <w:t>Key implications for the plan</w:t>
      </w:r>
    </w:p>
    <w:p w:rsidR="005D5EA0" w:rsidRDefault="005D5EA0" w:rsidP="00D34F87">
      <w:pPr>
        <w:pStyle w:val="ListParagraphSummary"/>
        <w:shd w:val="clear" w:color="auto" w:fill="F5EEC3"/>
        <w:tabs>
          <w:tab w:val="left" w:pos="8931"/>
        </w:tabs>
      </w:pPr>
      <w:r>
        <w:t>Some areas experiencing strong growth have limited capacity to accommodate significant population increases due to environmental planning considerations and natural hazards. The capacity to grow beyond existing settlement boundaries may be limited. This will influence how settlements can accommodate growth.</w:t>
      </w:r>
    </w:p>
    <w:p w:rsidR="005D5EA0" w:rsidRDefault="005D5EA0" w:rsidP="00D34F87">
      <w:pPr>
        <w:pStyle w:val="ListParagraphSummary"/>
        <w:shd w:val="clear" w:color="auto" w:fill="F5EEC3"/>
        <w:tabs>
          <w:tab w:val="left" w:pos="8931"/>
        </w:tabs>
      </w:pPr>
      <w:r>
        <w:t>Growth in households in areas experiencing strong population growth has resulted in increased demand for dwellings with subsequent implications for land supply.</w:t>
      </w:r>
    </w:p>
    <w:p w:rsidR="005D5EA0" w:rsidRDefault="005D5EA0" w:rsidP="00D34F87">
      <w:pPr>
        <w:pStyle w:val="ListParagraphSummary"/>
        <w:shd w:val="clear" w:color="auto" w:fill="F5EEC3"/>
        <w:tabs>
          <w:tab w:val="left" w:pos="8931"/>
        </w:tabs>
      </w:pPr>
      <w:r>
        <w:t>Some intervention may be needed to change the housing mix to meet the needs of future populations.</w:t>
      </w:r>
    </w:p>
    <w:p w:rsidR="005D5EA0" w:rsidRDefault="005D5EA0" w:rsidP="00D34F87">
      <w:pPr>
        <w:pStyle w:val="ListParagraphSummary"/>
        <w:shd w:val="clear" w:color="auto" w:fill="F5EEC3"/>
        <w:tabs>
          <w:tab w:val="left" w:pos="8931"/>
        </w:tabs>
      </w:pPr>
      <w:r>
        <w:t>Similar growth and change patterns to past trends are projected to continue in Central Goldfields and Loddon over the next 15 years without some intervention or ‘game changers’.</w:t>
      </w:r>
    </w:p>
    <w:p w:rsidR="005D5EA0" w:rsidRDefault="005D5EA0" w:rsidP="00D34F87">
      <w:pPr>
        <w:pStyle w:val="ListParagraphSummary"/>
        <w:shd w:val="clear" w:color="auto" w:fill="F5EEC3"/>
        <w:tabs>
          <w:tab w:val="left" w:pos="8931"/>
        </w:tabs>
      </w:pPr>
      <w:r>
        <w:t>An ageing population has implications for the provision of community and health services, and housing types.</w:t>
      </w:r>
    </w:p>
    <w:p w:rsidR="008C58DB" w:rsidRDefault="005D5EA0" w:rsidP="00D34F87">
      <w:pPr>
        <w:pStyle w:val="ListParagraphSummary"/>
        <w:shd w:val="clear" w:color="auto" w:fill="F5EEC3"/>
        <w:tabs>
          <w:tab w:val="left" w:pos="8931"/>
        </w:tabs>
      </w:pPr>
      <w:r>
        <w:t xml:space="preserve">The capacity to grow population is heavily influenced by </w:t>
      </w:r>
      <w:r w:rsidR="00CA78AA">
        <w:t xml:space="preserve">the </w:t>
      </w:r>
      <w:r>
        <w:t>capacity to provide appropriate infrastructure</w:t>
      </w:r>
      <w:r w:rsidR="00817DF4">
        <w:t>, for example,</w:t>
      </w:r>
      <w:r>
        <w:t xml:space="preserve"> water, sewer, power and gas</w:t>
      </w:r>
      <w:r w:rsidR="00CA78AA">
        <w:t>.</w:t>
      </w:r>
    </w:p>
    <w:p w:rsidR="004A1FF9" w:rsidRDefault="00BD072D">
      <w:pPr>
        <w:pStyle w:val="Heading4"/>
      </w:pPr>
      <w:r>
        <w:t>Key challenges</w:t>
      </w:r>
    </w:p>
    <w:p w:rsidR="008C58DB" w:rsidRDefault="008C58DB" w:rsidP="00D34F87">
      <w:pPr>
        <w:pStyle w:val="ListParagraphSummary"/>
        <w:shd w:val="clear" w:color="auto" w:fill="F5EEC3"/>
        <w:tabs>
          <w:tab w:val="left" w:pos="8931"/>
        </w:tabs>
      </w:pPr>
      <w:r>
        <w:t>Managing differing rates of growth and change across the region.</w:t>
      </w:r>
    </w:p>
    <w:p w:rsidR="008C58DB" w:rsidRDefault="008C58DB" w:rsidP="00D34F87">
      <w:pPr>
        <w:pStyle w:val="ListParagraphSummary"/>
        <w:shd w:val="clear" w:color="auto" w:fill="F5EEC3"/>
        <w:tabs>
          <w:tab w:val="left" w:pos="8931"/>
        </w:tabs>
      </w:pPr>
      <w:r>
        <w:t>Meeting the aspirations of some settlements for growth even though they have historically low growth rates.</w:t>
      </w:r>
    </w:p>
    <w:p w:rsidR="008C58DB" w:rsidRDefault="008C58DB" w:rsidP="00D34F87">
      <w:pPr>
        <w:pStyle w:val="ListParagraphSummary"/>
        <w:shd w:val="clear" w:color="auto" w:fill="F5EEC3"/>
        <w:tabs>
          <w:tab w:val="left" w:pos="8931"/>
        </w:tabs>
      </w:pPr>
      <w:r>
        <w:t>Achieving the right balance of housing types to meet changing household needs, both now and into the future.</w:t>
      </w:r>
    </w:p>
    <w:p w:rsidR="008C58DB" w:rsidRDefault="008C58DB" w:rsidP="00C5663E">
      <w:pPr>
        <w:pStyle w:val="ListParagraphSummary"/>
        <w:shd w:val="clear" w:color="auto" w:fill="F5EEC3"/>
        <w:tabs>
          <w:tab w:val="left" w:pos="8931"/>
        </w:tabs>
        <w:ind w:left="357" w:hanging="357"/>
      </w:pPr>
      <w:r>
        <w:t>Providing a range of housing types, including infill opportunities and higher density housing, whil</w:t>
      </w:r>
      <w:r w:rsidR="00614635">
        <w:t>e</w:t>
      </w:r>
      <w:r>
        <w:t xml:space="preserve"> respecting the regional and heritage character of towns.</w:t>
      </w:r>
    </w:p>
    <w:p w:rsidR="008C58DB" w:rsidRDefault="008C58DB" w:rsidP="00D34F87">
      <w:pPr>
        <w:pStyle w:val="ListParagraphSummary"/>
        <w:shd w:val="clear" w:color="auto" w:fill="F5EEC3"/>
        <w:tabs>
          <w:tab w:val="left" w:pos="8931"/>
        </w:tabs>
      </w:pPr>
      <w:r>
        <w:t xml:space="preserve">Reducing and managing the levels of social disadvantage. </w:t>
      </w:r>
    </w:p>
    <w:p w:rsidR="008C58DB" w:rsidRDefault="008C58DB" w:rsidP="00D34F87">
      <w:pPr>
        <w:pStyle w:val="ListParagraphSummary"/>
        <w:shd w:val="clear" w:color="auto" w:fill="F5EEC3"/>
        <w:tabs>
          <w:tab w:val="left" w:pos="8931"/>
        </w:tabs>
      </w:pPr>
      <w:r>
        <w:t>Attracting and maintaining a diverse population, including younger age groups and people of working age, for sustainable growth across the region.</w:t>
      </w:r>
    </w:p>
    <w:p w:rsidR="008C58DB" w:rsidRDefault="008C58DB" w:rsidP="00D34F87">
      <w:pPr>
        <w:pStyle w:val="ListParagraphSummary"/>
        <w:shd w:val="clear" w:color="auto" w:fill="F5EEC3"/>
        <w:tabs>
          <w:tab w:val="left" w:pos="8931"/>
        </w:tabs>
      </w:pPr>
      <w:r>
        <w:t>Considering initiatives and incentives for managing and stimulating growth.</w:t>
      </w:r>
    </w:p>
    <w:p w:rsidR="008C58DB" w:rsidRDefault="008C58DB" w:rsidP="00D34F87">
      <w:pPr>
        <w:pStyle w:val="ListParagraphSummary"/>
        <w:shd w:val="clear" w:color="auto" w:fill="F5EEC3"/>
        <w:tabs>
          <w:tab w:val="left" w:pos="8931"/>
        </w:tabs>
      </w:pPr>
      <w:r>
        <w:t>Exploring whether the current growth trends are desirable and able to be accommodated.</w:t>
      </w:r>
    </w:p>
    <w:p w:rsidR="008C58DB" w:rsidRDefault="008C58DB" w:rsidP="00D34F87">
      <w:pPr>
        <w:pStyle w:val="ListParagraphSummary"/>
        <w:shd w:val="clear" w:color="auto" w:fill="F5EEC3"/>
        <w:tabs>
          <w:tab w:val="left" w:pos="8931"/>
        </w:tabs>
      </w:pPr>
      <w:r>
        <w:t>Specific growth plans and other initiatives may be needed in areas of disadvantage across the region.</w:t>
      </w:r>
    </w:p>
    <w:p w:rsidR="008C58DB" w:rsidRDefault="008C58DB" w:rsidP="00D34F87">
      <w:pPr>
        <w:pStyle w:val="ListParagraphSummary"/>
        <w:shd w:val="clear" w:color="auto" w:fill="F5EEC3"/>
        <w:tabs>
          <w:tab w:val="left" w:pos="8931"/>
        </w:tabs>
      </w:pPr>
      <w:r>
        <w:t>Protecting settlement character.</w:t>
      </w:r>
    </w:p>
    <w:p w:rsidR="008C58DB" w:rsidRDefault="008C58DB" w:rsidP="00D34F87">
      <w:pPr>
        <w:pStyle w:val="ListParagraphSummary"/>
        <w:shd w:val="clear" w:color="auto" w:fill="F5EEC3"/>
        <w:tabs>
          <w:tab w:val="left" w:pos="8931"/>
        </w:tabs>
      </w:pPr>
      <w:r>
        <w:t>Improving the liveability of local communities, especially smaller towns.</w:t>
      </w:r>
    </w:p>
    <w:p w:rsidR="007B07C8" w:rsidRDefault="008C58DB" w:rsidP="00D34F87">
      <w:pPr>
        <w:pStyle w:val="ListParagraphSummary"/>
        <w:shd w:val="clear" w:color="auto" w:fill="F5EEC3"/>
        <w:tabs>
          <w:tab w:val="left" w:pos="8931"/>
        </w:tabs>
      </w:pPr>
      <w:r>
        <w:t>Investment is required for the provision of essential infrastructure services</w:t>
      </w:r>
      <w:r w:rsidR="00CA78AA">
        <w:t>.</w:t>
      </w:r>
    </w:p>
    <w:p w:rsidR="007B07C8" w:rsidRDefault="007B07C8">
      <w:pPr>
        <w:spacing w:before="0"/>
        <w:rPr>
          <w:rFonts w:ascii="Calibri" w:hAnsi="Calibri" w:cs="Calibri"/>
          <w:szCs w:val="22"/>
        </w:rPr>
      </w:pPr>
      <w:r>
        <w:br w:type="page"/>
      </w:r>
    </w:p>
    <w:p w:rsidR="008A4BC9" w:rsidRPr="00663F7F" w:rsidRDefault="00C1202B" w:rsidP="00D34F87">
      <w:pPr>
        <w:pStyle w:val="Heading2"/>
        <w:tabs>
          <w:tab w:val="left" w:pos="8931"/>
        </w:tabs>
        <w:rPr>
          <w:rFonts w:cs="Arial"/>
        </w:rPr>
      </w:pPr>
      <w:bookmarkStart w:id="25" w:name="_Toc374530851"/>
      <w:r w:rsidRPr="00663F7F">
        <w:rPr>
          <w:rFonts w:cs="Arial"/>
        </w:rPr>
        <w:lastRenderedPageBreak/>
        <w:t>Population</w:t>
      </w:r>
      <w:bookmarkEnd w:id="25"/>
    </w:p>
    <w:p w:rsidR="008A4BC9" w:rsidRPr="00225D10" w:rsidRDefault="008A4BC9" w:rsidP="00D34F87">
      <w:pPr>
        <w:pStyle w:val="bt"/>
        <w:tabs>
          <w:tab w:val="left" w:pos="8931"/>
        </w:tabs>
      </w:pPr>
      <w:r w:rsidRPr="00225D10">
        <w:t xml:space="preserve">Bendigo is the regional city and hub of the Loddon Mallee South region and provides quality healthcare, educational, cultural and economic services. With a population approaching 100,000 </w:t>
      </w:r>
      <w:r w:rsidR="00067141" w:rsidRPr="00225D10">
        <w:t xml:space="preserve">people, </w:t>
      </w:r>
      <w:r w:rsidRPr="00225D10">
        <w:t>the city is experiencing steady growth.</w:t>
      </w:r>
      <w:r w:rsidRPr="00225D10">
        <w:rPr>
          <w:rFonts w:eastAsia="MS P????"/>
        </w:rPr>
        <w:t xml:space="preserve"> </w:t>
      </w:r>
      <w:r w:rsidRPr="00225D10">
        <w:t xml:space="preserve">The </w:t>
      </w:r>
      <w:r w:rsidR="00CA78AA">
        <w:t>r</w:t>
      </w:r>
      <w:r w:rsidR="001127A4">
        <w:t xml:space="preserve">egional </w:t>
      </w:r>
      <w:r w:rsidR="00CA78AA">
        <w:t>c</w:t>
      </w:r>
      <w:r w:rsidR="001127A4">
        <w:t>entres</w:t>
      </w:r>
      <w:r w:rsidRPr="00225D10">
        <w:t xml:space="preserve"> of Gisborne, Maryborough, Castlemaine and Kyneton serve surrounding smaller towns and non</w:t>
      </w:r>
      <w:r w:rsidR="00067141" w:rsidRPr="00225D10">
        <w:t>-</w:t>
      </w:r>
      <w:r w:rsidRPr="00225D10">
        <w:t>urban populations. There are many small towns in the region with a diversity of roles. Some small towns play a key service role to outlying farming communities. The region also has a significant non</w:t>
      </w:r>
      <w:r w:rsidR="00067141" w:rsidRPr="00225D10">
        <w:t>-</w:t>
      </w:r>
      <w:r w:rsidRPr="00225D10">
        <w:t>urban population</w:t>
      </w:r>
      <w:r w:rsidR="00067141" w:rsidRPr="00225D10">
        <w:t>,</w:t>
      </w:r>
      <w:r w:rsidRPr="00225D10">
        <w:t xml:space="preserve"> with people living on farms and in rural areas outside towns. Around 22</w:t>
      </w:r>
      <w:r w:rsidR="00817DF4">
        <w:t xml:space="preserve"> per cent</w:t>
      </w:r>
      <w:r w:rsidRPr="00225D10">
        <w:t xml:space="preserve"> of the population live outside these centres in farming and rural locations.</w:t>
      </w:r>
    </w:p>
    <w:p w:rsidR="008A4BC9" w:rsidRPr="00225D10" w:rsidRDefault="008A4BC9" w:rsidP="00D34F87">
      <w:pPr>
        <w:pStyle w:val="Heading4"/>
        <w:tabs>
          <w:tab w:val="left" w:pos="8931"/>
        </w:tabs>
      </w:pPr>
      <w:r w:rsidRPr="00225D10">
        <w:t xml:space="preserve">Current </w:t>
      </w:r>
      <w:r w:rsidR="00067141" w:rsidRPr="00225D10">
        <w:t>p</w:t>
      </w:r>
      <w:r w:rsidRPr="00225D10">
        <w:t xml:space="preserve">opulation and </w:t>
      </w:r>
      <w:r w:rsidR="00067141" w:rsidRPr="00225D10">
        <w:t>r</w:t>
      </w:r>
      <w:r w:rsidRPr="00225D10">
        <w:t xml:space="preserve">ecent </w:t>
      </w:r>
      <w:r w:rsidR="00067141" w:rsidRPr="00225D10">
        <w:t>g</w:t>
      </w:r>
      <w:r w:rsidRPr="00225D10">
        <w:t xml:space="preserve">rowth </w:t>
      </w:r>
      <w:r w:rsidR="00067141" w:rsidRPr="00225D10">
        <w:t>t</w:t>
      </w:r>
      <w:r w:rsidRPr="00225D10">
        <w:t>rends</w:t>
      </w:r>
    </w:p>
    <w:p w:rsidR="007A01AD" w:rsidRDefault="007A01AD" w:rsidP="00D34F87">
      <w:pPr>
        <w:pStyle w:val="bt"/>
        <w:tabs>
          <w:tab w:val="left" w:pos="8931"/>
        </w:tabs>
      </w:pPr>
      <w:r>
        <w:t>According to the Australian Bureau of Statistics (Census 2011) t</w:t>
      </w:r>
      <w:r w:rsidR="008A4BC9" w:rsidRPr="00225D10">
        <w:t xml:space="preserve">he total population of the </w:t>
      </w:r>
      <w:r w:rsidR="00067141" w:rsidRPr="00225D10">
        <w:t xml:space="preserve">Loddon Mallee South </w:t>
      </w:r>
      <w:r w:rsidR="008A4BC9" w:rsidRPr="00225D10">
        <w:t xml:space="preserve">region is </w:t>
      </w:r>
      <w:r w:rsidR="00B5345F" w:rsidRPr="00225D10">
        <w:t>180,023 people</w:t>
      </w:r>
      <w:r w:rsidR="00067141" w:rsidRPr="00225D10">
        <w:t xml:space="preserve"> </w:t>
      </w:r>
      <w:r w:rsidR="008A4BC9" w:rsidRPr="00225D10">
        <w:t xml:space="preserve">(ABS </w:t>
      </w:r>
      <w:r w:rsidR="00003200" w:rsidRPr="00225D10">
        <w:t>Census 2011</w:t>
      </w:r>
      <w:r w:rsidR="008A4BC9" w:rsidRPr="00225D10">
        <w:t xml:space="preserve">). </w:t>
      </w:r>
      <w:r>
        <w:t xml:space="preserve">The ABS Census of Population and Housing is the most complete survey of the Australian population undertaken. It provides in-depth information on the population, their location, their characteristics and behaviour – but it is a snapshot, and can be done only once every five years due to the enormous logistical effort it requires. However, the ABS, the state government and many other bodies require the count of population to </w:t>
      </w:r>
      <w:proofErr w:type="gramStart"/>
      <w:r>
        <w:t>updated</w:t>
      </w:r>
      <w:proofErr w:type="gramEnd"/>
      <w:r>
        <w:t xml:space="preserve"> more often than that, in order to plan services and conduct their business. For this reason, the ABS also calculates an official population number, known as the Estimated Resident Population (published quarterly for states and annually for Local Government Areas). In a Census year, for example 2011, this population is based on a Census count, but also takes into account the variation between what is counted on Census night – which includes people on holiday, or away for business – and where people are officially resident. Between Census years the ABS uses other administrative data (births, deaths, migration) to estimate the changes in population. </w:t>
      </w:r>
    </w:p>
    <w:p w:rsidR="007A01AD" w:rsidRDefault="007A01AD" w:rsidP="00D34F87">
      <w:pPr>
        <w:pStyle w:val="bt"/>
        <w:tabs>
          <w:tab w:val="left" w:pos="8931"/>
        </w:tabs>
      </w:pPr>
      <w:r>
        <w:t>Based on this inter-</w:t>
      </w:r>
      <w:proofErr w:type="spellStart"/>
      <w:r>
        <w:t>Censusal</w:t>
      </w:r>
      <w:proofErr w:type="spellEnd"/>
      <w:r>
        <w:t xml:space="preserve"> data, the Victoria in Future (2012) population projections estimate a higher 2011 total population for the Loddon Mallee South region of 188,000.  The Victoria in Future projections are relied upon</w:t>
      </w:r>
      <w:r w:rsidR="00827296">
        <w:t xml:space="preserve"> by</w:t>
      </w:r>
      <w:r>
        <w:t xml:space="preserve"> the Victorian Government to assist its planning and service delivery functions.</w:t>
      </w:r>
    </w:p>
    <w:p w:rsidR="00614635" w:rsidRDefault="008A4BC9" w:rsidP="00D34F87">
      <w:pPr>
        <w:pStyle w:val="bt"/>
        <w:tabs>
          <w:tab w:val="left" w:pos="8931"/>
        </w:tabs>
      </w:pPr>
      <w:r w:rsidRPr="00225D10">
        <w:t xml:space="preserve">The region experienced strong population growth between 2006 and 2011, with the amount and rate of this growth </w:t>
      </w:r>
      <w:r w:rsidR="009B155F" w:rsidRPr="00225D10">
        <w:t>varying</w:t>
      </w:r>
      <w:r w:rsidRPr="00225D10">
        <w:t xml:space="preserve"> considerably across the region</w:t>
      </w:r>
      <w:r w:rsidR="008256C3">
        <w:t xml:space="preserve"> (see Figure 3)</w:t>
      </w:r>
      <w:r w:rsidRPr="00225D10">
        <w:t>. Most growth is occurring in the corridor between Bendigo and Melbourne principally in Bendigo, Castlemaine, Gisborne, Romsey and Riddells Creek. There was a small amount of growth in Central Goldfields and a modest decrease in population in Loddon Shire. The region has a significant migrant population with overseas migration projected to stay strong.</w:t>
      </w:r>
    </w:p>
    <w:p w:rsidR="00EC6C49" w:rsidRDefault="00647515">
      <w:pPr>
        <w:pStyle w:val="Caption"/>
      </w:pPr>
      <w:bookmarkStart w:id="26" w:name="_Toc352166548"/>
      <w:bookmarkStart w:id="27" w:name="_Toc374530798"/>
      <w:r w:rsidRPr="00647515">
        <w:t xml:space="preserve">Figure </w:t>
      </w:r>
      <w:r w:rsidR="00680EEE">
        <w:fldChar w:fldCharType="begin"/>
      </w:r>
      <w:r w:rsidR="00680EEE">
        <w:instrText xml:space="preserve"> SEQ Figure \* ARABIC </w:instrText>
      </w:r>
      <w:r w:rsidR="00680EEE">
        <w:fldChar w:fldCharType="separate"/>
      </w:r>
      <w:r w:rsidR="00EF1401">
        <w:rPr>
          <w:noProof/>
        </w:rPr>
        <w:t>3</w:t>
      </w:r>
      <w:r w:rsidR="00680EEE">
        <w:rPr>
          <w:noProof/>
        </w:rPr>
        <w:fldChar w:fldCharType="end"/>
      </w:r>
      <w:r w:rsidRPr="00647515">
        <w:t>: Recent growth Loddon Mallee South region, population totals and growth rates</w:t>
      </w:r>
      <w:bookmarkEnd w:id="26"/>
      <w:bookmarkEnd w:id="27"/>
    </w:p>
    <w:p w:rsidR="00C5663E" w:rsidRDefault="00C5663E" w:rsidP="00C5663E">
      <w:pPr>
        <w:pStyle w:val="bt"/>
        <w:spacing w:before="60" w:after="0"/>
      </w:pPr>
      <w:r w:rsidRPr="00225D10">
        <w:t>Greater Bendigo</w:t>
      </w:r>
    </w:p>
    <w:p w:rsidR="00C5663E" w:rsidRDefault="00C5663E" w:rsidP="00BA2D96">
      <w:pPr>
        <w:pStyle w:val="bt"/>
        <w:numPr>
          <w:ilvl w:val="0"/>
          <w:numId w:val="26"/>
        </w:numPr>
        <w:spacing w:before="60" w:after="0"/>
        <w:ind w:left="714" w:hanging="357"/>
      </w:pPr>
      <w:r w:rsidRPr="00C5663E">
        <w:t>2006</w:t>
      </w:r>
      <w:r>
        <w:t xml:space="preserve"> – </w:t>
      </w:r>
      <w:r w:rsidRPr="00225D10">
        <w:t>93,252</w:t>
      </w:r>
    </w:p>
    <w:p w:rsidR="00C5663E" w:rsidRPr="00C5663E" w:rsidRDefault="00C5663E" w:rsidP="00BA2D96">
      <w:pPr>
        <w:pStyle w:val="bt"/>
        <w:numPr>
          <w:ilvl w:val="0"/>
          <w:numId w:val="26"/>
        </w:numPr>
        <w:spacing w:before="60" w:after="0"/>
        <w:ind w:left="714" w:hanging="357"/>
      </w:pPr>
      <w:r w:rsidRPr="00C5663E">
        <w:t>2011</w:t>
      </w:r>
      <w:r>
        <w:t xml:space="preserve"> – </w:t>
      </w:r>
      <w:r w:rsidRPr="00225D10">
        <w:t>100,617</w:t>
      </w:r>
    </w:p>
    <w:p w:rsidR="00C5663E" w:rsidRDefault="00C5663E" w:rsidP="00BA2D96">
      <w:pPr>
        <w:pStyle w:val="bt"/>
        <w:numPr>
          <w:ilvl w:val="0"/>
          <w:numId w:val="25"/>
        </w:numPr>
        <w:spacing w:before="60" w:after="0"/>
        <w:ind w:left="714" w:hanging="357"/>
      </w:pPr>
      <w:r w:rsidRPr="00C5663E">
        <w:t>Average Annual Growth Rate</w:t>
      </w:r>
      <w:r>
        <w:t xml:space="preserve"> – </w:t>
      </w:r>
      <w:r w:rsidRPr="00225D10">
        <w:t>1.53</w:t>
      </w:r>
    </w:p>
    <w:p w:rsidR="00C5663E" w:rsidRDefault="00C5663E" w:rsidP="00C5663E">
      <w:pPr>
        <w:pStyle w:val="bt"/>
        <w:spacing w:before="60" w:after="0"/>
      </w:pPr>
      <w:r w:rsidRPr="00225D10">
        <w:t>Macedon Ranges</w:t>
      </w:r>
    </w:p>
    <w:p w:rsidR="00C5663E" w:rsidRDefault="00C5663E" w:rsidP="00BA2D96">
      <w:pPr>
        <w:pStyle w:val="bt"/>
        <w:numPr>
          <w:ilvl w:val="0"/>
          <w:numId w:val="26"/>
        </w:numPr>
        <w:spacing w:before="60" w:after="0"/>
        <w:ind w:left="714" w:hanging="357"/>
      </w:pPr>
      <w:r w:rsidRPr="00C5663E">
        <w:t>2006</w:t>
      </w:r>
      <w:r>
        <w:t xml:space="preserve"> – </w:t>
      </w:r>
      <w:r w:rsidRPr="00225D10">
        <w:t>38,360</w:t>
      </w:r>
    </w:p>
    <w:p w:rsidR="00C5663E" w:rsidRPr="00C5663E" w:rsidRDefault="00C5663E" w:rsidP="00BA2D96">
      <w:pPr>
        <w:pStyle w:val="bt"/>
        <w:numPr>
          <w:ilvl w:val="0"/>
          <w:numId w:val="26"/>
        </w:numPr>
        <w:spacing w:before="60" w:after="0"/>
        <w:ind w:left="714" w:hanging="357"/>
      </w:pPr>
      <w:r w:rsidRPr="00C5663E">
        <w:t>2011</w:t>
      </w:r>
      <w:r>
        <w:t xml:space="preserve"> – </w:t>
      </w:r>
      <w:r w:rsidRPr="00225D10">
        <w:t>41,860</w:t>
      </w:r>
    </w:p>
    <w:p w:rsidR="00C5663E" w:rsidRPr="00C5663E" w:rsidRDefault="00C5663E" w:rsidP="00BA2D96">
      <w:pPr>
        <w:pStyle w:val="bt"/>
        <w:numPr>
          <w:ilvl w:val="0"/>
          <w:numId w:val="25"/>
        </w:numPr>
        <w:spacing w:before="60" w:after="0"/>
        <w:ind w:left="714" w:hanging="357"/>
      </w:pPr>
      <w:r w:rsidRPr="00C5663E">
        <w:t>Average Annual Growth Rate</w:t>
      </w:r>
      <w:r>
        <w:t xml:space="preserve"> – </w:t>
      </w:r>
      <w:r w:rsidRPr="00225D10">
        <w:t>1.76</w:t>
      </w:r>
    </w:p>
    <w:p w:rsidR="00C5663E" w:rsidRDefault="00C5663E" w:rsidP="00C5663E">
      <w:pPr>
        <w:pStyle w:val="bt"/>
        <w:spacing w:before="60" w:after="0"/>
      </w:pPr>
      <w:r w:rsidRPr="00225D10">
        <w:t>Mount Alexander</w:t>
      </w:r>
    </w:p>
    <w:p w:rsidR="00C5663E" w:rsidRDefault="00C5663E" w:rsidP="00BA2D96">
      <w:pPr>
        <w:pStyle w:val="bt"/>
        <w:numPr>
          <w:ilvl w:val="0"/>
          <w:numId w:val="26"/>
        </w:numPr>
        <w:spacing w:before="60" w:after="0"/>
        <w:ind w:left="714" w:hanging="357"/>
      </w:pPr>
      <w:r w:rsidRPr="00C5663E">
        <w:t>2006</w:t>
      </w:r>
      <w:r>
        <w:t xml:space="preserve"> – </w:t>
      </w:r>
      <w:r w:rsidRPr="00225D10">
        <w:t>17,066</w:t>
      </w:r>
    </w:p>
    <w:p w:rsidR="00C5663E" w:rsidRPr="00C5663E" w:rsidRDefault="00C5663E" w:rsidP="00BA2D96">
      <w:pPr>
        <w:pStyle w:val="bt"/>
        <w:numPr>
          <w:ilvl w:val="0"/>
          <w:numId w:val="26"/>
        </w:numPr>
        <w:spacing w:before="60" w:after="0"/>
        <w:ind w:left="714" w:hanging="357"/>
      </w:pPr>
      <w:r w:rsidRPr="00C5663E">
        <w:t>2011</w:t>
      </w:r>
      <w:r>
        <w:t xml:space="preserve"> – </w:t>
      </w:r>
      <w:r w:rsidRPr="00225D10">
        <w:t>17,591</w:t>
      </w:r>
    </w:p>
    <w:p w:rsidR="00C5663E" w:rsidRPr="00C5663E" w:rsidRDefault="00C5663E" w:rsidP="00BA2D96">
      <w:pPr>
        <w:pStyle w:val="bt"/>
        <w:numPr>
          <w:ilvl w:val="0"/>
          <w:numId w:val="25"/>
        </w:numPr>
        <w:spacing w:before="60" w:after="0"/>
        <w:ind w:left="714" w:hanging="357"/>
      </w:pPr>
      <w:r w:rsidRPr="00C5663E">
        <w:t>Average Annual Growth Rate</w:t>
      </w:r>
      <w:r>
        <w:t xml:space="preserve"> – </w:t>
      </w:r>
      <w:r w:rsidRPr="00225D10">
        <w:t>0.61</w:t>
      </w:r>
    </w:p>
    <w:p w:rsidR="00C5663E" w:rsidRDefault="00C5663E" w:rsidP="00C5663E">
      <w:pPr>
        <w:pStyle w:val="bt"/>
        <w:spacing w:before="60" w:after="0"/>
      </w:pPr>
      <w:r w:rsidRPr="00225D10">
        <w:t>Central Goldfields</w:t>
      </w:r>
    </w:p>
    <w:p w:rsidR="00C5663E" w:rsidRDefault="00C5663E" w:rsidP="00BA2D96">
      <w:pPr>
        <w:pStyle w:val="bt"/>
        <w:numPr>
          <w:ilvl w:val="0"/>
          <w:numId w:val="26"/>
        </w:numPr>
        <w:spacing w:before="60" w:after="0"/>
        <w:ind w:left="714" w:hanging="357"/>
      </w:pPr>
      <w:r w:rsidRPr="00C5663E">
        <w:t>2006</w:t>
      </w:r>
      <w:r>
        <w:t xml:space="preserve"> – </w:t>
      </w:r>
      <w:r w:rsidRPr="00225D10">
        <w:t>12,323</w:t>
      </w:r>
    </w:p>
    <w:p w:rsidR="00C5663E" w:rsidRPr="00C5663E" w:rsidRDefault="00C5663E" w:rsidP="00BA2D96">
      <w:pPr>
        <w:pStyle w:val="bt"/>
        <w:numPr>
          <w:ilvl w:val="0"/>
          <w:numId w:val="26"/>
        </w:numPr>
        <w:spacing w:before="60" w:after="0"/>
        <w:ind w:left="714" w:hanging="357"/>
      </w:pPr>
      <w:r w:rsidRPr="00C5663E">
        <w:lastRenderedPageBreak/>
        <w:t>2011</w:t>
      </w:r>
      <w:r>
        <w:t xml:space="preserve"> – </w:t>
      </w:r>
      <w:r w:rsidRPr="00225D10">
        <w:t>12,496</w:t>
      </w:r>
    </w:p>
    <w:p w:rsidR="00C5663E" w:rsidRPr="00C5663E" w:rsidRDefault="00C5663E" w:rsidP="00BA2D96">
      <w:pPr>
        <w:pStyle w:val="bt"/>
        <w:numPr>
          <w:ilvl w:val="0"/>
          <w:numId w:val="25"/>
        </w:numPr>
        <w:spacing w:before="60" w:after="0"/>
        <w:ind w:left="714" w:hanging="357"/>
      </w:pPr>
      <w:r w:rsidRPr="00C5663E">
        <w:t>Average Annual Growth Rate</w:t>
      </w:r>
      <w:r>
        <w:t xml:space="preserve"> – </w:t>
      </w:r>
      <w:r w:rsidRPr="00225D10">
        <w:t>0.28</w:t>
      </w:r>
    </w:p>
    <w:p w:rsidR="00C5663E" w:rsidRDefault="00C5663E" w:rsidP="00C5663E">
      <w:pPr>
        <w:pStyle w:val="bt"/>
        <w:spacing w:before="60" w:after="0"/>
      </w:pPr>
      <w:r w:rsidRPr="00225D10">
        <w:t>Loddon</w:t>
      </w:r>
    </w:p>
    <w:p w:rsidR="00C5663E" w:rsidRDefault="00C5663E" w:rsidP="00BA2D96">
      <w:pPr>
        <w:pStyle w:val="bt"/>
        <w:numPr>
          <w:ilvl w:val="0"/>
          <w:numId w:val="26"/>
        </w:numPr>
        <w:spacing w:before="60" w:after="0"/>
        <w:ind w:left="714" w:hanging="357"/>
      </w:pPr>
      <w:r w:rsidRPr="00C5663E">
        <w:t>2006</w:t>
      </w:r>
      <w:r>
        <w:t xml:space="preserve"> – 7</w:t>
      </w:r>
      <w:r w:rsidRPr="00225D10">
        <w:t>836</w:t>
      </w:r>
    </w:p>
    <w:p w:rsidR="00C5663E" w:rsidRPr="00C5663E" w:rsidRDefault="00C5663E" w:rsidP="00BA2D96">
      <w:pPr>
        <w:pStyle w:val="bt"/>
        <w:numPr>
          <w:ilvl w:val="0"/>
          <w:numId w:val="26"/>
        </w:numPr>
        <w:spacing w:before="60" w:after="0"/>
        <w:ind w:left="714" w:hanging="357"/>
      </w:pPr>
      <w:r w:rsidRPr="00C5663E">
        <w:t>2011</w:t>
      </w:r>
      <w:r>
        <w:t xml:space="preserve"> – 7</w:t>
      </w:r>
      <w:r w:rsidRPr="00225D10">
        <w:t>459</w:t>
      </w:r>
    </w:p>
    <w:p w:rsidR="00C5663E" w:rsidRPr="00C5663E" w:rsidRDefault="00C5663E" w:rsidP="00BA2D96">
      <w:pPr>
        <w:pStyle w:val="bt"/>
        <w:numPr>
          <w:ilvl w:val="0"/>
          <w:numId w:val="25"/>
        </w:numPr>
        <w:spacing w:before="60" w:after="0"/>
        <w:ind w:left="714" w:hanging="357"/>
      </w:pPr>
      <w:r w:rsidRPr="00C5663E">
        <w:t>Average Annual Growth Rate</w:t>
      </w:r>
      <w:r>
        <w:t xml:space="preserve"> – </w:t>
      </w:r>
      <w:r w:rsidRPr="00225D10">
        <w:t>-0.98</w:t>
      </w:r>
    </w:p>
    <w:p w:rsidR="00C5663E" w:rsidRPr="00C5663E" w:rsidRDefault="00C5663E" w:rsidP="00C5663E">
      <w:pPr>
        <w:pStyle w:val="bt"/>
        <w:spacing w:before="60" w:after="0"/>
      </w:pPr>
      <w:r w:rsidRPr="00C5663E">
        <w:t>L</w:t>
      </w:r>
      <w:r>
        <w:t xml:space="preserve">oddon </w:t>
      </w:r>
      <w:r w:rsidRPr="00C5663E">
        <w:t>M</w:t>
      </w:r>
      <w:r>
        <w:t xml:space="preserve">allee </w:t>
      </w:r>
      <w:r w:rsidRPr="00C5663E">
        <w:t>S</w:t>
      </w:r>
      <w:r>
        <w:t>outh</w:t>
      </w:r>
      <w:r w:rsidRPr="00C5663E">
        <w:t xml:space="preserve"> Region</w:t>
      </w:r>
    </w:p>
    <w:p w:rsidR="00C5663E" w:rsidRDefault="00C5663E" w:rsidP="00BA2D96">
      <w:pPr>
        <w:pStyle w:val="bt"/>
        <w:numPr>
          <w:ilvl w:val="0"/>
          <w:numId w:val="26"/>
        </w:numPr>
        <w:spacing w:before="60" w:after="0"/>
        <w:ind w:left="714" w:hanging="357"/>
      </w:pPr>
      <w:r w:rsidRPr="00C5663E">
        <w:t>2006</w:t>
      </w:r>
      <w:r>
        <w:t xml:space="preserve"> – </w:t>
      </w:r>
      <w:r w:rsidRPr="00330027">
        <w:rPr>
          <w:b/>
        </w:rPr>
        <w:t>168,837</w:t>
      </w:r>
    </w:p>
    <w:p w:rsidR="00C5663E" w:rsidRPr="00C5663E" w:rsidRDefault="00C5663E" w:rsidP="00BA2D96">
      <w:pPr>
        <w:pStyle w:val="bt"/>
        <w:numPr>
          <w:ilvl w:val="0"/>
          <w:numId w:val="26"/>
        </w:numPr>
        <w:spacing w:before="60" w:after="0"/>
        <w:ind w:left="714" w:hanging="357"/>
      </w:pPr>
      <w:r w:rsidRPr="00C5663E">
        <w:t>2011</w:t>
      </w:r>
      <w:r>
        <w:t xml:space="preserve"> – </w:t>
      </w:r>
      <w:r w:rsidRPr="00330027">
        <w:rPr>
          <w:b/>
        </w:rPr>
        <w:t>180,023</w:t>
      </w:r>
    </w:p>
    <w:p w:rsidR="00C5663E" w:rsidRPr="00C5663E" w:rsidRDefault="00C5663E" w:rsidP="00BA2D96">
      <w:pPr>
        <w:pStyle w:val="bt"/>
        <w:numPr>
          <w:ilvl w:val="0"/>
          <w:numId w:val="25"/>
        </w:numPr>
        <w:spacing w:before="60" w:after="0"/>
        <w:ind w:left="714" w:hanging="357"/>
      </w:pPr>
      <w:r w:rsidRPr="00C5663E">
        <w:t>Average Annual Growth Rate</w:t>
      </w:r>
      <w:r>
        <w:t xml:space="preserve"> – </w:t>
      </w:r>
      <w:r w:rsidRPr="00330027">
        <w:rPr>
          <w:b/>
        </w:rPr>
        <w:t>1.29</w:t>
      </w:r>
    </w:p>
    <w:p w:rsidR="00C5663E" w:rsidRPr="00C5663E" w:rsidRDefault="008A4BC9" w:rsidP="00C5663E">
      <w:pPr>
        <w:pStyle w:val="Source"/>
        <w:tabs>
          <w:tab w:val="left" w:pos="8931"/>
        </w:tabs>
      </w:pPr>
      <w:r w:rsidRPr="00225D10">
        <w:t xml:space="preserve">Source: </w:t>
      </w:r>
      <w:r w:rsidR="00D71B33">
        <w:t>Australian Bureau of Statistics</w:t>
      </w:r>
      <w:r w:rsidRPr="00225D10">
        <w:t xml:space="preserve"> Census 2006 and 2011</w:t>
      </w:r>
    </w:p>
    <w:p w:rsidR="00EC6C49" w:rsidRDefault="002C499E">
      <w:pPr>
        <w:pStyle w:val="Caption"/>
      </w:pPr>
      <w:bookmarkStart w:id="28" w:name="_Toc374530799"/>
      <w:r w:rsidRPr="002C499E">
        <w:t xml:space="preserve">Figure </w:t>
      </w:r>
      <w:r w:rsidR="00162534" w:rsidRPr="002C499E">
        <w:rPr>
          <w:i w:val="0"/>
        </w:rPr>
        <w:fldChar w:fldCharType="begin"/>
      </w:r>
      <w:r w:rsidRPr="002C499E">
        <w:instrText xml:space="preserve"> SEQ Figure \* ARABIC </w:instrText>
      </w:r>
      <w:r w:rsidR="00162534" w:rsidRPr="002C499E">
        <w:rPr>
          <w:i w:val="0"/>
        </w:rPr>
        <w:fldChar w:fldCharType="separate"/>
      </w:r>
      <w:r w:rsidR="00EF1401">
        <w:rPr>
          <w:noProof/>
        </w:rPr>
        <w:t>4</w:t>
      </w:r>
      <w:r w:rsidR="00162534" w:rsidRPr="002C499E">
        <w:rPr>
          <w:i w:val="0"/>
        </w:rPr>
        <w:fldChar w:fldCharType="end"/>
      </w:r>
      <w:r w:rsidRPr="002C499E">
        <w:t>: Town population 2011</w:t>
      </w:r>
      <w:bookmarkEnd w:id="28"/>
    </w:p>
    <w:p w:rsidR="008C43A2" w:rsidRPr="00330027" w:rsidRDefault="008C43A2" w:rsidP="008C43A2">
      <w:pPr>
        <w:pStyle w:val="bt"/>
      </w:pPr>
      <w:r w:rsidRPr="00330027">
        <w:t>Greater Bendigo</w:t>
      </w:r>
    </w:p>
    <w:p w:rsidR="008C43A2" w:rsidRPr="00225D10" w:rsidRDefault="008C43A2" w:rsidP="008C43A2">
      <w:pPr>
        <w:pStyle w:val="ListBullet"/>
      </w:pPr>
      <w:r w:rsidRPr="00225D10">
        <w:t>Urban Bendigo, 82,794</w:t>
      </w:r>
    </w:p>
    <w:p w:rsidR="008C43A2" w:rsidRPr="00225D10" w:rsidRDefault="008C43A2" w:rsidP="008C43A2">
      <w:pPr>
        <w:pStyle w:val="ListBullet"/>
      </w:pPr>
      <w:r w:rsidRPr="00225D10">
        <w:t xml:space="preserve">Heathcote, </w:t>
      </w:r>
      <w:r>
        <w:t>1</w:t>
      </w:r>
      <w:r w:rsidRPr="00225D10">
        <w:t>688</w:t>
      </w:r>
    </w:p>
    <w:p w:rsidR="008C43A2" w:rsidRPr="00225D10" w:rsidRDefault="008C43A2" w:rsidP="008C43A2">
      <w:pPr>
        <w:pStyle w:val="ListBullet"/>
      </w:pPr>
      <w:r w:rsidRPr="00225D10">
        <w:t>Elmore, 668</w:t>
      </w:r>
    </w:p>
    <w:p w:rsidR="008C43A2" w:rsidRPr="00225D10" w:rsidRDefault="008C43A2" w:rsidP="008C43A2">
      <w:pPr>
        <w:pStyle w:val="ListBullet"/>
      </w:pPr>
      <w:r w:rsidRPr="00225D10">
        <w:t>Marong, 351</w:t>
      </w:r>
    </w:p>
    <w:p w:rsidR="008C43A2" w:rsidRPr="00225D10" w:rsidRDefault="008C43A2" w:rsidP="008C43A2">
      <w:pPr>
        <w:pStyle w:val="ListBullet"/>
      </w:pPr>
      <w:r w:rsidRPr="00225D10">
        <w:t>Axedale, 216</w:t>
      </w:r>
    </w:p>
    <w:p w:rsidR="008C43A2" w:rsidRPr="00225D10" w:rsidRDefault="008C43A2" w:rsidP="008C43A2">
      <w:pPr>
        <w:pStyle w:val="ListBullet"/>
      </w:pPr>
      <w:r w:rsidRPr="00225D10">
        <w:t>Goornong, 261</w:t>
      </w:r>
    </w:p>
    <w:p w:rsidR="008C43A2" w:rsidRPr="00225D10" w:rsidRDefault="008C43A2" w:rsidP="008C43A2">
      <w:pPr>
        <w:pStyle w:val="ListBullet"/>
      </w:pPr>
      <w:r w:rsidRPr="00225D10">
        <w:t>Non-urban balance, 14,639</w:t>
      </w:r>
    </w:p>
    <w:p w:rsidR="008C43A2" w:rsidRPr="00330027" w:rsidRDefault="008C43A2" w:rsidP="008C43A2">
      <w:pPr>
        <w:pStyle w:val="bt"/>
        <w:rPr>
          <w:rFonts w:cs="Calibri"/>
          <w:color w:val="000000"/>
          <w:szCs w:val="22"/>
        </w:rPr>
      </w:pPr>
      <w:r w:rsidRPr="00330027">
        <w:t>Mt Alexander</w:t>
      </w:r>
    </w:p>
    <w:p w:rsidR="008C43A2" w:rsidRPr="00225D10" w:rsidRDefault="008C43A2" w:rsidP="008C43A2">
      <w:pPr>
        <w:pStyle w:val="ListBullet"/>
      </w:pPr>
      <w:r w:rsidRPr="00225D10">
        <w:t xml:space="preserve">Castlemaine, </w:t>
      </w:r>
      <w:r>
        <w:t>9</w:t>
      </w:r>
      <w:r w:rsidRPr="00225D10">
        <w:t>124</w:t>
      </w:r>
    </w:p>
    <w:p w:rsidR="008C43A2" w:rsidRPr="00225D10" w:rsidRDefault="008C43A2" w:rsidP="008C43A2">
      <w:pPr>
        <w:pStyle w:val="ListBullet"/>
      </w:pPr>
      <w:r w:rsidRPr="00225D10">
        <w:t xml:space="preserve">Maldon, </w:t>
      </w:r>
      <w:r>
        <w:t>1</w:t>
      </w:r>
      <w:r w:rsidRPr="00225D10">
        <w:t>236</w:t>
      </w:r>
    </w:p>
    <w:p w:rsidR="008C43A2" w:rsidRPr="00225D10" w:rsidRDefault="008C43A2" w:rsidP="008C43A2">
      <w:pPr>
        <w:pStyle w:val="ListBullet"/>
      </w:pPr>
      <w:r w:rsidRPr="00225D10">
        <w:t>Newstead, 512</w:t>
      </w:r>
    </w:p>
    <w:p w:rsidR="008C43A2" w:rsidRPr="00225D10" w:rsidRDefault="008C43A2" w:rsidP="008C43A2">
      <w:pPr>
        <w:pStyle w:val="ListBullet"/>
      </w:pPr>
      <w:r w:rsidRPr="00225D10">
        <w:t>Harcourt, 479</w:t>
      </w:r>
    </w:p>
    <w:p w:rsidR="008C43A2" w:rsidRPr="00225D10" w:rsidRDefault="008C43A2" w:rsidP="008C43A2">
      <w:pPr>
        <w:pStyle w:val="ListBullet"/>
      </w:pPr>
      <w:r w:rsidRPr="00225D10">
        <w:t>Guildford, 244</w:t>
      </w:r>
    </w:p>
    <w:p w:rsidR="008C43A2" w:rsidRPr="00330027" w:rsidRDefault="008C43A2" w:rsidP="008C43A2">
      <w:pPr>
        <w:pStyle w:val="bt"/>
      </w:pPr>
      <w:r w:rsidRPr="00330027">
        <w:t>Loddon</w:t>
      </w:r>
    </w:p>
    <w:p w:rsidR="008C43A2" w:rsidRPr="00225D10" w:rsidRDefault="008C43A2" w:rsidP="008C43A2">
      <w:pPr>
        <w:pStyle w:val="ListBullet"/>
      </w:pPr>
      <w:r w:rsidRPr="00225D10">
        <w:t>Boort, 760</w:t>
      </w:r>
    </w:p>
    <w:p w:rsidR="008C43A2" w:rsidRPr="00225D10" w:rsidRDefault="008C43A2" w:rsidP="008C43A2">
      <w:pPr>
        <w:pStyle w:val="ListBullet"/>
      </w:pPr>
      <w:r w:rsidRPr="00225D10">
        <w:t>Inglewood, 711</w:t>
      </w:r>
    </w:p>
    <w:p w:rsidR="008C43A2" w:rsidRPr="00225D10" w:rsidRDefault="008C43A2" w:rsidP="008C43A2">
      <w:pPr>
        <w:pStyle w:val="ListBullet"/>
      </w:pPr>
      <w:r w:rsidRPr="00225D10">
        <w:t>Wedderburn, 680</w:t>
      </w:r>
    </w:p>
    <w:p w:rsidR="008C43A2" w:rsidRPr="00225D10" w:rsidRDefault="008C43A2" w:rsidP="008C43A2">
      <w:pPr>
        <w:pStyle w:val="ListBullet"/>
      </w:pPr>
      <w:r w:rsidRPr="00225D10">
        <w:t>Pyramid Hill, 419</w:t>
      </w:r>
    </w:p>
    <w:p w:rsidR="008C43A2" w:rsidRPr="00225D10" w:rsidRDefault="008C43A2" w:rsidP="008C43A2">
      <w:pPr>
        <w:pStyle w:val="ListBullet"/>
      </w:pPr>
      <w:r w:rsidRPr="00225D10">
        <w:t>Bridgewater, 363</w:t>
      </w:r>
    </w:p>
    <w:p w:rsidR="008C43A2" w:rsidRPr="00330027" w:rsidRDefault="008C43A2" w:rsidP="008C43A2">
      <w:pPr>
        <w:pStyle w:val="bt"/>
      </w:pPr>
      <w:r w:rsidRPr="00330027">
        <w:t>Macedon Ranges</w:t>
      </w:r>
    </w:p>
    <w:p w:rsidR="008C43A2" w:rsidRPr="00225D10" w:rsidRDefault="008C43A2" w:rsidP="008C43A2">
      <w:pPr>
        <w:pStyle w:val="ListBullet"/>
      </w:pPr>
      <w:r w:rsidRPr="00225D10">
        <w:t xml:space="preserve">Gisborne, </w:t>
      </w:r>
      <w:r>
        <w:t>8</w:t>
      </w:r>
      <w:r w:rsidRPr="00225D10">
        <w:t>057</w:t>
      </w:r>
    </w:p>
    <w:p w:rsidR="008C43A2" w:rsidRPr="00225D10" w:rsidRDefault="008C43A2" w:rsidP="008C43A2">
      <w:pPr>
        <w:pStyle w:val="ListBullet"/>
      </w:pPr>
      <w:r w:rsidRPr="00225D10">
        <w:t xml:space="preserve">Kyneton, </w:t>
      </w:r>
      <w:r>
        <w:t>4</w:t>
      </w:r>
      <w:r w:rsidRPr="00225D10">
        <w:t>460</w:t>
      </w:r>
    </w:p>
    <w:p w:rsidR="008C43A2" w:rsidRPr="00225D10" w:rsidRDefault="008C43A2" w:rsidP="008C43A2">
      <w:pPr>
        <w:pStyle w:val="ListBullet"/>
      </w:pPr>
      <w:r w:rsidRPr="00225D10">
        <w:t xml:space="preserve">Romsey, </w:t>
      </w:r>
      <w:r>
        <w:t>3</w:t>
      </w:r>
      <w:r w:rsidRPr="00225D10">
        <w:t>678</w:t>
      </w:r>
    </w:p>
    <w:p w:rsidR="008C43A2" w:rsidRPr="00225D10" w:rsidRDefault="008C43A2" w:rsidP="008C43A2">
      <w:pPr>
        <w:pStyle w:val="ListBullet"/>
      </w:pPr>
      <w:r w:rsidRPr="00225D10">
        <w:t xml:space="preserve">Woodend, </w:t>
      </w:r>
      <w:r>
        <w:t>3</w:t>
      </w:r>
      <w:r w:rsidRPr="00225D10">
        <w:t>415</w:t>
      </w:r>
    </w:p>
    <w:p w:rsidR="008C43A2" w:rsidRPr="00225D10" w:rsidRDefault="008C43A2" w:rsidP="008C43A2">
      <w:pPr>
        <w:pStyle w:val="ListBullet"/>
      </w:pPr>
      <w:r w:rsidRPr="00225D10">
        <w:t xml:space="preserve">Riddells Creek, </w:t>
      </w:r>
      <w:r>
        <w:t>2</w:t>
      </w:r>
      <w:r w:rsidRPr="00225D10">
        <w:t>976</w:t>
      </w:r>
    </w:p>
    <w:p w:rsidR="008C43A2" w:rsidRPr="00225D10" w:rsidRDefault="008C43A2" w:rsidP="008C43A2">
      <w:pPr>
        <w:pStyle w:val="ListBullet"/>
      </w:pPr>
      <w:r w:rsidRPr="00225D10">
        <w:t xml:space="preserve">Macedon, </w:t>
      </w:r>
      <w:r>
        <w:t>2</w:t>
      </w:r>
      <w:r w:rsidRPr="00225D10">
        <w:t>631</w:t>
      </w:r>
    </w:p>
    <w:p w:rsidR="008C43A2" w:rsidRPr="00225D10" w:rsidRDefault="008C43A2" w:rsidP="008C43A2">
      <w:pPr>
        <w:pStyle w:val="ListBullet"/>
      </w:pPr>
      <w:r w:rsidRPr="00225D10">
        <w:t xml:space="preserve">Lancefield, </w:t>
      </w:r>
      <w:r>
        <w:t>1</w:t>
      </w:r>
      <w:r w:rsidRPr="00225D10">
        <w:t>262</w:t>
      </w:r>
    </w:p>
    <w:p w:rsidR="008C43A2" w:rsidRPr="00225D10" w:rsidRDefault="008C43A2" w:rsidP="008C43A2">
      <w:pPr>
        <w:pStyle w:val="ListBullet"/>
      </w:pPr>
      <w:r w:rsidRPr="00225D10">
        <w:t>Malmsbury, 612</w:t>
      </w:r>
    </w:p>
    <w:p w:rsidR="008C43A2" w:rsidRPr="00225D10" w:rsidRDefault="008C43A2" w:rsidP="008C43A2">
      <w:pPr>
        <w:pStyle w:val="ListBullet"/>
      </w:pPr>
      <w:r w:rsidRPr="00225D10">
        <w:t>Tylden, 355</w:t>
      </w:r>
    </w:p>
    <w:p w:rsidR="008C43A2" w:rsidRPr="00330027" w:rsidRDefault="008C43A2" w:rsidP="008C43A2">
      <w:pPr>
        <w:pStyle w:val="bt"/>
        <w:rPr>
          <w:rFonts w:cs="Calibri"/>
          <w:color w:val="000000"/>
          <w:szCs w:val="22"/>
        </w:rPr>
      </w:pPr>
      <w:r w:rsidRPr="00330027">
        <w:t>Central Goldfields</w:t>
      </w:r>
    </w:p>
    <w:p w:rsidR="008C43A2" w:rsidRPr="00225D10" w:rsidRDefault="008C43A2" w:rsidP="008C43A2">
      <w:pPr>
        <w:pStyle w:val="ListBullet"/>
      </w:pPr>
      <w:r w:rsidRPr="00225D10">
        <w:t xml:space="preserve">Maryborough, </w:t>
      </w:r>
      <w:r>
        <w:t>7</w:t>
      </w:r>
      <w:r w:rsidRPr="00225D10">
        <w:t>174</w:t>
      </w:r>
    </w:p>
    <w:p w:rsidR="008C43A2" w:rsidRPr="00225D10" w:rsidRDefault="008C43A2" w:rsidP="008C43A2">
      <w:pPr>
        <w:pStyle w:val="ListBullet"/>
      </w:pPr>
      <w:r w:rsidRPr="00225D10">
        <w:lastRenderedPageBreak/>
        <w:t>Carisbrook, 791</w:t>
      </w:r>
    </w:p>
    <w:p w:rsidR="008C43A2" w:rsidRPr="00225D10" w:rsidRDefault="008C43A2" w:rsidP="008C43A2">
      <w:pPr>
        <w:pStyle w:val="ListBullet"/>
      </w:pPr>
      <w:r w:rsidRPr="00225D10">
        <w:t>Dunolly, 638</w:t>
      </w:r>
    </w:p>
    <w:p w:rsidR="008C43A2" w:rsidRPr="00225D10" w:rsidRDefault="008C43A2" w:rsidP="008C43A2">
      <w:pPr>
        <w:pStyle w:val="ListBullet"/>
      </w:pPr>
      <w:r>
        <w:t>Talbot</w:t>
      </w:r>
      <w:r w:rsidRPr="00225D10">
        <w:t xml:space="preserve">, </w:t>
      </w:r>
      <w:r>
        <w:t>258</w:t>
      </w:r>
    </w:p>
    <w:p w:rsidR="00EC6C49" w:rsidRDefault="002C499E">
      <w:pPr>
        <w:pStyle w:val="Source"/>
      </w:pPr>
      <w:r w:rsidRPr="00F82567">
        <w:t>Source: Department of Planning and Community Development</w:t>
      </w:r>
      <w:r>
        <w:t xml:space="preserve"> and Australian Bureau of Statistics</w:t>
      </w:r>
      <w:r w:rsidRPr="00F82567">
        <w:t xml:space="preserve"> Census 2011</w:t>
      </w:r>
    </w:p>
    <w:p w:rsidR="00EC6C49" w:rsidRDefault="00647515">
      <w:pPr>
        <w:pStyle w:val="bt"/>
      </w:pPr>
      <w:r w:rsidRPr="00647515">
        <w:t xml:space="preserve">The population of urban Bendigo was calculated using the ABS Urban Centre/Locality for Bendigo 2011 (refer to </w:t>
      </w:r>
      <w:r w:rsidR="00680EEE">
        <w:fldChar w:fldCharType="begin"/>
      </w:r>
      <w:r w:rsidR="00680EEE">
        <w:instrText xml:space="preserve"> REF _Ref352165479 \h  \* MERGEFORMAT </w:instrText>
      </w:r>
      <w:r w:rsidR="00680EEE">
        <w:fldChar w:fldCharType="separate"/>
      </w:r>
      <w:r w:rsidR="00EF1401" w:rsidRPr="00225D10">
        <w:t xml:space="preserve">Figure </w:t>
      </w:r>
      <w:r w:rsidR="00EF1401">
        <w:t>5</w:t>
      </w:r>
      <w:r w:rsidR="00680EEE">
        <w:fldChar w:fldCharType="end"/>
      </w:r>
      <w:r w:rsidRPr="00647515">
        <w:t>).</w:t>
      </w:r>
    </w:p>
    <w:p w:rsidR="00EC6C49" w:rsidRDefault="00EC6C49">
      <w:pPr>
        <w:pStyle w:val="Caption"/>
      </w:pPr>
      <w:r>
        <w:rPr>
          <w:noProof/>
        </w:rPr>
        <w:drawing>
          <wp:anchor distT="0" distB="0" distL="114300" distR="114300" simplePos="0" relativeHeight="251684864" behindDoc="0" locked="0" layoutInCell="1" allowOverlap="1">
            <wp:simplePos x="0" y="0"/>
            <wp:positionH relativeFrom="column">
              <wp:posOffset>-4445</wp:posOffset>
            </wp:positionH>
            <wp:positionV relativeFrom="paragraph">
              <wp:posOffset>358140</wp:posOffset>
            </wp:positionV>
            <wp:extent cx="6508750" cy="4438015"/>
            <wp:effectExtent l="19050" t="0" r="6350" b="0"/>
            <wp:wrapTopAndBottom/>
            <wp:docPr id="1" name="Picture 1" descr="Figure 5 map showing Loddon Mallee South - ABS Urban Centre/Locality for Bendig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S-Background Paper-ABS Urban Centres Locality of Bendigo 2011-A4-1Feb2013"/>
                    <pic:cNvPicPr>
                      <a:picLocks noChangeAspect="1" noChangeArrowheads="1"/>
                    </pic:cNvPicPr>
                  </pic:nvPicPr>
                  <pic:blipFill>
                    <a:blip r:embed="rId18" cstate="email"/>
                    <a:srcRect/>
                    <a:stretch>
                      <a:fillRect/>
                    </a:stretch>
                  </pic:blipFill>
                  <pic:spPr bwMode="auto">
                    <a:xfrm>
                      <a:off x="0" y="0"/>
                      <a:ext cx="6508750" cy="4438015"/>
                    </a:xfrm>
                    <a:prstGeom prst="rect">
                      <a:avLst/>
                    </a:prstGeom>
                    <a:noFill/>
                    <a:ln w="9525">
                      <a:noFill/>
                      <a:miter lim="800000"/>
                      <a:headEnd/>
                      <a:tailEnd/>
                    </a:ln>
                  </pic:spPr>
                </pic:pic>
              </a:graphicData>
            </a:graphic>
          </wp:anchor>
        </w:drawing>
      </w:r>
      <w:bookmarkStart w:id="29" w:name="_Ref352165479"/>
      <w:bookmarkStart w:id="30" w:name="_Toc352166550"/>
      <w:bookmarkStart w:id="31" w:name="_Toc374530800"/>
      <w:r w:rsidR="00136C51" w:rsidRPr="00225D10">
        <w:t xml:space="preserve">Figure </w:t>
      </w:r>
      <w:r w:rsidR="00162534">
        <w:fldChar w:fldCharType="begin"/>
      </w:r>
      <w:r w:rsidR="00154847">
        <w:instrText xml:space="preserve"> SEQ Figure \* ARABIC </w:instrText>
      </w:r>
      <w:r w:rsidR="00162534">
        <w:fldChar w:fldCharType="separate"/>
      </w:r>
      <w:r w:rsidR="00EF1401">
        <w:rPr>
          <w:noProof/>
        </w:rPr>
        <w:t>5</w:t>
      </w:r>
      <w:r w:rsidR="00162534">
        <w:fldChar w:fldCharType="end"/>
      </w:r>
      <w:bookmarkEnd w:id="29"/>
      <w:r w:rsidR="00377F5C">
        <w:t xml:space="preserve">: </w:t>
      </w:r>
      <w:r w:rsidR="00D71B33">
        <w:t>Australian Bureau of Statistics</w:t>
      </w:r>
      <w:r w:rsidR="00136C51" w:rsidRPr="00225D10">
        <w:t xml:space="preserve"> Urban centre/Locality for Bendigo 2011</w:t>
      </w:r>
      <w:bookmarkEnd w:id="30"/>
      <w:bookmarkEnd w:id="31"/>
    </w:p>
    <w:p w:rsidR="001A6596" w:rsidRPr="002E5A85" w:rsidRDefault="00A87FD6" w:rsidP="00D34F87">
      <w:pPr>
        <w:pStyle w:val="Source"/>
        <w:tabs>
          <w:tab w:val="left" w:pos="8931"/>
        </w:tabs>
      </w:pPr>
      <w:r w:rsidRPr="002E5A85">
        <w:t xml:space="preserve">Source: </w:t>
      </w:r>
      <w:r w:rsidR="00D71B33">
        <w:t>Australian Bureau of Statistics</w:t>
      </w:r>
      <w:r w:rsidRPr="002E5A85">
        <w:t xml:space="preserve"> Census 2011</w:t>
      </w:r>
    </w:p>
    <w:p w:rsidR="008A4BC9" w:rsidRPr="006E1D1D" w:rsidRDefault="008A4BC9" w:rsidP="00D34F87">
      <w:pPr>
        <w:pStyle w:val="Heading4"/>
        <w:tabs>
          <w:tab w:val="left" w:pos="8931"/>
        </w:tabs>
      </w:pPr>
      <w:r w:rsidRPr="006E1D1D">
        <w:t xml:space="preserve">Future </w:t>
      </w:r>
      <w:r w:rsidR="00067141" w:rsidRPr="006E1D1D">
        <w:t>p</w:t>
      </w:r>
      <w:r w:rsidRPr="006E1D1D">
        <w:t xml:space="preserve">opulation </w:t>
      </w:r>
    </w:p>
    <w:p w:rsidR="00FA0859" w:rsidRDefault="008A4BC9" w:rsidP="00D34F87">
      <w:pPr>
        <w:pStyle w:val="bt"/>
        <w:tabs>
          <w:tab w:val="left" w:pos="8931"/>
        </w:tabs>
      </w:pPr>
      <w:r w:rsidRPr="00225D10">
        <w:t>As a whole</w:t>
      </w:r>
      <w:r w:rsidR="00067141" w:rsidRPr="00225D10">
        <w:t>,</w:t>
      </w:r>
      <w:r w:rsidRPr="00225D10">
        <w:t xml:space="preserve"> the </w:t>
      </w:r>
      <w:r w:rsidR="00067141" w:rsidRPr="00225D10">
        <w:t xml:space="preserve">Loddon Mallee South </w:t>
      </w:r>
      <w:r w:rsidRPr="00225D10">
        <w:t>region is projected to continue to grow at a rate of 1.3</w:t>
      </w:r>
      <w:r w:rsidR="00817DF4">
        <w:t xml:space="preserve"> per cent</w:t>
      </w:r>
      <w:r w:rsidRPr="00225D10">
        <w:t xml:space="preserve"> per annum to reach 242,250 people by 2031</w:t>
      </w:r>
      <w:r w:rsidR="00FA0859">
        <w:t xml:space="preserve"> </w:t>
      </w:r>
      <w:r w:rsidR="007B07C8">
        <w:t xml:space="preserve">(see </w:t>
      </w:r>
      <w:r w:rsidR="00162534">
        <w:fldChar w:fldCharType="begin"/>
      </w:r>
      <w:r w:rsidR="007B07C8">
        <w:instrText xml:space="preserve"> REF _Ref372718787 \h </w:instrText>
      </w:r>
      <w:r w:rsidR="00162534">
        <w:fldChar w:fldCharType="separate"/>
      </w:r>
      <w:r w:rsidR="00EF1401" w:rsidRPr="00225D10">
        <w:t xml:space="preserve">Figure </w:t>
      </w:r>
      <w:r w:rsidR="00EF1401">
        <w:rPr>
          <w:noProof/>
        </w:rPr>
        <w:t>6</w:t>
      </w:r>
      <w:r w:rsidR="00162534">
        <w:fldChar w:fldCharType="end"/>
      </w:r>
      <w:r w:rsidR="007B07C8">
        <w:t xml:space="preserve">) </w:t>
      </w:r>
      <w:r w:rsidR="00FA0859">
        <w:t>and 266,900 by 2041</w:t>
      </w:r>
      <w:r w:rsidR="00D5624A" w:rsidRPr="00225D10">
        <w:rPr>
          <w:rStyle w:val="FootnoteReference"/>
          <w:rFonts w:asciiTheme="minorHAnsi" w:hAnsiTheme="minorHAnsi"/>
        </w:rPr>
        <w:footnoteReference w:id="2"/>
      </w:r>
      <w:r w:rsidRPr="00225D10">
        <w:t xml:space="preserve">. </w:t>
      </w:r>
      <w:r w:rsidR="00FA0859">
        <w:t xml:space="preserve">The regional growth plan considers the implications of the region growing to a population of 300,000 by 2041, with 150,000 to 200,000 people residing </w:t>
      </w:r>
      <w:r w:rsidR="00A467C4">
        <w:t xml:space="preserve">in </w:t>
      </w:r>
      <w:r w:rsidR="00FA0859">
        <w:t>Greater Bendigo.</w:t>
      </w:r>
    </w:p>
    <w:p w:rsidR="00330027" w:rsidRDefault="008A4BC9" w:rsidP="00D34F87">
      <w:pPr>
        <w:pStyle w:val="bt"/>
        <w:tabs>
          <w:tab w:val="left" w:pos="8931"/>
        </w:tabs>
      </w:pPr>
      <w:r w:rsidRPr="00225D10">
        <w:t>Population growth is anticipated predominantly in the Melbourne to Bendigo corridor. As the largest regional centre in the region, Bendigo is expected to grow at a higher rate compared to other parts of the region, and regional Victoria as a whole.</w:t>
      </w:r>
    </w:p>
    <w:p w:rsidR="00136C51" w:rsidRDefault="00136C51" w:rsidP="00D34F87">
      <w:pPr>
        <w:pStyle w:val="Caption"/>
        <w:tabs>
          <w:tab w:val="left" w:pos="8931"/>
        </w:tabs>
        <w:spacing w:before="120"/>
      </w:pPr>
      <w:bookmarkStart w:id="32" w:name="_Ref372718787"/>
      <w:bookmarkStart w:id="33" w:name="_Toc374530801"/>
      <w:r w:rsidRPr="00225D10">
        <w:t xml:space="preserve">Figure </w:t>
      </w:r>
      <w:r w:rsidR="00162534">
        <w:fldChar w:fldCharType="begin"/>
      </w:r>
      <w:r w:rsidR="00154847">
        <w:instrText xml:space="preserve"> SEQ Figure \* ARABIC </w:instrText>
      </w:r>
      <w:r w:rsidR="00162534">
        <w:fldChar w:fldCharType="separate"/>
      </w:r>
      <w:r w:rsidR="00EF1401">
        <w:rPr>
          <w:noProof/>
        </w:rPr>
        <w:t>6</w:t>
      </w:r>
      <w:r w:rsidR="00162534">
        <w:fldChar w:fldCharType="end"/>
      </w:r>
      <w:bookmarkEnd w:id="32"/>
      <w:r w:rsidR="00377F5C">
        <w:t xml:space="preserve">: </w:t>
      </w:r>
      <w:r w:rsidRPr="00225D10">
        <w:t>Loddon Mallee South, Projected population 2016–2031</w:t>
      </w:r>
      <w:bookmarkEnd w:id="33"/>
    </w:p>
    <w:p w:rsidR="00C5663E" w:rsidRPr="00C5663E" w:rsidRDefault="00C5663E" w:rsidP="00C5663E">
      <w:pPr>
        <w:pStyle w:val="bt"/>
        <w:spacing w:before="60" w:after="0"/>
      </w:pPr>
      <w:r w:rsidRPr="00C5663E">
        <w:t>Greater Bendigo (C)</w:t>
      </w:r>
    </w:p>
    <w:p w:rsidR="00C5663E" w:rsidRPr="00C5663E" w:rsidRDefault="00C5663E" w:rsidP="008E4CBD">
      <w:pPr>
        <w:pStyle w:val="ListBullet"/>
      </w:pPr>
      <w:r w:rsidRPr="00C5663E">
        <w:t>2016</w:t>
      </w:r>
      <w:r>
        <w:t xml:space="preserve"> – </w:t>
      </w:r>
      <w:r w:rsidRPr="00225D10">
        <w:t>113,948</w:t>
      </w:r>
    </w:p>
    <w:p w:rsidR="00C5663E" w:rsidRPr="00C5663E" w:rsidRDefault="00C5663E" w:rsidP="008E4CBD">
      <w:pPr>
        <w:pStyle w:val="ListBullet"/>
      </w:pPr>
      <w:r w:rsidRPr="00C5663E">
        <w:lastRenderedPageBreak/>
        <w:t>2021</w:t>
      </w:r>
      <w:r>
        <w:t xml:space="preserve"> – </w:t>
      </w:r>
      <w:r w:rsidRPr="00225D10">
        <w:t>122,602</w:t>
      </w:r>
    </w:p>
    <w:p w:rsidR="00C5663E" w:rsidRPr="00C5663E" w:rsidRDefault="00C5663E" w:rsidP="008E4CBD">
      <w:pPr>
        <w:pStyle w:val="ListBullet"/>
      </w:pPr>
      <w:r w:rsidRPr="00C5663E">
        <w:t>2026</w:t>
      </w:r>
      <w:r>
        <w:t xml:space="preserve"> – </w:t>
      </w:r>
      <w:r w:rsidRPr="00225D10">
        <w:t>131,357</w:t>
      </w:r>
    </w:p>
    <w:p w:rsidR="00C5663E" w:rsidRDefault="00C5663E" w:rsidP="008E4CBD">
      <w:pPr>
        <w:pStyle w:val="ListBullet"/>
      </w:pPr>
      <w:r w:rsidRPr="00C5663E">
        <w:t>2031</w:t>
      </w:r>
      <w:r>
        <w:t xml:space="preserve"> – </w:t>
      </w:r>
      <w:r w:rsidRPr="00225D10">
        <w:t>139</w:t>
      </w:r>
      <w:r w:rsidR="004E39C2">
        <w:t>,</w:t>
      </w:r>
      <w:r w:rsidRPr="00225D10">
        <w:t>837</w:t>
      </w:r>
    </w:p>
    <w:p w:rsidR="00C5663E" w:rsidRPr="00C5663E" w:rsidRDefault="00C5663E" w:rsidP="00C5663E">
      <w:pPr>
        <w:pStyle w:val="bt"/>
        <w:spacing w:before="60" w:after="0"/>
      </w:pPr>
      <w:r w:rsidRPr="00225D10">
        <w:t>Central Goldfields (S)</w:t>
      </w:r>
    </w:p>
    <w:p w:rsidR="00C5663E" w:rsidRPr="00C5663E" w:rsidRDefault="00C5663E" w:rsidP="008E4CBD">
      <w:pPr>
        <w:pStyle w:val="ListBullet"/>
      </w:pPr>
      <w:r w:rsidRPr="00C5663E">
        <w:t>2016</w:t>
      </w:r>
      <w:r>
        <w:t xml:space="preserve"> – </w:t>
      </w:r>
      <w:r w:rsidRPr="00225D10">
        <w:t>13,257</w:t>
      </w:r>
    </w:p>
    <w:p w:rsidR="00C5663E" w:rsidRPr="00C5663E" w:rsidRDefault="00C5663E" w:rsidP="008E4CBD">
      <w:pPr>
        <w:pStyle w:val="ListBullet"/>
      </w:pPr>
      <w:r w:rsidRPr="00C5663E">
        <w:t>2021</w:t>
      </w:r>
      <w:r>
        <w:t xml:space="preserve"> – </w:t>
      </w:r>
      <w:r w:rsidRPr="00225D10">
        <w:t>13,467</w:t>
      </w:r>
    </w:p>
    <w:p w:rsidR="00C5663E" w:rsidRPr="00C5663E" w:rsidRDefault="00C5663E" w:rsidP="008E4CBD">
      <w:pPr>
        <w:pStyle w:val="ListBullet"/>
      </w:pPr>
      <w:r w:rsidRPr="00C5663E">
        <w:t>2026</w:t>
      </w:r>
      <w:r>
        <w:t xml:space="preserve"> – </w:t>
      </w:r>
      <w:r w:rsidRPr="00225D10">
        <w:t>13,721</w:t>
      </w:r>
    </w:p>
    <w:p w:rsidR="00C5663E" w:rsidRPr="00C5663E" w:rsidRDefault="00C5663E" w:rsidP="008E4CBD">
      <w:pPr>
        <w:pStyle w:val="ListBullet"/>
      </w:pPr>
      <w:r w:rsidRPr="00C5663E">
        <w:t>2031</w:t>
      </w:r>
      <w:r>
        <w:t xml:space="preserve"> – </w:t>
      </w:r>
      <w:r w:rsidRPr="00225D10">
        <w:t>13,988</w:t>
      </w:r>
    </w:p>
    <w:p w:rsidR="00C5663E" w:rsidRPr="00C5663E" w:rsidRDefault="00C5663E" w:rsidP="00C5663E">
      <w:pPr>
        <w:pStyle w:val="bt"/>
        <w:spacing w:before="60" w:after="0"/>
      </w:pPr>
      <w:r w:rsidRPr="00225D10">
        <w:t>Macedon Ranges (S)</w:t>
      </w:r>
    </w:p>
    <w:p w:rsidR="00C5663E" w:rsidRPr="00C5663E" w:rsidRDefault="00C5663E" w:rsidP="008E4CBD">
      <w:pPr>
        <w:pStyle w:val="ListBullet"/>
      </w:pPr>
      <w:r w:rsidRPr="00C5663E">
        <w:t>2016</w:t>
      </w:r>
      <w:r>
        <w:t xml:space="preserve"> – </w:t>
      </w:r>
      <w:r w:rsidRPr="00225D10">
        <w:t>47,340</w:t>
      </w:r>
    </w:p>
    <w:p w:rsidR="00C5663E" w:rsidRPr="00C5663E" w:rsidRDefault="00C5663E" w:rsidP="008E4CBD">
      <w:pPr>
        <w:pStyle w:val="ListBullet"/>
      </w:pPr>
      <w:r w:rsidRPr="00C5663E">
        <w:t>2021</w:t>
      </w:r>
      <w:r>
        <w:t xml:space="preserve"> – </w:t>
      </w:r>
      <w:r w:rsidRPr="00225D10">
        <w:t>51,279</w:t>
      </w:r>
    </w:p>
    <w:p w:rsidR="00C5663E" w:rsidRPr="00C5663E" w:rsidRDefault="00C5663E" w:rsidP="008E4CBD">
      <w:pPr>
        <w:pStyle w:val="ListBullet"/>
      </w:pPr>
      <w:r w:rsidRPr="00C5663E">
        <w:t>2026</w:t>
      </w:r>
      <w:r>
        <w:t xml:space="preserve"> – </w:t>
      </w:r>
      <w:r w:rsidRPr="00225D10">
        <w:t>55,172</w:t>
      </w:r>
    </w:p>
    <w:p w:rsidR="00C5663E" w:rsidRPr="00C5663E" w:rsidRDefault="00C5663E" w:rsidP="008E4CBD">
      <w:pPr>
        <w:pStyle w:val="ListBullet"/>
      </w:pPr>
      <w:r w:rsidRPr="00C5663E">
        <w:t>2031</w:t>
      </w:r>
      <w:r>
        <w:t xml:space="preserve"> – </w:t>
      </w:r>
      <w:r w:rsidRPr="00225D10">
        <w:t>58,944</w:t>
      </w:r>
    </w:p>
    <w:p w:rsidR="00C5663E" w:rsidRPr="00C5663E" w:rsidRDefault="00C5663E" w:rsidP="00C5663E">
      <w:pPr>
        <w:pStyle w:val="bt"/>
        <w:spacing w:before="60" w:after="0"/>
      </w:pPr>
      <w:r w:rsidRPr="00225D10">
        <w:t>Mt Alexander (S)</w:t>
      </w:r>
    </w:p>
    <w:p w:rsidR="00C5663E" w:rsidRPr="00C5663E" w:rsidRDefault="00C5663E" w:rsidP="008E4CBD">
      <w:pPr>
        <w:pStyle w:val="ListBullet"/>
      </w:pPr>
      <w:r w:rsidRPr="00C5663E">
        <w:t>2016</w:t>
      </w:r>
      <w:r>
        <w:t xml:space="preserve"> – </w:t>
      </w:r>
      <w:r w:rsidR="0056756F" w:rsidRPr="00225D10">
        <w:t>19,269</w:t>
      </w:r>
    </w:p>
    <w:p w:rsidR="00C5663E" w:rsidRPr="00C5663E" w:rsidRDefault="00C5663E" w:rsidP="008E4CBD">
      <w:pPr>
        <w:pStyle w:val="ListBullet"/>
      </w:pPr>
      <w:r w:rsidRPr="00C5663E">
        <w:t>2021</w:t>
      </w:r>
      <w:r>
        <w:t xml:space="preserve"> – </w:t>
      </w:r>
      <w:r w:rsidR="0056756F" w:rsidRPr="00225D10">
        <w:t>20,090</w:t>
      </w:r>
    </w:p>
    <w:p w:rsidR="00C5663E" w:rsidRPr="00C5663E" w:rsidRDefault="00C5663E" w:rsidP="008E4CBD">
      <w:pPr>
        <w:pStyle w:val="ListBullet"/>
      </w:pPr>
      <w:r w:rsidRPr="00C5663E">
        <w:t>2026</w:t>
      </w:r>
      <w:r>
        <w:t xml:space="preserve"> – </w:t>
      </w:r>
      <w:r w:rsidR="0056756F" w:rsidRPr="00225D10">
        <w:t>20,986</w:t>
      </w:r>
    </w:p>
    <w:p w:rsidR="00C5663E" w:rsidRPr="00C5663E" w:rsidRDefault="00C5663E" w:rsidP="008E4CBD">
      <w:pPr>
        <w:pStyle w:val="ListBullet"/>
      </w:pPr>
      <w:r w:rsidRPr="00C5663E">
        <w:t>2031</w:t>
      </w:r>
      <w:r>
        <w:t xml:space="preserve"> – </w:t>
      </w:r>
      <w:r w:rsidR="0056756F" w:rsidRPr="00225D10">
        <w:t>21,854</w:t>
      </w:r>
    </w:p>
    <w:p w:rsidR="0056756F" w:rsidRPr="00C5663E" w:rsidRDefault="0056756F" w:rsidP="0056756F">
      <w:pPr>
        <w:pStyle w:val="bt"/>
        <w:spacing w:before="60" w:after="0"/>
      </w:pPr>
      <w:r w:rsidRPr="00225D10">
        <w:t>Loddon (S)</w:t>
      </w:r>
    </w:p>
    <w:p w:rsidR="0056756F" w:rsidRPr="00C5663E" w:rsidRDefault="0056756F" w:rsidP="008E4CBD">
      <w:pPr>
        <w:pStyle w:val="ListBullet"/>
      </w:pPr>
      <w:r w:rsidRPr="00C5663E">
        <w:t>2016</w:t>
      </w:r>
      <w:r>
        <w:t xml:space="preserve"> – 7</w:t>
      </w:r>
      <w:r w:rsidRPr="00225D10">
        <w:t>896</w:t>
      </w:r>
    </w:p>
    <w:p w:rsidR="0056756F" w:rsidRPr="00C5663E" w:rsidRDefault="0056756F" w:rsidP="008E4CBD">
      <w:pPr>
        <w:pStyle w:val="ListBullet"/>
      </w:pPr>
      <w:r w:rsidRPr="00C5663E">
        <w:t>2021</w:t>
      </w:r>
      <w:r>
        <w:t xml:space="preserve"> – 7</w:t>
      </w:r>
      <w:r w:rsidRPr="00225D10">
        <w:t>772</w:t>
      </w:r>
    </w:p>
    <w:p w:rsidR="0056756F" w:rsidRPr="00C5663E" w:rsidRDefault="0056756F" w:rsidP="008E4CBD">
      <w:pPr>
        <w:pStyle w:val="ListBullet"/>
      </w:pPr>
      <w:r w:rsidRPr="00C5663E">
        <w:t>2026</w:t>
      </w:r>
      <w:r>
        <w:t xml:space="preserve"> – 7</w:t>
      </w:r>
      <w:r w:rsidRPr="00225D10">
        <w:t>686</w:t>
      </w:r>
    </w:p>
    <w:p w:rsidR="0056756F" w:rsidRPr="00C5663E" w:rsidRDefault="0056756F" w:rsidP="008E4CBD">
      <w:pPr>
        <w:pStyle w:val="ListBullet"/>
      </w:pPr>
      <w:r w:rsidRPr="00C5663E">
        <w:t>2031</w:t>
      </w:r>
      <w:r>
        <w:t xml:space="preserve"> – 7</w:t>
      </w:r>
      <w:r w:rsidRPr="00225D10">
        <w:t>627</w:t>
      </w:r>
    </w:p>
    <w:p w:rsidR="0056756F" w:rsidRPr="0056756F" w:rsidRDefault="0056756F" w:rsidP="0056756F">
      <w:pPr>
        <w:pStyle w:val="bt"/>
        <w:spacing w:before="60" w:after="0"/>
      </w:pPr>
      <w:r w:rsidRPr="0056756F">
        <w:t>Loddon Mallee South region</w:t>
      </w:r>
    </w:p>
    <w:p w:rsidR="0056756F" w:rsidRPr="0056756F" w:rsidRDefault="0056756F" w:rsidP="008E4CBD">
      <w:pPr>
        <w:pStyle w:val="ListBullet"/>
      </w:pPr>
      <w:r w:rsidRPr="0056756F">
        <w:t>2016 – 201,710</w:t>
      </w:r>
    </w:p>
    <w:p w:rsidR="0056756F" w:rsidRPr="0056756F" w:rsidRDefault="0056756F" w:rsidP="008E4CBD">
      <w:pPr>
        <w:pStyle w:val="ListBullet"/>
      </w:pPr>
      <w:r w:rsidRPr="0056756F">
        <w:t>2021 – 215,210</w:t>
      </w:r>
    </w:p>
    <w:p w:rsidR="0056756F" w:rsidRPr="0056756F" w:rsidRDefault="0056756F" w:rsidP="008E4CBD">
      <w:pPr>
        <w:pStyle w:val="ListBullet"/>
      </w:pPr>
      <w:r w:rsidRPr="0056756F">
        <w:t>2026 – 228,922</w:t>
      </w:r>
    </w:p>
    <w:p w:rsidR="00C5663E" w:rsidRPr="00C5663E" w:rsidRDefault="0056756F" w:rsidP="008E4CBD">
      <w:pPr>
        <w:pStyle w:val="ListBullet"/>
      </w:pPr>
      <w:r w:rsidRPr="0056756F">
        <w:t>2031 – 242,250</w:t>
      </w:r>
    </w:p>
    <w:p w:rsidR="00C5663E" w:rsidRDefault="008A4BC9" w:rsidP="0056756F">
      <w:pPr>
        <w:pStyle w:val="Source"/>
        <w:tabs>
          <w:tab w:val="left" w:pos="8931"/>
        </w:tabs>
      </w:pPr>
      <w:r w:rsidRPr="00225D10">
        <w:t>Source: Victoria in Future 2012</w:t>
      </w:r>
    </w:p>
    <w:p w:rsidR="00817DF4" w:rsidRDefault="008A4BC9" w:rsidP="00D34F87">
      <w:pPr>
        <w:pStyle w:val="bt"/>
        <w:tabs>
          <w:tab w:val="left" w:pos="8931"/>
        </w:tabs>
      </w:pPr>
      <w:r w:rsidRPr="00225D10">
        <w:t xml:space="preserve">Population growth is desired </w:t>
      </w:r>
      <w:r w:rsidR="00817DF4">
        <w:t>by many communities across</w:t>
      </w:r>
      <w:r w:rsidR="00817DF4" w:rsidRPr="00225D10">
        <w:t xml:space="preserve"> </w:t>
      </w:r>
      <w:r w:rsidRPr="00225D10">
        <w:t xml:space="preserve">the Loddon Mallee South region, </w:t>
      </w:r>
      <w:r w:rsidR="00AA7C88" w:rsidRPr="00225D10">
        <w:t>although</w:t>
      </w:r>
      <w:r w:rsidRPr="00225D10">
        <w:t xml:space="preserve"> the locations for growth and the ability of settlements to accommodate </w:t>
      </w:r>
      <w:r w:rsidR="00AA7C88" w:rsidRPr="00225D10">
        <w:t xml:space="preserve">additional residents </w:t>
      </w:r>
      <w:r w:rsidRPr="00225D10">
        <w:t>needs to be considered and managed. Some settlements, such as those located in the Bendigo</w:t>
      </w:r>
      <w:r w:rsidR="00AA7C88" w:rsidRPr="00225D10">
        <w:t xml:space="preserve"> to</w:t>
      </w:r>
      <w:r w:rsidRPr="00225D10">
        <w:t xml:space="preserve"> Melbourne corridor, are experiencing high rates of growth which may not be able to be accommodated. Managing growth pressures whilst preserving the character of towns and settlements will continue to be important for the region. Other settlements have low growth projections but have the land supply to accommodate additional population</w:t>
      </w:r>
      <w:r w:rsidR="00AA7C88" w:rsidRPr="00225D10">
        <w:t xml:space="preserve"> growth</w:t>
      </w:r>
      <w:r w:rsidRPr="00225D10">
        <w:t xml:space="preserve">. </w:t>
      </w:r>
    </w:p>
    <w:p w:rsidR="008A4BC9" w:rsidRPr="00225D10" w:rsidRDefault="008A4BC9" w:rsidP="00D34F87">
      <w:pPr>
        <w:pStyle w:val="bt"/>
        <w:tabs>
          <w:tab w:val="left" w:pos="8931"/>
        </w:tabs>
      </w:pPr>
      <w:r w:rsidRPr="00225D10">
        <w:t>Historically, growth has been slow in the Central Goldfields Shire</w:t>
      </w:r>
      <w:r w:rsidR="00AA7C88" w:rsidRPr="00225D10">
        <w:t xml:space="preserve"> where</w:t>
      </w:r>
      <w:r w:rsidRPr="00225D10">
        <w:t xml:space="preserve"> accelerated growth is desired</w:t>
      </w:r>
      <w:r w:rsidR="00AA7C88" w:rsidRPr="00225D10">
        <w:t>. P</w:t>
      </w:r>
      <w:r w:rsidRPr="00225D10">
        <w:t xml:space="preserve">roactive programs </w:t>
      </w:r>
      <w:r w:rsidR="00EC47CD" w:rsidRPr="00225D10">
        <w:t xml:space="preserve">and strategies </w:t>
      </w:r>
      <w:r w:rsidRPr="00225D10">
        <w:t>to stimulate growth</w:t>
      </w:r>
      <w:r w:rsidR="00AA7C88" w:rsidRPr="00225D10">
        <w:t xml:space="preserve"> are being implemented</w:t>
      </w:r>
      <w:r w:rsidR="00570C1F" w:rsidRPr="00225D10">
        <w:t>, such as the reintroduction of the Maryborough railway line</w:t>
      </w:r>
      <w:r w:rsidRPr="00225D10">
        <w:t xml:space="preserve">. The decrease in population numbers in Loddon Shire is partially due to the consolidation of farming properties. Where settlements have low growth projections and are unlikely to experience population growth, the focus may be on reinforcing their </w:t>
      </w:r>
      <w:r w:rsidR="00021415" w:rsidRPr="00225D10">
        <w:t xml:space="preserve">current </w:t>
      </w:r>
      <w:r w:rsidRPr="00225D10">
        <w:t xml:space="preserve">role and function. </w:t>
      </w:r>
      <w:r w:rsidR="00263F07" w:rsidRPr="00225D10">
        <w:t xml:space="preserve">There may be </w:t>
      </w:r>
      <w:r w:rsidR="00021415" w:rsidRPr="00225D10">
        <w:t xml:space="preserve">an </w:t>
      </w:r>
      <w:r w:rsidR="00263F07" w:rsidRPr="00225D10">
        <w:t xml:space="preserve">opportunity for growth in some hinterland towns to </w:t>
      </w:r>
      <w:r w:rsidR="00021415" w:rsidRPr="00225D10">
        <w:t xml:space="preserve">help </w:t>
      </w:r>
      <w:r w:rsidR="00263F07" w:rsidRPr="00225D10">
        <w:t>sustain agricultural areas and provide additional support services to the broader community.</w:t>
      </w:r>
    </w:p>
    <w:p w:rsidR="008A4BC9" w:rsidRPr="00225D10" w:rsidRDefault="008A4BC9" w:rsidP="00D34F87">
      <w:pPr>
        <w:pStyle w:val="Heading4"/>
        <w:tabs>
          <w:tab w:val="left" w:pos="8931"/>
        </w:tabs>
      </w:pPr>
      <w:r w:rsidRPr="00225D10">
        <w:t xml:space="preserve">Age </w:t>
      </w:r>
      <w:r w:rsidR="008A4467" w:rsidRPr="00225D10">
        <w:t>s</w:t>
      </w:r>
      <w:r w:rsidRPr="00225D10">
        <w:t>tructure</w:t>
      </w:r>
    </w:p>
    <w:p w:rsidR="008A4BC9" w:rsidRPr="00225D10" w:rsidRDefault="008A4BC9" w:rsidP="00D34F87">
      <w:pPr>
        <w:pStyle w:val="bt"/>
        <w:tabs>
          <w:tab w:val="left" w:pos="8931"/>
        </w:tabs>
      </w:pPr>
      <w:r w:rsidRPr="00225D10">
        <w:t xml:space="preserve">Different age groups need different infrastructure and </w:t>
      </w:r>
      <w:proofErr w:type="gramStart"/>
      <w:r w:rsidRPr="00225D10">
        <w:t>services, therefore understanding</w:t>
      </w:r>
      <w:r w:rsidR="00003200" w:rsidRPr="00225D10">
        <w:t xml:space="preserve"> the r</w:t>
      </w:r>
      <w:r w:rsidRPr="00225D10">
        <w:t>egion’s age structure is</w:t>
      </w:r>
      <w:proofErr w:type="gramEnd"/>
      <w:r w:rsidRPr="00225D10">
        <w:t xml:space="preserve"> essential for service provision.</w:t>
      </w:r>
      <w:r w:rsidR="00003200" w:rsidRPr="00225D10">
        <w:t xml:space="preserve"> The r</w:t>
      </w:r>
      <w:r w:rsidRPr="00225D10">
        <w:t>egion’s age profile is similar to that of the rest of regional Victoria</w:t>
      </w:r>
      <w:r w:rsidR="00021415" w:rsidRPr="00225D10">
        <w:t>. H</w:t>
      </w:r>
      <w:r w:rsidRPr="00225D10">
        <w:t xml:space="preserve">owever, differences in age profile </w:t>
      </w:r>
      <w:r w:rsidR="00AE690A" w:rsidRPr="00AE690A">
        <w:t>within</w:t>
      </w:r>
      <w:r w:rsidRPr="00817DF4">
        <w:t xml:space="preserve"> </w:t>
      </w:r>
      <w:r w:rsidRPr="00225D10">
        <w:t>the region are pronounced, with Central Goldfields, Loddon and Mount Alexander having significantly older populations than Greater Bendigo and Macedon Ranges.</w:t>
      </w:r>
    </w:p>
    <w:p w:rsidR="002E13D6" w:rsidRPr="00225D10" w:rsidRDefault="008A4BC9" w:rsidP="00D34F87">
      <w:pPr>
        <w:pStyle w:val="bt"/>
        <w:tabs>
          <w:tab w:val="left" w:pos="8931"/>
        </w:tabs>
      </w:pPr>
      <w:r w:rsidRPr="00225D10">
        <w:lastRenderedPageBreak/>
        <w:t>By 2031, the number of people in all age groups will increase</w:t>
      </w:r>
      <w:r w:rsidR="001B0F39" w:rsidRPr="00225D10">
        <w:t>. A</w:t>
      </w:r>
      <w:r w:rsidRPr="00225D10">
        <w:t xml:space="preserve"> decline in birth rates</w:t>
      </w:r>
      <w:r w:rsidR="001B0F39" w:rsidRPr="00225D10">
        <w:t>,</w:t>
      </w:r>
      <w:r w:rsidRPr="00225D10">
        <w:t xml:space="preserve"> combined with the continu</w:t>
      </w:r>
      <w:r w:rsidR="001B0F39" w:rsidRPr="00225D10">
        <w:t xml:space="preserve">ed </w:t>
      </w:r>
      <w:r w:rsidRPr="00225D10">
        <w:t xml:space="preserve">rise in average life expectancy, </w:t>
      </w:r>
      <w:r w:rsidR="001B0F39" w:rsidRPr="00225D10">
        <w:t xml:space="preserve">will </w:t>
      </w:r>
      <w:r w:rsidRPr="00225D10">
        <w:t>contribut</w:t>
      </w:r>
      <w:r w:rsidR="001B0F39" w:rsidRPr="00225D10">
        <w:t xml:space="preserve">e </w:t>
      </w:r>
      <w:r w:rsidRPr="00225D10">
        <w:t xml:space="preserve">to a population </w:t>
      </w:r>
      <w:r w:rsidR="001B0F39" w:rsidRPr="00225D10">
        <w:t xml:space="preserve">where </w:t>
      </w:r>
      <w:r w:rsidRPr="00225D10">
        <w:t xml:space="preserve">the average age is increasing. </w:t>
      </w:r>
      <w:bookmarkStart w:id="34" w:name="_Ref352165507"/>
      <w:bookmarkStart w:id="35" w:name="_Toc352166551"/>
      <w:r w:rsidR="002E13D6" w:rsidRPr="00225D10">
        <w:t xml:space="preserve">   </w:t>
      </w:r>
    </w:p>
    <w:p w:rsidR="00330027" w:rsidRDefault="00680EEE" w:rsidP="00D34F87">
      <w:pPr>
        <w:pStyle w:val="bt"/>
        <w:tabs>
          <w:tab w:val="left" w:pos="8931"/>
        </w:tabs>
      </w:pPr>
      <w:r>
        <w:fldChar w:fldCharType="begin"/>
      </w:r>
      <w:r>
        <w:instrText xml:space="preserve"> REF _Ref353353082 \h  \* MERGEFORMAT </w:instrText>
      </w:r>
      <w:r>
        <w:fldChar w:fldCharType="separate"/>
      </w:r>
      <w:r w:rsidR="00EF1401" w:rsidRPr="00225D10">
        <w:t xml:space="preserve">Figure </w:t>
      </w:r>
      <w:r w:rsidR="00EF1401">
        <w:t>7</w:t>
      </w:r>
      <w:r>
        <w:fldChar w:fldCharType="end"/>
      </w:r>
      <w:r w:rsidR="002E13D6" w:rsidRPr="00225D10">
        <w:t xml:space="preserve"> shows the region’s population age profile is projected to be older in 2031, with persons in age groups above 65 years increasing both in absolute terms and also as a higher proportion of the population when compared to 2011. Age groups below 65 years will therefore comprise a lower proportion of the pop</w:t>
      </w:r>
      <w:r w:rsidR="001E6C39">
        <w:t>ulation than they did in 2011.</w:t>
      </w:r>
    </w:p>
    <w:p w:rsidR="00136C51" w:rsidRPr="00225D10" w:rsidRDefault="00136C51" w:rsidP="00D34F87">
      <w:pPr>
        <w:pStyle w:val="Caption"/>
        <w:tabs>
          <w:tab w:val="left" w:pos="8931"/>
        </w:tabs>
      </w:pPr>
      <w:bookmarkStart w:id="36" w:name="_Ref353353082"/>
      <w:bookmarkStart w:id="37" w:name="_Toc374530802"/>
      <w:r w:rsidRPr="00225D10">
        <w:t xml:space="preserve">Figure </w:t>
      </w:r>
      <w:r w:rsidR="00162534">
        <w:fldChar w:fldCharType="begin"/>
      </w:r>
      <w:r w:rsidR="00154847">
        <w:instrText xml:space="preserve"> SEQ Figure \* ARABIC </w:instrText>
      </w:r>
      <w:r w:rsidR="00162534">
        <w:fldChar w:fldCharType="separate"/>
      </w:r>
      <w:r w:rsidR="00EF1401">
        <w:rPr>
          <w:noProof/>
        </w:rPr>
        <w:t>7</w:t>
      </w:r>
      <w:r w:rsidR="00162534">
        <w:fldChar w:fldCharType="end"/>
      </w:r>
      <w:bookmarkEnd w:id="34"/>
      <w:bookmarkEnd w:id="36"/>
      <w:r w:rsidR="00377F5C">
        <w:t xml:space="preserve">: </w:t>
      </w:r>
      <w:r w:rsidRPr="00225D10">
        <w:t>Age structures Loddon Mallee South, 2011 and 2031</w:t>
      </w:r>
      <w:bookmarkEnd w:id="35"/>
      <w:bookmarkEnd w:id="37"/>
    </w:p>
    <w:p w:rsidR="008A4BC9" w:rsidRPr="00225D10" w:rsidRDefault="004B7308" w:rsidP="00D34F87">
      <w:pPr>
        <w:pStyle w:val="Source"/>
        <w:tabs>
          <w:tab w:val="left" w:pos="8931"/>
        </w:tabs>
      </w:pPr>
      <w:r>
        <w:drawing>
          <wp:inline distT="0" distB="0" distL="0" distR="0">
            <wp:extent cx="6140450" cy="1854200"/>
            <wp:effectExtent l="19050" t="0" r="12700" b="0"/>
            <wp:docPr id="35" name="Chart 2" descr="Bar graph showing age structures in Loddon Mallee South in 2011 and 20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drawing>
          <wp:inline distT="0" distB="0" distL="0" distR="0">
            <wp:extent cx="6140450" cy="1663700"/>
            <wp:effectExtent l="19050" t="0" r="12700" b="0"/>
            <wp:docPr id="36" name="Chart 3" descr="Line graph showing age structures in Loddon Mallee South in 2011 and 20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A4BC9" w:rsidRPr="00225D10">
        <w:t xml:space="preserve">Source: </w:t>
      </w:r>
      <w:r w:rsidR="00D71B33">
        <w:t>Australian Bureau of Statistics</w:t>
      </w:r>
      <w:r w:rsidR="008A4BC9" w:rsidRPr="00225D10">
        <w:t xml:space="preserve"> Census 2011, V</w:t>
      </w:r>
      <w:r w:rsidR="002A05F2" w:rsidRPr="00225D10">
        <w:t xml:space="preserve">ictoria in Future </w:t>
      </w:r>
      <w:r w:rsidR="008A4BC9" w:rsidRPr="00225D10">
        <w:t>2012</w:t>
      </w:r>
    </w:p>
    <w:p w:rsidR="008A4BC9" w:rsidRPr="00225D10" w:rsidRDefault="001B0F39" w:rsidP="00D34F87">
      <w:pPr>
        <w:pStyle w:val="bt"/>
        <w:tabs>
          <w:tab w:val="left" w:pos="8931"/>
        </w:tabs>
      </w:pPr>
      <w:r w:rsidRPr="00225D10">
        <w:t xml:space="preserve">An </w:t>
      </w:r>
      <w:r w:rsidR="008A4BC9" w:rsidRPr="00225D10">
        <w:t>ageing population means the percentage of working age people in the region will decrease, which will have implications for the labour force and provision of skilled workers. A chall</w:t>
      </w:r>
      <w:r w:rsidR="00003200" w:rsidRPr="00225D10">
        <w:t>enge for the r</w:t>
      </w:r>
      <w:r w:rsidR="008A4BC9" w:rsidRPr="00225D10">
        <w:t xml:space="preserve">egion will be attracting and </w:t>
      </w:r>
      <w:r w:rsidR="002230EB" w:rsidRPr="00225D10">
        <w:t>maintaining</w:t>
      </w:r>
      <w:r w:rsidR="008A4BC9" w:rsidRPr="00225D10">
        <w:t xml:space="preserve"> a diverse age population</w:t>
      </w:r>
      <w:r w:rsidR="002230EB" w:rsidRPr="00225D10">
        <w:t>, particularly those in younger age groups and people of a working age,</w:t>
      </w:r>
      <w:r w:rsidR="008A4BC9" w:rsidRPr="00225D10">
        <w:t xml:space="preserve"> to maintain a healthy economy</w:t>
      </w:r>
      <w:r w:rsidR="002230EB" w:rsidRPr="00225D10">
        <w:t>, community diversity</w:t>
      </w:r>
      <w:r w:rsidR="008A4BC9" w:rsidRPr="00225D10">
        <w:t xml:space="preserve"> and social wellbeing. </w:t>
      </w:r>
    </w:p>
    <w:p w:rsidR="00C1202B" w:rsidRPr="00663F7F" w:rsidRDefault="00C1202B" w:rsidP="00D34F87">
      <w:pPr>
        <w:pStyle w:val="Heading2"/>
        <w:tabs>
          <w:tab w:val="left" w:pos="8931"/>
        </w:tabs>
        <w:rPr>
          <w:rFonts w:cs="Arial"/>
        </w:rPr>
      </w:pPr>
      <w:bookmarkStart w:id="38" w:name="_Toc374530852"/>
      <w:r w:rsidRPr="00663F7F">
        <w:rPr>
          <w:rFonts w:cs="Arial"/>
        </w:rPr>
        <w:t>Housing</w:t>
      </w:r>
      <w:bookmarkEnd w:id="38"/>
    </w:p>
    <w:p w:rsidR="008A4BC9" w:rsidRPr="00225D10" w:rsidRDefault="008A4BC9" w:rsidP="00D34F87">
      <w:pPr>
        <w:pStyle w:val="Heading4"/>
        <w:tabs>
          <w:tab w:val="left" w:pos="8931"/>
        </w:tabs>
      </w:pPr>
      <w:r w:rsidRPr="00225D10">
        <w:t>Households</w:t>
      </w:r>
    </w:p>
    <w:p w:rsidR="008A4BC9" w:rsidRPr="00225D10" w:rsidRDefault="008A4BC9" w:rsidP="00D34F87">
      <w:pPr>
        <w:pStyle w:val="bt"/>
        <w:tabs>
          <w:tab w:val="left" w:pos="8931"/>
        </w:tabs>
      </w:pPr>
      <w:r w:rsidRPr="00225D10">
        <w:t>The majority of households in the region are comprised of families, ranging from 63.7</w:t>
      </w:r>
      <w:r w:rsidR="00997C90">
        <w:t xml:space="preserve"> per cent</w:t>
      </w:r>
      <w:r w:rsidR="00997C90" w:rsidRPr="00225D10">
        <w:t xml:space="preserve"> </w:t>
      </w:r>
      <w:r w:rsidRPr="00225D10">
        <w:t>of households in Central Goldfields to 78</w:t>
      </w:r>
      <w:r w:rsidR="00997C90">
        <w:t xml:space="preserve"> per cent</w:t>
      </w:r>
      <w:r w:rsidR="00997C90" w:rsidRPr="00225D10">
        <w:t xml:space="preserve"> </w:t>
      </w:r>
      <w:r w:rsidRPr="00225D10">
        <w:t xml:space="preserve">in Macedon Ranges. There </w:t>
      </w:r>
      <w:r w:rsidR="00BA1ED6" w:rsidRPr="00225D10">
        <w:t>are</w:t>
      </w:r>
      <w:r w:rsidRPr="00225D10">
        <w:t xml:space="preserve"> a significant proportion of single or lone person households across the region</w:t>
      </w:r>
      <w:r w:rsidR="0010373B">
        <w:t xml:space="preserve"> (</w:t>
      </w:r>
      <w:r w:rsidR="00162534">
        <w:fldChar w:fldCharType="begin"/>
      </w:r>
      <w:r w:rsidR="00C26425">
        <w:instrText xml:space="preserve"> REF _Ref379192204 \h </w:instrText>
      </w:r>
      <w:r w:rsidR="00162534">
        <w:fldChar w:fldCharType="separate"/>
      </w:r>
      <w:r w:rsidR="00EF1401" w:rsidRPr="00225D10">
        <w:t xml:space="preserve">Figure </w:t>
      </w:r>
      <w:r w:rsidR="00EF1401">
        <w:rPr>
          <w:noProof/>
        </w:rPr>
        <w:t>8</w:t>
      </w:r>
      <w:r w:rsidR="00162534">
        <w:fldChar w:fldCharType="end"/>
      </w:r>
      <w:r w:rsidR="0010373B">
        <w:t>)</w:t>
      </w:r>
      <w:r w:rsidRPr="00225D10">
        <w:t>.</w:t>
      </w:r>
    </w:p>
    <w:p w:rsidR="008A4BC9" w:rsidRDefault="00136C51" w:rsidP="00D34F87">
      <w:pPr>
        <w:pStyle w:val="Caption"/>
        <w:tabs>
          <w:tab w:val="left" w:pos="8931"/>
        </w:tabs>
        <w:spacing w:before="120"/>
      </w:pPr>
      <w:bookmarkStart w:id="39" w:name="_Ref379192204"/>
      <w:bookmarkStart w:id="40" w:name="_Toc352166552"/>
      <w:bookmarkStart w:id="41" w:name="_Toc374530803"/>
      <w:r w:rsidRPr="00225D10">
        <w:t xml:space="preserve">Figure </w:t>
      </w:r>
      <w:r w:rsidR="00162534">
        <w:fldChar w:fldCharType="begin"/>
      </w:r>
      <w:r w:rsidR="00154847">
        <w:instrText xml:space="preserve"> SEQ Figure \* ARABIC </w:instrText>
      </w:r>
      <w:r w:rsidR="00162534">
        <w:fldChar w:fldCharType="separate"/>
      </w:r>
      <w:r w:rsidR="00EF1401">
        <w:rPr>
          <w:noProof/>
        </w:rPr>
        <w:t>8</w:t>
      </w:r>
      <w:r w:rsidR="00162534">
        <w:fldChar w:fldCharType="end"/>
      </w:r>
      <w:bookmarkEnd w:id="39"/>
      <w:r w:rsidR="00377F5C">
        <w:t xml:space="preserve">: </w:t>
      </w:r>
      <w:r w:rsidRPr="00225D10">
        <w:t>Loddon Mallee South, Household composition 2011</w:t>
      </w:r>
      <w:bookmarkEnd w:id="40"/>
      <w:bookmarkEnd w:id="41"/>
    </w:p>
    <w:p w:rsidR="0056756F" w:rsidRPr="00771832" w:rsidRDefault="0056756F" w:rsidP="0056756F">
      <w:pPr>
        <w:pStyle w:val="bt"/>
        <w:spacing w:before="60" w:after="0"/>
        <w:rPr>
          <w:b/>
        </w:rPr>
      </w:pPr>
      <w:r w:rsidRPr="00771832">
        <w:rPr>
          <w:b/>
        </w:rPr>
        <w:t>Family Households</w:t>
      </w:r>
    </w:p>
    <w:p w:rsidR="0056756F" w:rsidRPr="0056756F" w:rsidRDefault="0056756F" w:rsidP="00BA2D96">
      <w:pPr>
        <w:pStyle w:val="bt"/>
        <w:numPr>
          <w:ilvl w:val="0"/>
          <w:numId w:val="27"/>
        </w:numPr>
        <w:spacing w:before="60" w:after="0"/>
      </w:pPr>
      <w:r w:rsidRPr="0056756F">
        <w:t>Greater Bendigo</w:t>
      </w:r>
    </w:p>
    <w:p w:rsidR="0056756F" w:rsidRDefault="0056756F" w:rsidP="00BA2D96">
      <w:pPr>
        <w:pStyle w:val="bt"/>
        <w:numPr>
          <w:ilvl w:val="0"/>
          <w:numId w:val="28"/>
        </w:numPr>
        <w:spacing w:before="60" w:after="0"/>
        <w:ind w:left="1134"/>
      </w:pPr>
      <w:r w:rsidRPr="0056756F">
        <w:t>Number</w:t>
      </w:r>
      <w:r>
        <w:t xml:space="preserve"> – </w:t>
      </w:r>
      <w:r w:rsidRPr="00AE690A">
        <w:t>26,279</w:t>
      </w:r>
    </w:p>
    <w:p w:rsidR="0056756F" w:rsidRPr="0056756F" w:rsidRDefault="0056756F" w:rsidP="00BA2D96">
      <w:pPr>
        <w:pStyle w:val="bt"/>
        <w:numPr>
          <w:ilvl w:val="0"/>
          <w:numId w:val="28"/>
        </w:numPr>
        <w:spacing w:before="60" w:after="0"/>
        <w:ind w:left="1134"/>
      </w:pPr>
      <w:r w:rsidRPr="0056756F">
        <w:t>Percentage</w:t>
      </w:r>
      <w:r>
        <w:t xml:space="preserve"> – </w:t>
      </w:r>
      <w:r w:rsidRPr="00AE690A">
        <w:t>68.8</w:t>
      </w:r>
    </w:p>
    <w:p w:rsidR="0056756F" w:rsidRPr="0056756F" w:rsidRDefault="0056756F" w:rsidP="00BA2D96">
      <w:pPr>
        <w:pStyle w:val="bt"/>
        <w:numPr>
          <w:ilvl w:val="0"/>
          <w:numId w:val="27"/>
        </w:numPr>
        <w:spacing w:before="60" w:after="0"/>
      </w:pPr>
      <w:r w:rsidRPr="0056756F">
        <w:t>Central Goldfields</w:t>
      </w:r>
    </w:p>
    <w:p w:rsidR="0056756F" w:rsidRDefault="0056756F" w:rsidP="00BA2D96">
      <w:pPr>
        <w:pStyle w:val="bt"/>
        <w:numPr>
          <w:ilvl w:val="0"/>
          <w:numId w:val="29"/>
        </w:numPr>
        <w:spacing w:before="60" w:after="0"/>
        <w:ind w:left="1134"/>
      </w:pPr>
      <w:r w:rsidRPr="0056756F">
        <w:t>Number</w:t>
      </w:r>
      <w:r>
        <w:t xml:space="preserve"> – 3</w:t>
      </w:r>
      <w:r w:rsidRPr="00AE690A">
        <w:t>341</w:t>
      </w:r>
    </w:p>
    <w:p w:rsidR="0056756F" w:rsidRPr="0056756F" w:rsidRDefault="0056756F" w:rsidP="00BA2D96">
      <w:pPr>
        <w:pStyle w:val="bt"/>
        <w:numPr>
          <w:ilvl w:val="0"/>
          <w:numId w:val="29"/>
        </w:numPr>
        <w:spacing w:before="60" w:after="0"/>
        <w:ind w:left="1134"/>
      </w:pPr>
      <w:r w:rsidRPr="0056756F">
        <w:lastRenderedPageBreak/>
        <w:t>Percentage</w:t>
      </w:r>
      <w:r>
        <w:t xml:space="preserve"> – </w:t>
      </w:r>
      <w:r w:rsidRPr="00AE690A">
        <w:t>63.7</w:t>
      </w:r>
    </w:p>
    <w:p w:rsidR="0056756F" w:rsidRPr="0056756F" w:rsidRDefault="0056756F" w:rsidP="00BA2D96">
      <w:pPr>
        <w:pStyle w:val="bt"/>
        <w:numPr>
          <w:ilvl w:val="0"/>
          <w:numId w:val="27"/>
        </w:numPr>
        <w:spacing w:before="60" w:after="0"/>
      </w:pPr>
      <w:r w:rsidRPr="0056756F">
        <w:t>Macedon Ranges</w:t>
      </w:r>
    </w:p>
    <w:p w:rsidR="0056756F" w:rsidRDefault="0056756F" w:rsidP="00BA2D96">
      <w:pPr>
        <w:pStyle w:val="bt"/>
        <w:numPr>
          <w:ilvl w:val="0"/>
          <w:numId w:val="30"/>
        </w:numPr>
        <w:spacing w:before="60" w:after="0"/>
        <w:ind w:left="1134"/>
      </w:pPr>
      <w:r w:rsidRPr="0056756F">
        <w:t>Number</w:t>
      </w:r>
      <w:r>
        <w:t xml:space="preserve"> – </w:t>
      </w:r>
      <w:r w:rsidRPr="00AE690A">
        <w:t>11,356</w:t>
      </w:r>
    </w:p>
    <w:p w:rsidR="0056756F" w:rsidRPr="0056756F" w:rsidRDefault="0056756F" w:rsidP="00BA2D96">
      <w:pPr>
        <w:pStyle w:val="bt"/>
        <w:numPr>
          <w:ilvl w:val="0"/>
          <w:numId w:val="30"/>
        </w:numPr>
        <w:spacing w:before="60" w:after="0"/>
        <w:ind w:left="1134"/>
      </w:pPr>
      <w:r w:rsidRPr="0056756F">
        <w:t>Percentage</w:t>
      </w:r>
      <w:r>
        <w:t xml:space="preserve"> – </w:t>
      </w:r>
      <w:r w:rsidRPr="00AE690A">
        <w:t>78.2</w:t>
      </w:r>
    </w:p>
    <w:p w:rsidR="0056756F" w:rsidRPr="0056756F" w:rsidRDefault="0056756F" w:rsidP="00BA2D96">
      <w:pPr>
        <w:pStyle w:val="bt"/>
        <w:numPr>
          <w:ilvl w:val="0"/>
          <w:numId w:val="27"/>
        </w:numPr>
        <w:spacing w:before="60" w:after="0"/>
      </w:pPr>
      <w:r w:rsidRPr="0056756F">
        <w:t>Mount Alexander</w:t>
      </w:r>
    </w:p>
    <w:p w:rsidR="0056756F" w:rsidRDefault="0056756F" w:rsidP="00BA2D96">
      <w:pPr>
        <w:pStyle w:val="bt"/>
        <w:numPr>
          <w:ilvl w:val="0"/>
          <w:numId w:val="31"/>
        </w:numPr>
        <w:spacing w:before="60" w:after="0"/>
        <w:ind w:left="1134"/>
      </w:pPr>
      <w:r w:rsidRPr="0056756F">
        <w:t>Number</w:t>
      </w:r>
      <w:r>
        <w:t xml:space="preserve"> – 4</w:t>
      </w:r>
      <w:r w:rsidRPr="00AE690A">
        <w:t>600</w:t>
      </w:r>
    </w:p>
    <w:p w:rsidR="0056756F" w:rsidRPr="0056756F" w:rsidRDefault="0056756F" w:rsidP="00BA2D96">
      <w:pPr>
        <w:pStyle w:val="bt"/>
        <w:numPr>
          <w:ilvl w:val="0"/>
          <w:numId w:val="31"/>
        </w:numPr>
        <w:spacing w:before="60" w:after="0"/>
        <w:ind w:left="1134"/>
      </w:pPr>
      <w:r w:rsidRPr="0056756F">
        <w:t>Percentage</w:t>
      </w:r>
      <w:r>
        <w:t xml:space="preserve"> – </w:t>
      </w:r>
      <w:r w:rsidRPr="00AE690A">
        <w:t>64.8</w:t>
      </w:r>
    </w:p>
    <w:p w:rsidR="0056756F" w:rsidRPr="0056756F" w:rsidRDefault="0056756F" w:rsidP="00BA2D96">
      <w:pPr>
        <w:pStyle w:val="bt"/>
        <w:numPr>
          <w:ilvl w:val="0"/>
          <w:numId w:val="27"/>
        </w:numPr>
        <w:spacing w:before="60" w:after="0"/>
      </w:pPr>
      <w:r w:rsidRPr="0056756F">
        <w:t>Loddon</w:t>
      </w:r>
    </w:p>
    <w:p w:rsidR="0056756F" w:rsidRPr="0056756F" w:rsidRDefault="0056756F" w:rsidP="00BA2D96">
      <w:pPr>
        <w:pStyle w:val="bt"/>
        <w:numPr>
          <w:ilvl w:val="0"/>
          <w:numId w:val="32"/>
        </w:numPr>
        <w:spacing w:before="60" w:after="0"/>
        <w:ind w:left="1134"/>
      </w:pPr>
      <w:r w:rsidRPr="0056756F">
        <w:t>Number</w:t>
      </w:r>
      <w:r>
        <w:t xml:space="preserve"> –</w:t>
      </w:r>
      <w:r w:rsidR="004E39C2">
        <w:t xml:space="preserve"> </w:t>
      </w:r>
      <w:r w:rsidRPr="00AE690A">
        <w:t>1978</w:t>
      </w:r>
    </w:p>
    <w:p w:rsidR="0056756F" w:rsidRPr="0056756F" w:rsidRDefault="0056756F" w:rsidP="00BA2D96">
      <w:pPr>
        <w:pStyle w:val="bt"/>
        <w:numPr>
          <w:ilvl w:val="0"/>
          <w:numId w:val="32"/>
        </w:numPr>
        <w:spacing w:before="60" w:after="0"/>
        <w:ind w:left="1134"/>
      </w:pPr>
      <w:r w:rsidRPr="0056756F">
        <w:t>Percentage</w:t>
      </w:r>
      <w:r>
        <w:t xml:space="preserve"> – </w:t>
      </w:r>
      <w:r w:rsidRPr="00AE690A">
        <w:t>65.1</w:t>
      </w:r>
    </w:p>
    <w:p w:rsidR="0056756F" w:rsidRPr="0056756F" w:rsidRDefault="0056756F" w:rsidP="00BA2D96">
      <w:pPr>
        <w:pStyle w:val="bt"/>
        <w:numPr>
          <w:ilvl w:val="0"/>
          <w:numId w:val="27"/>
        </w:numPr>
        <w:spacing w:before="60" w:after="0"/>
      </w:pPr>
      <w:r w:rsidRPr="0056756F">
        <w:t>Loddon Mallee South region</w:t>
      </w:r>
    </w:p>
    <w:p w:rsidR="0056756F" w:rsidRPr="0056756F" w:rsidRDefault="0056756F" w:rsidP="00BA2D96">
      <w:pPr>
        <w:pStyle w:val="bt"/>
        <w:numPr>
          <w:ilvl w:val="0"/>
          <w:numId w:val="33"/>
        </w:numPr>
        <w:spacing w:before="60" w:after="0"/>
        <w:ind w:left="1134"/>
      </w:pPr>
      <w:r w:rsidRPr="0056756F">
        <w:t>Number</w:t>
      </w:r>
      <w:r>
        <w:t xml:space="preserve"> –</w:t>
      </w:r>
      <w:r w:rsidR="004E39C2">
        <w:t xml:space="preserve"> </w:t>
      </w:r>
      <w:r w:rsidRPr="00AE690A">
        <w:t>47,554</w:t>
      </w:r>
    </w:p>
    <w:p w:rsidR="0056756F" w:rsidRDefault="0056756F" w:rsidP="00BA2D96">
      <w:pPr>
        <w:pStyle w:val="bt"/>
        <w:numPr>
          <w:ilvl w:val="0"/>
          <w:numId w:val="33"/>
        </w:numPr>
        <w:spacing w:before="60" w:after="0"/>
        <w:ind w:left="1134"/>
      </w:pPr>
      <w:r w:rsidRPr="0056756F">
        <w:t>Percentage</w:t>
      </w:r>
      <w:r>
        <w:t xml:space="preserve"> – </w:t>
      </w:r>
      <w:r w:rsidRPr="00AE690A">
        <w:t>69.8</w:t>
      </w:r>
    </w:p>
    <w:p w:rsidR="0056756F" w:rsidRPr="00771832" w:rsidRDefault="0056756F" w:rsidP="0056756F">
      <w:pPr>
        <w:pStyle w:val="bt"/>
        <w:spacing w:before="60" w:after="0"/>
        <w:rPr>
          <w:b/>
        </w:rPr>
      </w:pPr>
      <w:r w:rsidRPr="00771832">
        <w:rPr>
          <w:b/>
        </w:rPr>
        <w:t>Single (or lone) person households</w:t>
      </w:r>
    </w:p>
    <w:p w:rsidR="0056756F" w:rsidRPr="0056756F" w:rsidRDefault="0056756F" w:rsidP="00BA2D96">
      <w:pPr>
        <w:pStyle w:val="bt"/>
        <w:numPr>
          <w:ilvl w:val="0"/>
          <w:numId w:val="27"/>
        </w:numPr>
        <w:spacing w:before="60" w:after="0"/>
      </w:pPr>
      <w:r w:rsidRPr="0056756F">
        <w:t>Greater Bendigo</w:t>
      </w:r>
    </w:p>
    <w:p w:rsidR="0056756F" w:rsidRDefault="0056756F" w:rsidP="00BA2D96">
      <w:pPr>
        <w:pStyle w:val="bt"/>
        <w:numPr>
          <w:ilvl w:val="0"/>
          <w:numId w:val="28"/>
        </w:numPr>
        <w:spacing w:before="60" w:after="0"/>
        <w:ind w:left="1134"/>
      </w:pPr>
      <w:r w:rsidRPr="0056756F">
        <w:t>Number</w:t>
      </w:r>
      <w:r>
        <w:t xml:space="preserve"> – </w:t>
      </w:r>
      <w:r w:rsidRPr="00AE690A">
        <w:t>10,306</w:t>
      </w:r>
    </w:p>
    <w:p w:rsidR="0056756F" w:rsidRPr="0056756F" w:rsidRDefault="0056756F" w:rsidP="00BA2D96">
      <w:pPr>
        <w:pStyle w:val="bt"/>
        <w:numPr>
          <w:ilvl w:val="0"/>
          <w:numId w:val="28"/>
        </w:numPr>
        <w:spacing w:before="60" w:after="0"/>
        <w:ind w:left="1134"/>
      </w:pPr>
      <w:r w:rsidRPr="0056756F">
        <w:t>Percentage</w:t>
      </w:r>
      <w:r>
        <w:t xml:space="preserve"> – </w:t>
      </w:r>
      <w:r w:rsidRPr="00AE690A">
        <w:t>27.0</w:t>
      </w:r>
    </w:p>
    <w:p w:rsidR="0056756F" w:rsidRPr="0056756F" w:rsidRDefault="0056756F" w:rsidP="00BA2D96">
      <w:pPr>
        <w:pStyle w:val="bt"/>
        <w:numPr>
          <w:ilvl w:val="0"/>
          <w:numId w:val="27"/>
        </w:numPr>
        <w:spacing w:before="60" w:after="0"/>
      </w:pPr>
      <w:r w:rsidRPr="0056756F">
        <w:t>Central Goldfields</w:t>
      </w:r>
    </w:p>
    <w:p w:rsidR="0056756F" w:rsidRDefault="0056756F" w:rsidP="00BA2D96">
      <w:pPr>
        <w:pStyle w:val="bt"/>
        <w:numPr>
          <w:ilvl w:val="0"/>
          <w:numId w:val="29"/>
        </w:numPr>
        <w:spacing w:before="60" w:after="0"/>
        <w:ind w:left="1134"/>
      </w:pPr>
      <w:r w:rsidRPr="0056756F">
        <w:t>Number</w:t>
      </w:r>
      <w:r>
        <w:t xml:space="preserve"> – 1</w:t>
      </w:r>
      <w:r w:rsidRPr="00AE690A">
        <w:t>767</w:t>
      </w:r>
    </w:p>
    <w:p w:rsidR="0056756F" w:rsidRPr="0056756F" w:rsidRDefault="0056756F" w:rsidP="00BA2D96">
      <w:pPr>
        <w:pStyle w:val="bt"/>
        <w:numPr>
          <w:ilvl w:val="0"/>
          <w:numId w:val="29"/>
        </w:numPr>
        <w:spacing w:before="60" w:after="0"/>
        <w:ind w:left="1134"/>
      </w:pPr>
      <w:r w:rsidRPr="0056756F">
        <w:t>Percentage</w:t>
      </w:r>
      <w:r>
        <w:t xml:space="preserve"> – </w:t>
      </w:r>
      <w:r w:rsidRPr="00AE690A">
        <w:t>33.7</w:t>
      </w:r>
    </w:p>
    <w:p w:rsidR="0056756F" w:rsidRPr="0056756F" w:rsidRDefault="0056756F" w:rsidP="00BA2D96">
      <w:pPr>
        <w:pStyle w:val="bt"/>
        <w:numPr>
          <w:ilvl w:val="0"/>
          <w:numId w:val="27"/>
        </w:numPr>
        <w:spacing w:before="60" w:after="0"/>
      </w:pPr>
      <w:r w:rsidRPr="0056756F">
        <w:t>Macedon Ranges</w:t>
      </w:r>
    </w:p>
    <w:p w:rsidR="0056756F" w:rsidRDefault="0056756F" w:rsidP="00BA2D96">
      <w:pPr>
        <w:pStyle w:val="bt"/>
        <w:numPr>
          <w:ilvl w:val="0"/>
          <w:numId w:val="30"/>
        </w:numPr>
        <w:spacing w:before="60" w:after="0"/>
        <w:ind w:left="1134"/>
      </w:pPr>
      <w:r w:rsidRPr="0056756F">
        <w:t>Number</w:t>
      </w:r>
      <w:r>
        <w:t xml:space="preserve"> – 2</w:t>
      </w:r>
      <w:r w:rsidRPr="00AE690A">
        <w:t>900</w:t>
      </w:r>
    </w:p>
    <w:p w:rsidR="0056756F" w:rsidRPr="0056756F" w:rsidRDefault="0056756F" w:rsidP="00BA2D96">
      <w:pPr>
        <w:pStyle w:val="bt"/>
        <w:numPr>
          <w:ilvl w:val="0"/>
          <w:numId w:val="30"/>
        </w:numPr>
        <w:spacing w:before="60" w:after="0"/>
        <w:ind w:left="1134"/>
      </w:pPr>
      <w:r w:rsidRPr="0056756F">
        <w:t>Percentage</w:t>
      </w:r>
      <w:r>
        <w:t xml:space="preserve"> – </w:t>
      </w:r>
      <w:r w:rsidR="00771832" w:rsidRPr="00AE690A">
        <w:t>20.0</w:t>
      </w:r>
    </w:p>
    <w:p w:rsidR="0056756F" w:rsidRPr="0056756F" w:rsidRDefault="0056756F" w:rsidP="00BA2D96">
      <w:pPr>
        <w:pStyle w:val="bt"/>
        <w:numPr>
          <w:ilvl w:val="0"/>
          <w:numId w:val="27"/>
        </w:numPr>
        <w:spacing w:before="60" w:after="0"/>
      </w:pPr>
      <w:r w:rsidRPr="0056756F">
        <w:t>Mount Alexander</w:t>
      </w:r>
    </w:p>
    <w:p w:rsidR="0056756F" w:rsidRDefault="0056756F" w:rsidP="00BA2D96">
      <w:pPr>
        <w:pStyle w:val="bt"/>
        <w:numPr>
          <w:ilvl w:val="0"/>
          <w:numId w:val="31"/>
        </w:numPr>
        <w:spacing w:before="60" w:after="0"/>
        <w:ind w:left="1134"/>
      </w:pPr>
      <w:r w:rsidRPr="0056756F">
        <w:t>Number</w:t>
      </w:r>
      <w:r>
        <w:t xml:space="preserve"> – </w:t>
      </w:r>
      <w:r w:rsidR="00771832">
        <w:t>2</w:t>
      </w:r>
      <w:r w:rsidR="00771832" w:rsidRPr="00AE690A">
        <w:t>280</w:t>
      </w:r>
    </w:p>
    <w:p w:rsidR="0056756F" w:rsidRPr="0056756F" w:rsidRDefault="0056756F" w:rsidP="00BA2D96">
      <w:pPr>
        <w:pStyle w:val="bt"/>
        <w:numPr>
          <w:ilvl w:val="0"/>
          <w:numId w:val="31"/>
        </w:numPr>
        <w:spacing w:before="60" w:after="0"/>
        <w:ind w:left="1134"/>
      </w:pPr>
      <w:r w:rsidRPr="0056756F">
        <w:t>Percentage</w:t>
      </w:r>
      <w:r>
        <w:t xml:space="preserve"> – </w:t>
      </w:r>
      <w:r w:rsidR="00771832" w:rsidRPr="00AE690A">
        <w:t>32.1</w:t>
      </w:r>
    </w:p>
    <w:p w:rsidR="0056756F" w:rsidRPr="0056756F" w:rsidRDefault="0056756F" w:rsidP="00BA2D96">
      <w:pPr>
        <w:pStyle w:val="bt"/>
        <w:numPr>
          <w:ilvl w:val="0"/>
          <w:numId w:val="27"/>
        </w:numPr>
        <w:spacing w:before="60" w:after="0"/>
      </w:pPr>
      <w:r w:rsidRPr="0056756F">
        <w:t>Loddon</w:t>
      </w:r>
    </w:p>
    <w:p w:rsidR="0056756F" w:rsidRPr="0056756F" w:rsidRDefault="0056756F" w:rsidP="00BA2D96">
      <w:pPr>
        <w:pStyle w:val="bt"/>
        <w:numPr>
          <w:ilvl w:val="0"/>
          <w:numId w:val="32"/>
        </w:numPr>
        <w:spacing w:before="60" w:after="0"/>
        <w:ind w:left="1134"/>
      </w:pPr>
      <w:r w:rsidRPr="0056756F">
        <w:t>Number</w:t>
      </w:r>
      <w:r>
        <w:t xml:space="preserve"> –</w:t>
      </w:r>
      <w:r w:rsidR="004E39C2">
        <w:t xml:space="preserve"> </w:t>
      </w:r>
      <w:r w:rsidR="00771832" w:rsidRPr="00AE690A">
        <w:t>980</w:t>
      </w:r>
    </w:p>
    <w:p w:rsidR="0056756F" w:rsidRPr="0056756F" w:rsidRDefault="0056756F" w:rsidP="00BA2D96">
      <w:pPr>
        <w:pStyle w:val="bt"/>
        <w:numPr>
          <w:ilvl w:val="0"/>
          <w:numId w:val="32"/>
        </w:numPr>
        <w:spacing w:before="60" w:after="0"/>
        <w:ind w:left="1134"/>
      </w:pPr>
      <w:r w:rsidRPr="0056756F">
        <w:t>Percentage</w:t>
      </w:r>
      <w:r>
        <w:t xml:space="preserve"> – </w:t>
      </w:r>
      <w:r w:rsidR="00771832" w:rsidRPr="00AE690A">
        <w:t>32.3</w:t>
      </w:r>
    </w:p>
    <w:p w:rsidR="0056756F" w:rsidRPr="0056756F" w:rsidRDefault="0056756F" w:rsidP="00BA2D96">
      <w:pPr>
        <w:pStyle w:val="bt"/>
        <w:numPr>
          <w:ilvl w:val="0"/>
          <w:numId w:val="27"/>
        </w:numPr>
        <w:spacing w:before="60" w:after="0"/>
      </w:pPr>
      <w:r w:rsidRPr="0056756F">
        <w:t>Loddon Mallee South region</w:t>
      </w:r>
    </w:p>
    <w:p w:rsidR="0056756F" w:rsidRPr="0056756F" w:rsidRDefault="0056756F" w:rsidP="00BA2D96">
      <w:pPr>
        <w:pStyle w:val="bt"/>
        <w:numPr>
          <w:ilvl w:val="0"/>
          <w:numId w:val="33"/>
        </w:numPr>
        <w:spacing w:before="60" w:after="0"/>
        <w:ind w:left="1134"/>
      </w:pPr>
      <w:r w:rsidRPr="0056756F">
        <w:t>Number</w:t>
      </w:r>
      <w:r>
        <w:t xml:space="preserve"> –</w:t>
      </w:r>
      <w:r w:rsidR="00771832" w:rsidRPr="00AE690A">
        <w:t>18,233</w:t>
      </w:r>
    </w:p>
    <w:p w:rsidR="0056756F" w:rsidRPr="0056756F" w:rsidRDefault="0056756F" w:rsidP="00BA2D96">
      <w:pPr>
        <w:pStyle w:val="bt"/>
        <w:numPr>
          <w:ilvl w:val="0"/>
          <w:numId w:val="33"/>
        </w:numPr>
        <w:spacing w:before="60" w:after="0"/>
        <w:ind w:left="1134"/>
      </w:pPr>
      <w:r w:rsidRPr="0056756F">
        <w:t>Percentage</w:t>
      </w:r>
      <w:r>
        <w:t xml:space="preserve"> – </w:t>
      </w:r>
      <w:r w:rsidR="00771832" w:rsidRPr="00AE690A">
        <w:t>26.8</w:t>
      </w:r>
    </w:p>
    <w:p w:rsidR="00771832" w:rsidRPr="00771832" w:rsidRDefault="00771832" w:rsidP="00771832">
      <w:pPr>
        <w:pStyle w:val="bt"/>
        <w:spacing w:before="60" w:after="0"/>
        <w:rPr>
          <w:b/>
        </w:rPr>
      </w:pPr>
      <w:r w:rsidRPr="00771832">
        <w:rPr>
          <w:b/>
        </w:rPr>
        <w:t>Group households*</w:t>
      </w:r>
    </w:p>
    <w:p w:rsidR="00771832" w:rsidRPr="0056756F" w:rsidRDefault="00771832" w:rsidP="00BA2D96">
      <w:pPr>
        <w:pStyle w:val="bt"/>
        <w:numPr>
          <w:ilvl w:val="0"/>
          <w:numId w:val="27"/>
        </w:numPr>
        <w:spacing w:before="60" w:after="0"/>
      </w:pPr>
      <w:r w:rsidRPr="0056756F">
        <w:t>Greater Bendigo</w:t>
      </w:r>
    </w:p>
    <w:p w:rsidR="00771832" w:rsidRDefault="00771832" w:rsidP="00BA2D96">
      <w:pPr>
        <w:pStyle w:val="bt"/>
        <w:numPr>
          <w:ilvl w:val="0"/>
          <w:numId w:val="28"/>
        </w:numPr>
        <w:spacing w:before="60" w:after="0"/>
        <w:ind w:left="1134"/>
      </w:pPr>
      <w:r w:rsidRPr="0056756F">
        <w:t>Number</w:t>
      </w:r>
      <w:r>
        <w:t xml:space="preserve"> – 1</w:t>
      </w:r>
      <w:r w:rsidRPr="00AE690A">
        <w:t>634</w:t>
      </w:r>
    </w:p>
    <w:p w:rsidR="00771832" w:rsidRPr="0056756F" w:rsidRDefault="00771832" w:rsidP="00BA2D96">
      <w:pPr>
        <w:pStyle w:val="bt"/>
        <w:numPr>
          <w:ilvl w:val="0"/>
          <w:numId w:val="28"/>
        </w:numPr>
        <w:spacing w:before="60" w:after="0"/>
        <w:ind w:left="1134"/>
      </w:pPr>
      <w:r w:rsidRPr="0056756F">
        <w:t>Percentage</w:t>
      </w:r>
      <w:r>
        <w:t xml:space="preserve"> – </w:t>
      </w:r>
      <w:r w:rsidRPr="00AE690A">
        <w:t>4.2</w:t>
      </w:r>
    </w:p>
    <w:p w:rsidR="00771832" w:rsidRPr="0056756F" w:rsidRDefault="00771832" w:rsidP="00BA2D96">
      <w:pPr>
        <w:pStyle w:val="bt"/>
        <w:numPr>
          <w:ilvl w:val="0"/>
          <w:numId w:val="27"/>
        </w:numPr>
        <w:spacing w:before="60" w:after="0"/>
      </w:pPr>
      <w:r w:rsidRPr="0056756F">
        <w:t>Central Goldfields</w:t>
      </w:r>
    </w:p>
    <w:p w:rsidR="00771832" w:rsidRDefault="00771832" w:rsidP="00BA2D96">
      <w:pPr>
        <w:pStyle w:val="bt"/>
        <w:numPr>
          <w:ilvl w:val="0"/>
          <w:numId w:val="29"/>
        </w:numPr>
        <w:spacing w:before="60" w:after="0"/>
        <w:ind w:left="1134"/>
      </w:pPr>
      <w:r w:rsidRPr="0056756F">
        <w:t>Number</w:t>
      </w:r>
      <w:r>
        <w:t xml:space="preserve"> – </w:t>
      </w:r>
      <w:r w:rsidRPr="00AE690A">
        <w:t>140</w:t>
      </w:r>
    </w:p>
    <w:p w:rsidR="00771832" w:rsidRPr="0056756F" w:rsidRDefault="00771832" w:rsidP="00BA2D96">
      <w:pPr>
        <w:pStyle w:val="bt"/>
        <w:numPr>
          <w:ilvl w:val="0"/>
          <w:numId w:val="29"/>
        </w:numPr>
        <w:spacing w:before="60" w:after="0"/>
        <w:ind w:left="1134"/>
      </w:pPr>
      <w:r w:rsidRPr="0056756F">
        <w:t>Percentage</w:t>
      </w:r>
      <w:r>
        <w:t xml:space="preserve"> – </w:t>
      </w:r>
      <w:r w:rsidRPr="00AE690A">
        <w:t>2.6</w:t>
      </w:r>
    </w:p>
    <w:p w:rsidR="00771832" w:rsidRPr="0056756F" w:rsidRDefault="00771832" w:rsidP="00BA2D96">
      <w:pPr>
        <w:pStyle w:val="bt"/>
        <w:numPr>
          <w:ilvl w:val="0"/>
          <w:numId w:val="27"/>
        </w:numPr>
        <w:spacing w:before="60" w:after="0"/>
      </w:pPr>
      <w:r w:rsidRPr="0056756F">
        <w:t>Macedon Ranges</w:t>
      </w:r>
    </w:p>
    <w:p w:rsidR="00771832" w:rsidRDefault="00771832" w:rsidP="00BA2D96">
      <w:pPr>
        <w:pStyle w:val="bt"/>
        <w:numPr>
          <w:ilvl w:val="0"/>
          <w:numId w:val="30"/>
        </w:numPr>
        <w:spacing w:before="60" w:after="0"/>
        <w:ind w:left="1134"/>
      </w:pPr>
      <w:r w:rsidRPr="0056756F">
        <w:t>Number</w:t>
      </w:r>
      <w:r>
        <w:t xml:space="preserve"> – </w:t>
      </w:r>
      <w:r w:rsidRPr="00AE690A">
        <w:t>267</w:t>
      </w:r>
    </w:p>
    <w:p w:rsidR="00771832" w:rsidRPr="0056756F" w:rsidRDefault="00771832" w:rsidP="00BA2D96">
      <w:pPr>
        <w:pStyle w:val="bt"/>
        <w:numPr>
          <w:ilvl w:val="0"/>
          <w:numId w:val="30"/>
        </w:numPr>
        <w:spacing w:before="60" w:after="0"/>
        <w:ind w:left="1134"/>
      </w:pPr>
      <w:r w:rsidRPr="0056756F">
        <w:t>Percentage</w:t>
      </w:r>
      <w:r>
        <w:t xml:space="preserve"> – </w:t>
      </w:r>
      <w:r w:rsidRPr="00AE690A">
        <w:t>1.8</w:t>
      </w:r>
    </w:p>
    <w:p w:rsidR="00771832" w:rsidRPr="0056756F" w:rsidRDefault="00771832" w:rsidP="00BA2D96">
      <w:pPr>
        <w:pStyle w:val="bt"/>
        <w:numPr>
          <w:ilvl w:val="0"/>
          <w:numId w:val="27"/>
        </w:numPr>
        <w:spacing w:before="60" w:after="0"/>
      </w:pPr>
      <w:r w:rsidRPr="0056756F">
        <w:t>Mount Alexander</w:t>
      </w:r>
    </w:p>
    <w:p w:rsidR="00771832" w:rsidRDefault="00771832" w:rsidP="00BA2D96">
      <w:pPr>
        <w:pStyle w:val="bt"/>
        <w:numPr>
          <w:ilvl w:val="0"/>
          <w:numId w:val="31"/>
        </w:numPr>
        <w:spacing w:before="60" w:after="0"/>
        <w:ind w:left="1134"/>
      </w:pPr>
      <w:r w:rsidRPr="0056756F">
        <w:lastRenderedPageBreak/>
        <w:t>Number</w:t>
      </w:r>
      <w:r>
        <w:t xml:space="preserve"> – </w:t>
      </w:r>
      <w:r w:rsidRPr="00AE690A">
        <w:t>218</w:t>
      </w:r>
    </w:p>
    <w:p w:rsidR="00771832" w:rsidRPr="0056756F" w:rsidRDefault="00771832" w:rsidP="00BA2D96">
      <w:pPr>
        <w:pStyle w:val="bt"/>
        <w:numPr>
          <w:ilvl w:val="0"/>
          <w:numId w:val="31"/>
        </w:numPr>
        <w:spacing w:before="60" w:after="0"/>
        <w:ind w:left="1134"/>
      </w:pPr>
      <w:r w:rsidRPr="0056756F">
        <w:t>Percentage</w:t>
      </w:r>
      <w:r>
        <w:t xml:space="preserve"> – </w:t>
      </w:r>
      <w:r w:rsidRPr="00AE690A">
        <w:t>3.1</w:t>
      </w:r>
    </w:p>
    <w:p w:rsidR="00771832" w:rsidRPr="0056756F" w:rsidRDefault="00771832" w:rsidP="00BA2D96">
      <w:pPr>
        <w:pStyle w:val="bt"/>
        <w:numPr>
          <w:ilvl w:val="0"/>
          <w:numId w:val="27"/>
        </w:numPr>
        <w:spacing w:before="60" w:after="0"/>
      </w:pPr>
      <w:r w:rsidRPr="0056756F">
        <w:t>Loddon</w:t>
      </w:r>
    </w:p>
    <w:p w:rsidR="00771832" w:rsidRPr="0056756F" w:rsidRDefault="00771832" w:rsidP="00BA2D96">
      <w:pPr>
        <w:pStyle w:val="bt"/>
        <w:numPr>
          <w:ilvl w:val="0"/>
          <w:numId w:val="32"/>
        </w:numPr>
        <w:spacing w:before="60" w:after="0"/>
        <w:ind w:left="1134"/>
      </w:pPr>
      <w:r w:rsidRPr="0056756F">
        <w:t>Number</w:t>
      </w:r>
      <w:r>
        <w:t xml:space="preserve"> –</w:t>
      </w:r>
      <w:r w:rsidR="004E39C2">
        <w:t xml:space="preserve"> </w:t>
      </w:r>
      <w:r w:rsidRPr="00AE690A">
        <w:t>80</w:t>
      </w:r>
    </w:p>
    <w:p w:rsidR="00771832" w:rsidRPr="0056756F" w:rsidRDefault="00771832" w:rsidP="00BA2D96">
      <w:pPr>
        <w:pStyle w:val="bt"/>
        <w:numPr>
          <w:ilvl w:val="0"/>
          <w:numId w:val="32"/>
        </w:numPr>
        <w:spacing w:before="60" w:after="0"/>
        <w:ind w:left="1134"/>
      </w:pPr>
      <w:r w:rsidRPr="0056756F">
        <w:t>Percentage</w:t>
      </w:r>
      <w:r>
        <w:t xml:space="preserve"> – </w:t>
      </w:r>
      <w:r w:rsidRPr="00AE690A">
        <w:t>2.6</w:t>
      </w:r>
    </w:p>
    <w:p w:rsidR="00771832" w:rsidRPr="0056756F" w:rsidRDefault="00771832" w:rsidP="00BA2D96">
      <w:pPr>
        <w:pStyle w:val="bt"/>
        <w:numPr>
          <w:ilvl w:val="0"/>
          <w:numId w:val="27"/>
        </w:numPr>
        <w:spacing w:before="60" w:after="0"/>
      </w:pPr>
      <w:r w:rsidRPr="0056756F">
        <w:t>Loddon Mallee South region</w:t>
      </w:r>
    </w:p>
    <w:p w:rsidR="00771832" w:rsidRPr="0056756F" w:rsidRDefault="00771832" w:rsidP="00BA2D96">
      <w:pPr>
        <w:pStyle w:val="bt"/>
        <w:numPr>
          <w:ilvl w:val="0"/>
          <w:numId w:val="33"/>
        </w:numPr>
        <w:spacing w:before="60" w:after="0"/>
        <w:ind w:left="1134"/>
      </w:pPr>
      <w:r w:rsidRPr="0056756F">
        <w:t>Number</w:t>
      </w:r>
      <w:r>
        <w:t xml:space="preserve"> –2</w:t>
      </w:r>
      <w:r w:rsidRPr="00AE690A">
        <w:t>339</w:t>
      </w:r>
    </w:p>
    <w:p w:rsidR="00771832" w:rsidRPr="0056756F" w:rsidRDefault="00771832" w:rsidP="00BA2D96">
      <w:pPr>
        <w:pStyle w:val="bt"/>
        <w:numPr>
          <w:ilvl w:val="0"/>
          <w:numId w:val="33"/>
        </w:numPr>
        <w:spacing w:before="60" w:after="0"/>
        <w:ind w:left="1134"/>
      </w:pPr>
      <w:r w:rsidRPr="0056756F">
        <w:t>Percentage</w:t>
      </w:r>
      <w:r>
        <w:t xml:space="preserve"> – </w:t>
      </w:r>
      <w:r w:rsidRPr="00AE690A">
        <w:t>3.4</w:t>
      </w:r>
    </w:p>
    <w:p w:rsidR="00771832" w:rsidRPr="00771832" w:rsidRDefault="00771832" w:rsidP="00771832">
      <w:pPr>
        <w:pStyle w:val="bt"/>
        <w:spacing w:before="60" w:after="0"/>
        <w:rPr>
          <w:b/>
        </w:rPr>
      </w:pPr>
      <w:r w:rsidRPr="00771832">
        <w:rPr>
          <w:b/>
        </w:rPr>
        <w:t>Total</w:t>
      </w:r>
    </w:p>
    <w:p w:rsidR="00771832" w:rsidRPr="00771832" w:rsidRDefault="00771832" w:rsidP="00BA2D96">
      <w:pPr>
        <w:pStyle w:val="bt"/>
        <w:numPr>
          <w:ilvl w:val="0"/>
          <w:numId w:val="27"/>
        </w:numPr>
        <w:spacing w:before="60" w:after="0"/>
      </w:pPr>
      <w:r w:rsidRPr="00771832">
        <w:t>Greater Bendigo</w:t>
      </w:r>
    </w:p>
    <w:p w:rsidR="00771832" w:rsidRPr="00771832" w:rsidRDefault="00771832" w:rsidP="00BA2D96">
      <w:pPr>
        <w:pStyle w:val="bt"/>
        <w:numPr>
          <w:ilvl w:val="0"/>
          <w:numId w:val="28"/>
        </w:numPr>
        <w:spacing w:before="60" w:after="0"/>
        <w:ind w:left="1134"/>
      </w:pPr>
      <w:r w:rsidRPr="00771832">
        <w:t>Number – 38,218</w:t>
      </w:r>
    </w:p>
    <w:p w:rsidR="00771832" w:rsidRPr="00771832" w:rsidRDefault="00771832" w:rsidP="00BA2D96">
      <w:pPr>
        <w:pStyle w:val="bt"/>
        <w:numPr>
          <w:ilvl w:val="0"/>
          <w:numId w:val="28"/>
        </w:numPr>
        <w:spacing w:before="60" w:after="0"/>
        <w:ind w:left="1134"/>
      </w:pPr>
      <w:r w:rsidRPr="00771832">
        <w:t>Percentage – 100</w:t>
      </w:r>
    </w:p>
    <w:p w:rsidR="00771832" w:rsidRPr="00771832" w:rsidRDefault="00771832" w:rsidP="00BA2D96">
      <w:pPr>
        <w:pStyle w:val="bt"/>
        <w:numPr>
          <w:ilvl w:val="0"/>
          <w:numId w:val="27"/>
        </w:numPr>
        <w:spacing w:before="60" w:after="0"/>
      </w:pPr>
      <w:r w:rsidRPr="00771832">
        <w:t>Central Goldfields</w:t>
      </w:r>
    </w:p>
    <w:p w:rsidR="00771832" w:rsidRPr="00771832" w:rsidRDefault="00771832" w:rsidP="00BA2D96">
      <w:pPr>
        <w:pStyle w:val="bt"/>
        <w:numPr>
          <w:ilvl w:val="0"/>
          <w:numId w:val="29"/>
        </w:numPr>
        <w:spacing w:before="60" w:after="0"/>
        <w:ind w:left="1134"/>
      </w:pPr>
      <w:r w:rsidRPr="00771832">
        <w:t>Number – 5248</w:t>
      </w:r>
    </w:p>
    <w:p w:rsidR="00771832" w:rsidRPr="00771832" w:rsidRDefault="00771832" w:rsidP="00BA2D96">
      <w:pPr>
        <w:pStyle w:val="bt"/>
        <w:numPr>
          <w:ilvl w:val="0"/>
          <w:numId w:val="29"/>
        </w:numPr>
        <w:spacing w:before="60" w:after="0"/>
        <w:ind w:left="1134"/>
      </w:pPr>
      <w:r w:rsidRPr="00771832">
        <w:t>Percentage – 100</w:t>
      </w:r>
    </w:p>
    <w:p w:rsidR="00771832" w:rsidRPr="00771832" w:rsidRDefault="00771832" w:rsidP="00BA2D96">
      <w:pPr>
        <w:pStyle w:val="bt"/>
        <w:numPr>
          <w:ilvl w:val="0"/>
          <w:numId w:val="27"/>
        </w:numPr>
        <w:spacing w:before="60" w:after="0"/>
      </w:pPr>
      <w:r w:rsidRPr="00771832">
        <w:t>Macedon Ranges</w:t>
      </w:r>
    </w:p>
    <w:p w:rsidR="00771832" w:rsidRPr="00771832" w:rsidRDefault="00771832" w:rsidP="00BA2D96">
      <w:pPr>
        <w:pStyle w:val="bt"/>
        <w:numPr>
          <w:ilvl w:val="0"/>
          <w:numId w:val="30"/>
        </w:numPr>
        <w:spacing w:before="60" w:after="0"/>
        <w:ind w:left="1134"/>
      </w:pPr>
      <w:r w:rsidRPr="00771832">
        <w:t>Number – 14,523</w:t>
      </w:r>
    </w:p>
    <w:p w:rsidR="00771832" w:rsidRPr="00771832" w:rsidRDefault="00771832" w:rsidP="00BA2D96">
      <w:pPr>
        <w:pStyle w:val="bt"/>
        <w:numPr>
          <w:ilvl w:val="0"/>
          <w:numId w:val="30"/>
        </w:numPr>
        <w:spacing w:before="60" w:after="0"/>
        <w:ind w:left="1134"/>
      </w:pPr>
      <w:r w:rsidRPr="00771832">
        <w:t>Percentage – 100</w:t>
      </w:r>
    </w:p>
    <w:p w:rsidR="00771832" w:rsidRPr="00771832" w:rsidRDefault="00771832" w:rsidP="00BA2D96">
      <w:pPr>
        <w:pStyle w:val="bt"/>
        <w:numPr>
          <w:ilvl w:val="0"/>
          <w:numId w:val="27"/>
        </w:numPr>
        <w:spacing w:before="60" w:after="0"/>
      </w:pPr>
      <w:r w:rsidRPr="00771832">
        <w:t>Mount Alexander</w:t>
      </w:r>
    </w:p>
    <w:p w:rsidR="00771832" w:rsidRPr="00771832" w:rsidRDefault="00771832" w:rsidP="00BA2D96">
      <w:pPr>
        <w:pStyle w:val="bt"/>
        <w:numPr>
          <w:ilvl w:val="0"/>
          <w:numId w:val="31"/>
        </w:numPr>
        <w:spacing w:before="60" w:after="0"/>
        <w:ind w:left="1134"/>
      </w:pPr>
      <w:r w:rsidRPr="00771832">
        <w:t>Number – 7098</w:t>
      </w:r>
    </w:p>
    <w:p w:rsidR="00771832" w:rsidRPr="00771832" w:rsidRDefault="00771832" w:rsidP="00BA2D96">
      <w:pPr>
        <w:pStyle w:val="bt"/>
        <w:numPr>
          <w:ilvl w:val="0"/>
          <w:numId w:val="31"/>
        </w:numPr>
        <w:spacing w:before="60" w:after="0"/>
        <w:ind w:left="1134"/>
      </w:pPr>
      <w:r w:rsidRPr="00771832">
        <w:t>Percentage – 100</w:t>
      </w:r>
    </w:p>
    <w:p w:rsidR="00771832" w:rsidRPr="00771832" w:rsidRDefault="00771832" w:rsidP="00BA2D96">
      <w:pPr>
        <w:pStyle w:val="bt"/>
        <w:numPr>
          <w:ilvl w:val="0"/>
          <w:numId w:val="27"/>
        </w:numPr>
        <w:spacing w:before="60" w:after="0"/>
      </w:pPr>
      <w:r w:rsidRPr="00771832">
        <w:t>Loddon</w:t>
      </w:r>
    </w:p>
    <w:p w:rsidR="00771832" w:rsidRPr="00771832" w:rsidRDefault="00771832" w:rsidP="00BA2D96">
      <w:pPr>
        <w:pStyle w:val="bt"/>
        <w:numPr>
          <w:ilvl w:val="0"/>
          <w:numId w:val="32"/>
        </w:numPr>
        <w:spacing w:before="60" w:after="0"/>
        <w:ind w:left="1134"/>
      </w:pPr>
      <w:r w:rsidRPr="00771832">
        <w:t>Number –3038</w:t>
      </w:r>
    </w:p>
    <w:p w:rsidR="00771832" w:rsidRPr="00771832" w:rsidRDefault="00771832" w:rsidP="00BA2D96">
      <w:pPr>
        <w:pStyle w:val="bt"/>
        <w:numPr>
          <w:ilvl w:val="0"/>
          <w:numId w:val="32"/>
        </w:numPr>
        <w:spacing w:before="60" w:after="0"/>
        <w:ind w:left="1134"/>
      </w:pPr>
      <w:r w:rsidRPr="00771832">
        <w:t>Percentage – 100</w:t>
      </w:r>
    </w:p>
    <w:p w:rsidR="00771832" w:rsidRPr="00771832" w:rsidRDefault="00771832" w:rsidP="00BA2D96">
      <w:pPr>
        <w:pStyle w:val="bt"/>
        <w:numPr>
          <w:ilvl w:val="0"/>
          <w:numId w:val="27"/>
        </w:numPr>
        <w:spacing w:before="60" w:after="0"/>
      </w:pPr>
      <w:r w:rsidRPr="00771832">
        <w:t>Loddon Mallee South region</w:t>
      </w:r>
    </w:p>
    <w:p w:rsidR="00771832" w:rsidRPr="00771832" w:rsidRDefault="00771832" w:rsidP="00BA2D96">
      <w:pPr>
        <w:pStyle w:val="bt"/>
        <w:numPr>
          <w:ilvl w:val="0"/>
          <w:numId w:val="33"/>
        </w:numPr>
        <w:spacing w:before="60" w:after="0"/>
        <w:ind w:left="1134"/>
      </w:pPr>
      <w:r w:rsidRPr="00771832">
        <w:t>Number –</w:t>
      </w:r>
      <w:r w:rsidR="004E39C2">
        <w:t xml:space="preserve"> </w:t>
      </w:r>
      <w:r w:rsidRPr="00771832">
        <w:t>68,126</w:t>
      </w:r>
    </w:p>
    <w:p w:rsidR="0056756F" w:rsidRPr="00771832" w:rsidRDefault="00771832" w:rsidP="00BA2D96">
      <w:pPr>
        <w:pStyle w:val="bt"/>
        <w:numPr>
          <w:ilvl w:val="0"/>
          <w:numId w:val="33"/>
        </w:numPr>
        <w:spacing w:before="60" w:after="0"/>
        <w:ind w:left="1134"/>
      </w:pPr>
      <w:r w:rsidRPr="00771832">
        <w:t>Percentage – 100</w:t>
      </w:r>
    </w:p>
    <w:p w:rsidR="008A4BC9" w:rsidRPr="00225D10" w:rsidRDefault="008A4BC9" w:rsidP="00D34F87">
      <w:pPr>
        <w:pStyle w:val="Source"/>
        <w:tabs>
          <w:tab w:val="left" w:pos="8931"/>
        </w:tabs>
      </w:pPr>
      <w:r w:rsidRPr="00225D10">
        <w:t xml:space="preserve">Source: </w:t>
      </w:r>
      <w:r w:rsidR="00D71B33">
        <w:t>Australian Bureau of Statistics</w:t>
      </w:r>
      <w:r w:rsidRPr="00225D10">
        <w:t xml:space="preserve"> Census 2011</w:t>
      </w:r>
    </w:p>
    <w:p w:rsidR="008A4BC9" w:rsidRPr="00225D10" w:rsidRDefault="00ED6833" w:rsidP="00D34F87">
      <w:pPr>
        <w:pStyle w:val="Source"/>
        <w:tabs>
          <w:tab w:val="left" w:pos="8931"/>
        </w:tabs>
      </w:pPr>
      <w:r>
        <w:t>*</w:t>
      </w:r>
      <w:r w:rsidR="008A4BC9" w:rsidRPr="00225D10">
        <w:t>A group household is defined as a household consisting of two or more unrelated people where all persons are aged 15 years and over.</w:t>
      </w:r>
    </w:p>
    <w:p w:rsidR="008A4BC9" w:rsidRPr="00225D10" w:rsidRDefault="008A4BC9" w:rsidP="00D34F87">
      <w:pPr>
        <w:pStyle w:val="bt"/>
        <w:tabs>
          <w:tab w:val="left" w:pos="8931"/>
        </w:tabs>
      </w:pPr>
      <w:r w:rsidRPr="00225D10">
        <w:t>By 2031, nearly one</w:t>
      </w:r>
      <w:r w:rsidR="002A05F2" w:rsidRPr="00225D10">
        <w:t xml:space="preserve"> </w:t>
      </w:r>
      <w:r w:rsidRPr="00225D10">
        <w:t>third (31</w:t>
      </w:r>
      <w:r w:rsidR="00997C90">
        <w:t xml:space="preserve"> per cent</w:t>
      </w:r>
      <w:r w:rsidR="00997C90" w:rsidRPr="00225D10">
        <w:t xml:space="preserve">) </w:t>
      </w:r>
      <w:r w:rsidRPr="00225D10">
        <w:t>of households in the Loddon Mallee South region will consist of one person, up from 27</w:t>
      </w:r>
      <w:r w:rsidR="00997C90">
        <w:t xml:space="preserve"> per cent</w:t>
      </w:r>
      <w:r w:rsidR="00997C90" w:rsidRPr="00225D10">
        <w:t xml:space="preserve"> </w:t>
      </w:r>
      <w:r w:rsidRPr="00225D10">
        <w:t>in 2011 (</w:t>
      </w:r>
      <w:r w:rsidR="00680EEE">
        <w:fldChar w:fldCharType="begin"/>
      </w:r>
      <w:r w:rsidR="00680EEE">
        <w:instrText xml:space="preserve"> REF _Ref353353132 \h  \* MERGEFORMAT </w:instrText>
      </w:r>
      <w:r w:rsidR="00680EEE">
        <w:fldChar w:fldCharType="separate"/>
      </w:r>
      <w:r w:rsidR="00EF1401" w:rsidRPr="00225D10">
        <w:t xml:space="preserve">Figure </w:t>
      </w:r>
      <w:r w:rsidR="00EF1401">
        <w:t>9</w:t>
      </w:r>
      <w:r w:rsidR="00680EEE">
        <w:fldChar w:fldCharType="end"/>
      </w:r>
      <w:r w:rsidRPr="00225D10">
        <w:t>).</w:t>
      </w:r>
    </w:p>
    <w:p w:rsidR="00136C51" w:rsidRDefault="00136C51" w:rsidP="00D34F87">
      <w:pPr>
        <w:pStyle w:val="Caption"/>
        <w:tabs>
          <w:tab w:val="left" w:pos="8931"/>
        </w:tabs>
      </w:pPr>
      <w:bookmarkStart w:id="42" w:name="_Ref353353132"/>
      <w:bookmarkStart w:id="43" w:name="_Toc352166553"/>
      <w:bookmarkStart w:id="44" w:name="_Toc374530804"/>
      <w:r w:rsidRPr="00225D10">
        <w:t xml:space="preserve">Figure </w:t>
      </w:r>
      <w:r w:rsidR="00162534">
        <w:fldChar w:fldCharType="begin"/>
      </w:r>
      <w:r w:rsidR="00154847">
        <w:instrText xml:space="preserve"> SEQ Figure \* ARABIC </w:instrText>
      </w:r>
      <w:r w:rsidR="00162534">
        <w:fldChar w:fldCharType="separate"/>
      </w:r>
      <w:r w:rsidR="00EF1401">
        <w:rPr>
          <w:noProof/>
        </w:rPr>
        <w:t>9</w:t>
      </w:r>
      <w:r w:rsidR="00162534">
        <w:fldChar w:fldCharType="end"/>
      </w:r>
      <w:bookmarkEnd w:id="42"/>
      <w:r w:rsidR="00377F5C">
        <w:t>:</w:t>
      </w:r>
      <w:r w:rsidRPr="00225D10">
        <w:t xml:space="preserve"> Loddon Mallee South, Future household composition 2011–2031</w:t>
      </w:r>
      <w:bookmarkEnd w:id="43"/>
      <w:bookmarkEnd w:id="44"/>
    </w:p>
    <w:p w:rsidR="00771832" w:rsidRPr="00771832" w:rsidRDefault="00771832" w:rsidP="00771832">
      <w:pPr>
        <w:pStyle w:val="bt"/>
        <w:spacing w:before="60" w:after="0"/>
        <w:rPr>
          <w:b/>
        </w:rPr>
      </w:pPr>
      <w:r w:rsidRPr="00771832">
        <w:rPr>
          <w:b/>
        </w:rPr>
        <w:t>Family households</w:t>
      </w:r>
    </w:p>
    <w:p w:rsidR="00771832" w:rsidRDefault="00771832" w:rsidP="00BA2D96">
      <w:pPr>
        <w:pStyle w:val="bt"/>
        <w:numPr>
          <w:ilvl w:val="0"/>
          <w:numId w:val="34"/>
        </w:numPr>
        <w:spacing w:before="60" w:after="0"/>
      </w:pPr>
      <w:r>
        <w:t>2011</w:t>
      </w:r>
    </w:p>
    <w:p w:rsidR="00771832" w:rsidRDefault="00771832" w:rsidP="00BA2D96">
      <w:pPr>
        <w:pStyle w:val="bt"/>
        <w:numPr>
          <w:ilvl w:val="0"/>
          <w:numId w:val="35"/>
        </w:numPr>
        <w:spacing w:before="60" w:after="0"/>
        <w:ind w:left="1134"/>
      </w:pPr>
      <w:r>
        <w:t xml:space="preserve">Number – </w:t>
      </w:r>
      <w:r w:rsidRPr="00225D10">
        <w:t>51,720</w:t>
      </w:r>
    </w:p>
    <w:p w:rsidR="00771832" w:rsidRDefault="00771832" w:rsidP="00BA2D96">
      <w:pPr>
        <w:pStyle w:val="bt"/>
        <w:numPr>
          <w:ilvl w:val="0"/>
          <w:numId w:val="35"/>
        </w:numPr>
        <w:spacing w:before="60" w:after="0"/>
        <w:ind w:left="1134"/>
      </w:pPr>
      <w:r>
        <w:t xml:space="preserve">Percentage – </w:t>
      </w:r>
      <w:r w:rsidRPr="00225D10">
        <w:t>69.8</w:t>
      </w:r>
    </w:p>
    <w:p w:rsidR="00771832" w:rsidRDefault="00771832" w:rsidP="00BA2D96">
      <w:pPr>
        <w:pStyle w:val="bt"/>
        <w:numPr>
          <w:ilvl w:val="0"/>
          <w:numId w:val="34"/>
        </w:numPr>
        <w:spacing w:before="60" w:after="0"/>
      </w:pPr>
      <w:r>
        <w:t>2021</w:t>
      </w:r>
    </w:p>
    <w:p w:rsidR="00771832" w:rsidRDefault="00771832" w:rsidP="00BA2D96">
      <w:pPr>
        <w:pStyle w:val="bt"/>
        <w:numPr>
          <w:ilvl w:val="0"/>
          <w:numId w:val="36"/>
        </w:numPr>
        <w:spacing w:before="60" w:after="0"/>
        <w:ind w:left="1134"/>
      </w:pPr>
      <w:r>
        <w:t xml:space="preserve">Number – </w:t>
      </w:r>
      <w:r w:rsidRPr="00225D10">
        <w:t>59,329</w:t>
      </w:r>
    </w:p>
    <w:p w:rsidR="00771832" w:rsidRDefault="00771832" w:rsidP="00BA2D96">
      <w:pPr>
        <w:pStyle w:val="bt"/>
        <w:numPr>
          <w:ilvl w:val="0"/>
          <w:numId w:val="36"/>
        </w:numPr>
        <w:spacing w:before="60" w:after="0"/>
        <w:ind w:left="1134"/>
      </w:pPr>
      <w:r>
        <w:t xml:space="preserve">Percentage – </w:t>
      </w:r>
      <w:r w:rsidRPr="00225D10">
        <w:t>68.2</w:t>
      </w:r>
    </w:p>
    <w:p w:rsidR="00771832" w:rsidRDefault="00771832" w:rsidP="00BA2D96">
      <w:pPr>
        <w:pStyle w:val="bt"/>
        <w:numPr>
          <w:ilvl w:val="0"/>
          <w:numId w:val="34"/>
        </w:numPr>
        <w:spacing w:before="60" w:after="0"/>
      </w:pPr>
      <w:r>
        <w:t>2031</w:t>
      </w:r>
    </w:p>
    <w:p w:rsidR="00771832" w:rsidRDefault="00771832" w:rsidP="00BA2D96">
      <w:pPr>
        <w:pStyle w:val="ListParagraph"/>
        <w:numPr>
          <w:ilvl w:val="0"/>
          <w:numId w:val="37"/>
        </w:numPr>
        <w:ind w:left="1134"/>
      </w:pPr>
      <w:r>
        <w:t xml:space="preserve">Number – </w:t>
      </w:r>
      <w:r w:rsidRPr="00225D10">
        <w:t>66,394</w:t>
      </w:r>
    </w:p>
    <w:p w:rsidR="00771832" w:rsidRDefault="00771832" w:rsidP="00BA2D96">
      <w:pPr>
        <w:pStyle w:val="ListParagraph"/>
        <w:numPr>
          <w:ilvl w:val="0"/>
          <w:numId w:val="37"/>
        </w:numPr>
        <w:ind w:left="1134"/>
      </w:pPr>
      <w:r>
        <w:t xml:space="preserve">Percentage – </w:t>
      </w:r>
      <w:r w:rsidRPr="00225D10">
        <w:t>66.5</w:t>
      </w:r>
    </w:p>
    <w:p w:rsidR="00771832" w:rsidRPr="00771832" w:rsidRDefault="00771832" w:rsidP="00771832">
      <w:pPr>
        <w:pStyle w:val="bt"/>
        <w:spacing w:before="60" w:after="0"/>
        <w:rPr>
          <w:b/>
        </w:rPr>
      </w:pPr>
      <w:r w:rsidRPr="00771832">
        <w:rPr>
          <w:b/>
        </w:rPr>
        <w:lastRenderedPageBreak/>
        <w:t>Single (or lone) person households</w:t>
      </w:r>
    </w:p>
    <w:p w:rsidR="00771832" w:rsidRDefault="00771832" w:rsidP="00BA2D96">
      <w:pPr>
        <w:pStyle w:val="bt"/>
        <w:numPr>
          <w:ilvl w:val="0"/>
          <w:numId w:val="34"/>
        </w:numPr>
        <w:spacing w:before="60" w:after="0"/>
      </w:pPr>
      <w:r>
        <w:t>2011</w:t>
      </w:r>
    </w:p>
    <w:p w:rsidR="00771832" w:rsidRDefault="00771832" w:rsidP="00BA2D96">
      <w:pPr>
        <w:pStyle w:val="bt"/>
        <w:numPr>
          <w:ilvl w:val="0"/>
          <w:numId w:val="35"/>
        </w:numPr>
        <w:spacing w:before="60" w:after="0"/>
        <w:ind w:left="1134"/>
      </w:pPr>
      <w:r>
        <w:t xml:space="preserve">Number – </w:t>
      </w:r>
      <w:r w:rsidRPr="00225D10">
        <w:t>20,114</w:t>
      </w:r>
    </w:p>
    <w:p w:rsidR="00771832" w:rsidRDefault="00771832" w:rsidP="00BA2D96">
      <w:pPr>
        <w:pStyle w:val="bt"/>
        <w:numPr>
          <w:ilvl w:val="0"/>
          <w:numId w:val="35"/>
        </w:numPr>
        <w:spacing w:before="60" w:after="0"/>
        <w:ind w:left="1134"/>
      </w:pPr>
      <w:r>
        <w:t xml:space="preserve">Percentage – </w:t>
      </w:r>
      <w:r w:rsidRPr="00225D10">
        <w:t>27.2</w:t>
      </w:r>
    </w:p>
    <w:p w:rsidR="00771832" w:rsidRDefault="00771832" w:rsidP="00BA2D96">
      <w:pPr>
        <w:pStyle w:val="bt"/>
        <w:numPr>
          <w:ilvl w:val="0"/>
          <w:numId w:val="34"/>
        </w:numPr>
        <w:spacing w:before="60" w:after="0"/>
      </w:pPr>
      <w:r>
        <w:t>2021</w:t>
      </w:r>
    </w:p>
    <w:p w:rsidR="00771832" w:rsidRDefault="00771832" w:rsidP="00BA2D96">
      <w:pPr>
        <w:pStyle w:val="bt"/>
        <w:numPr>
          <w:ilvl w:val="0"/>
          <w:numId w:val="36"/>
        </w:numPr>
        <w:spacing w:before="60" w:after="0"/>
        <w:ind w:left="1134"/>
      </w:pPr>
      <w:r>
        <w:t xml:space="preserve">Number – </w:t>
      </w:r>
      <w:r w:rsidRPr="00225D10">
        <w:t>25,243</w:t>
      </w:r>
    </w:p>
    <w:p w:rsidR="00771832" w:rsidRDefault="00771832" w:rsidP="00BA2D96">
      <w:pPr>
        <w:pStyle w:val="bt"/>
        <w:numPr>
          <w:ilvl w:val="0"/>
          <w:numId w:val="36"/>
        </w:numPr>
        <w:spacing w:before="60" w:after="0"/>
        <w:ind w:left="1134"/>
      </w:pPr>
      <w:r>
        <w:t xml:space="preserve">Percentage – </w:t>
      </w:r>
      <w:r w:rsidRPr="00225D10">
        <w:t>29</w:t>
      </w:r>
    </w:p>
    <w:p w:rsidR="00771832" w:rsidRDefault="00771832" w:rsidP="00BA2D96">
      <w:pPr>
        <w:pStyle w:val="bt"/>
        <w:numPr>
          <w:ilvl w:val="0"/>
          <w:numId w:val="34"/>
        </w:numPr>
        <w:spacing w:before="60" w:after="0"/>
      </w:pPr>
      <w:r>
        <w:t>2031</w:t>
      </w:r>
    </w:p>
    <w:p w:rsidR="00771832" w:rsidRDefault="00771832" w:rsidP="00BA2D96">
      <w:pPr>
        <w:pStyle w:val="ListParagraph"/>
        <w:numPr>
          <w:ilvl w:val="0"/>
          <w:numId w:val="37"/>
        </w:numPr>
        <w:ind w:left="1134"/>
      </w:pPr>
      <w:r>
        <w:t xml:space="preserve">Number – </w:t>
      </w:r>
      <w:r w:rsidRPr="00225D10">
        <w:t>30,802</w:t>
      </w:r>
    </w:p>
    <w:p w:rsidR="00771832" w:rsidRPr="00771832" w:rsidRDefault="00771832" w:rsidP="00BA2D96">
      <w:pPr>
        <w:pStyle w:val="ListParagraph"/>
        <w:numPr>
          <w:ilvl w:val="0"/>
          <w:numId w:val="37"/>
        </w:numPr>
        <w:ind w:left="1134"/>
      </w:pPr>
      <w:r>
        <w:t xml:space="preserve">Percentage – </w:t>
      </w:r>
      <w:r w:rsidRPr="00225D10">
        <w:t>30.8</w:t>
      </w:r>
    </w:p>
    <w:p w:rsidR="00771832" w:rsidRPr="00771832" w:rsidRDefault="00771832" w:rsidP="00771832">
      <w:pPr>
        <w:pStyle w:val="bt"/>
        <w:spacing w:before="60" w:after="0"/>
        <w:rPr>
          <w:b/>
        </w:rPr>
      </w:pPr>
      <w:r w:rsidRPr="00771832">
        <w:rPr>
          <w:b/>
        </w:rPr>
        <w:t>Group households*</w:t>
      </w:r>
    </w:p>
    <w:p w:rsidR="00771832" w:rsidRDefault="00771832" w:rsidP="00BA2D96">
      <w:pPr>
        <w:pStyle w:val="bt"/>
        <w:numPr>
          <w:ilvl w:val="0"/>
          <w:numId w:val="34"/>
        </w:numPr>
        <w:spacing w:before="60" w:after="0"/>
      </w:pPr>
      <w:r>
        <w:t>2011</w:t>
      </w:r>
    </w:p>
    <w:p w:rsidR="00771832" w:rsidRDefault="00771832" w:rsidP="00BA2D96">
      <w:pPr>
        <w:pStyle w:val="bt"/>
        <w:numPr>
          <w:ilvl w:val="0"/>
          <w:numId w:val="35"/>
        </w:numPr>
        <w:spacing w:before="60" w:after="0"/>
        <w:ind w:left="1134"/>
      </w:pPr>
      <w:r>
        <w:t>Number – 2</w:t>
      </w:r>
      <w:r w:rsidRPr="00225D10">
        <w:t>230</w:t>
      </w:r>
    </w:p>
    <w:p w:rsidR="00771832" w:rsidRDefault="00771832" w:rsidP="00BA2D96">
      <w:pPr>
        <w:pStyle w:val="bt"/>
        <w:numPr>
          <w:ilvl w:val="0"/>
          <w:numId w:val="35"/>
        </w:numPr>
        <w:spacing w:before="60" w:after="0"/>
        <w:ind w:left="1134"/>
      </w:pPr>
      <w:r>
        <w:t xml:space="preserve">Percentage – </w:t>
      </w:r>
      <w:r w:rsidRPr="00225D10">
        <w:t>3</w:t>
      </w:r>
    </w:p>
    <w:p w:rsidR="00771832" w:rsidRDefault="00771832" w:rsidP="00BA2D96">
      <w:pPr>
        <w:pStyle w:val="bt"/>
        <w:numPr>
          <w:ilvl w:val="0"/>
          <w:numId w:val="34"/>
        </w:numPr>
        <w:spacing w:before="60" w:after="0"/>
      </w:pPr>
      <w:r>
        <w:t>2021</w:t>
      </w:r>
    </w:p>
    <w:p w:rsidR="00771832" w:rsidRDefault="00771832" w:rsidP="00BA2D96">
      <w:pPr>
        <w:pStyle w:val="bt"/>
        <w:numPr>
          <w:ilvl w:val="0"/>
          <w:numId w:val="36"/>
        </w:numPr>
        <w:spacing w:before="60" w:after="0"/>
        <w:ind w:left="1134"/>
      </w:pPr>
      <w:r>
        <w:t>Number – 2</w:t>
      </w:r>
      <w:r w:rsidRPr="00225D10">
        <w:t>430</w:t>
      </w:r>
    </w:p>
    <w:p w:rsidR="00771832" w:rsidRDefault="00771832" w:rsidP="00BA2D96">
      <w:pPr>
        <w:pStyle w:val="bt"/>
        <w:numPr>
          <w:ilvl w:val="0"/>
          <w:numId w:val="36"/>
        </w:numPr>
        <w:spacing w:before="60" w:after="0"/>
        <w:ind w:left="1134"/>
      </w:pPr>
      <w:r>
        <w:t xml:space="preserve">Percentage – </w:t>
      </w:r>
      <w:r w:rsidRPr="00225D10">
        <w:t>2.8</w:t>
      </w:r>
    </w:p>
    <w:p w:rsidR="00771832" w:rsidRDefault="00771832" w:rsidP="00BA2D96">
      <w:pPr>
        <w:pStyle w:val="bt"/>
        <w:numPr>
          <w:ilvl w:val="0"/>
          <w:numId w:val="34"/>
        </w:numPr>
        <w:spacing w:before="60" w:after="0"/>
      </w:pPr>
      <w:r>
        <w:t>2031</w:t>
      </w:r>
    </w:p>
    <w:p w:rsidR="00771832" w:rsidRDefault="00771832" w:rsidP="00BA2D96">
      <w:pPr>
        <w:pStyle w:val="ListParagraph"/>
        <w:numPr>
          <w:ilvl w:val="0"/>
          <w:numId w:val="37"/>
        </w:numPr>
        <w:ind w:left="1134"/>
      </w:pPr>
      <w:r>
        <w:t>Number – 2</w:t>
      </w:r>
      <w:r w:rsidRPr="00225D10">
        <w:t>716</w:t>
      </w:r>
    </w:p>
    <w:p w:rsidR="00771832" w:rsidRPr="00771832" w:rsidRDefault="00771832" w:rsidP="00BA2D96">
      <w:pPr>
        <w:pStyle w:val="ListParagraph"/>
        <w:numPr>
          <w:ilvl w:val="0"/>
          <w:numId w:val="37"/>
        </w:numPr>
        <w:ind w:left="1134"/>
      </w:pPr>
      <w:r>
        <w:t xml:space="preserve">Percentage – </w:t>
      </w:r>
      <w:r w:rsidRPr="00225D10">
        <w:t>2.7</w:t>
      </w:r>
    </w:p>
    <w:p w:rsidR="00771832" w:rsidRDefault="00771832" w:rsidP="00771832">
      <w:pPr>
        <w:pStyle w:val="bt"/>
        <w:spacing w:before="60" w:after="0"/>
      </w:pPr>
      <w:r w:rsidRPr="00330027">
        <w:rPr>
          <w:b/>
        </w:rPr>
        <w:t>Loddon Mallee South T</w:t>
      </w:r>
      <w:r>
        <w:rPr>
          <w:b/>
        </w:rPr>
        <w:t>otal</w:t>
      </w:r>
    </w:p>
    <w:p w:rsidR="00771832" w:rsidRPr="00771832" w:rsidRDefault="00771832" w:rsidP="00BA2D96">
      <w:pPr>
        <w:pStyle w:val="bt"/>
        <w:numPr>
          <w:ilvl w:val="0"/>
          <w:numId w:val="34"/>
        </w:numPr>
        <w:spacing w:before="60" w:after="0"/>
      </w:pPr>
      <w:r w:rsidRPr="00771832">
        <w:t>2011</w:t>
      </w:r>
    </w:p>
    <w:p w:rsidR="00771832" w:rsidRPr="00771832" w:rsidRDefault="00771832" w:rsidP="00BA2D96">
      <w:pPr>
        <w:pStyle w:val="bt"/>
        <w:numPr>
          <w:ilvl w:val="0"/>
          <w:numId w:val="35"/>
        </w:numPr>
        <w:spacing w:before="60" w:after="0"/>
        <w:ind w:left="1134"/>
      </w:pPr>
      <w:r w:rsidRPr="00771832">
        <w:t>Number – 74,064</w:t>
      </w:r>
    </w:p>
    <w:p w:rsidR="00771832" w:rsidRPr="00771832" w:rsidRDefault="00771832" w:rsidP="00BA2D96">
      <w:pPr>
        <w:pStyle w:val="bt"/>
        <w:numPr>
          <w:ilvl w:val="0"/>
          <w:numId w:val="35"/>
        </w:numPr>
        <w:spacing w:before="60" w:after="0"/>
        <w:ind w:left="1134"/>
      </w:pPr>
      <w:r w:rsidRPr="00771832">
        <w:t>Percentage – 100</w:t>
      </w:r>
    </w:p>
    <w:p w:rsidR="00771832" w:rsidRPr="00771832" w:rsidRDefault="00771832" w:rsidP="00BA2D96">
      <w:pPr>
        <w:pStyle w:val="bt"/>
        <w:numPr>
          <w:ilvl w:val="0"/>
          <w:numId w:val="34"/>
        </w:numPr>
        <w:spacing w:before="60" w:after="0"/>
      </w:pPr>
      <w:r w:rsidRPr="00771832">
        <w:t>2021</w:t>
      </w:r>
    </w:p>
    <w:p w:rsidR="00771832" w:rsidRPr="00771832" w:rsidRDefault="00771832" w:rsidP="00BA2D96">
      <w:pPr>
        <w:pStyle w:val="bt"/>
        <w:numPr>
          <w:ilvl w:val="0"/>
          <w:numId w:val="36"/>
        </w:numPr>
        <w:spacing w:before="60" w:after="0"/>
        <w:ind w:left="1134"/>
      </w:pPr>
      <w:r w:rsidRPr="00771832">
        <w:t>Number – 87,002</w:t>
      </w:r>
    </w:p>
    <w:p w:rsidR="00771832" w:rsidRPr="00771832" w:rsidRDefault="00771832" w:rsidP="00BA2D96">
      <w:pPr>
        <w:pStyle w:val="bt"/>
        <w:numPr>
          <w:ilvl w:val="0"/>
          <w:numId w:val="36"/>
        </w:numPr>
        <w:spacing w:before="60" w:after="0"/>
        <w:ind w:left="1134"/>
      </w:pPr>
      <w:r w:rsidRPr="00771832">
        <w:t>Percentage – 100</w:t>
      </w:r>
    </w:p>
    <w:p w:rsidR="00771832" w:rsidRPr="00771832" w:rsidRDefault="00771832" w:rsidP="00BA2D96">
      <w:pPr>
        <w:pStyle w:val="bt"/>
        <w:numPr>
          <w:ilvl w:val="0"/>
          <w:numId w:val="34"/>
        </w:numPr>
        <w:spacing w:before="60" w:after="0"/>
      </w:pPr>
      <w:r w:rsidRPr="00771832">
        <w:t>2031</w:t>
      </w:r>
    </w:p>
    <w:p w:rsidR="00771832" w:rsidRPr="00771832" w:rsidRDefault="00771832" w:rsidP="00BA2D96">
      <w:pPr>
        <w:pStyle w:val="ListParagraph"/>
        <w:numPr>
          <w:ilvl w:val="0"/>
          <w:numId w:val="37"/>
        </w:numPr>
        <w:ind w:left="1134"/>
      </w:pPr>
      <w:r w:rsidRPr="00771832">
        <w:t>Number – 99,912</w:t>
      </w:r>
    </w:p>
    <w:p w:rsidR="00771832" w:rsidRPr="00771832" w:rsidRDefault="00771832" w:rsidP="00BA2D96">
      <w:pPr>
        <w:pStyle w:val="ListParagraph"/>
        <w:numPr>
          <w:ilvl w:val="0"/>
          <w:numId w:val="37"/>
        </w:numPr>
        <w:ind w:left="1134"/>
      </w:pPr>
      <w:r w:rsidRPr="00771832">
        <w:t>Percentage – 100</w:t>
      </w:r>
    </w:p>
    <w:p w:rsidR="00771832" w:rsidRDefault="008A4BC9" w:rsidP="00771832">
      <w:pPr>
        <w:pStyle w:val="Source"/>
        <w:tabs>
          <w:tab w:val="left" w:pos="8931"/>
        </w:tabs>
      </w:pPr>
      <w:r w:rsidRPr="00225D10">
        <w:t>Source: V</w:t>
      </w:r>
      <w:r w:rsidR="002A05F2" w:rsidRPr="00225D10">
        <w:t xml:space="preserve">ictoria in Future </w:t>
      </w:r>
      <w:r w:rsidRPr="00225D10">
        <w:t>2012</w:t>
      </w:r>
    </w:p>
    <w:p w:rsidR="00871DED" w:rsidRDefault="008A4BC9" w:rsidP="00D34F87">
      <w:pPr>
        <w:pStyle w:val="bt"/>
        <w:tabs>
          <w:tab w:val="left" w:pos="8931"/>
        </w:tabs>
      </w:pPr>
      <w:r w:rsidRPr="00225D10">
        <w:t>The number of households will exceed population growth in both Melbourne and regional Victoria, based on current trends in age structure and household formation. Household growth is an outcome of population growth and is also related to the age structure of the population, partnering and de-partnering trends, the age at which children leave the parental home, and other socio-cultural factors. As the population changes, the living arrangements and household structures of Victorians are also projected to change. As the population ages, there is projected to be a lower proportion of families with children and a higher proportion of single person households</w:t>
      </w:r>
      <w:r w:rsidR="004E39C2">
        <w:t>.</w:t>
      </w:r>
      <w:r w:rsidR="001A6596" w:rsidRPr="00225D10">
        <w:rPr>
          <w:rStyle w:val="FootnoteReference"/>
          <w:rFonts w:asciiTheme="minorHAnsi" w:hAnsiTheme="minorHAnsi"/>
        </w:rPr>
        <w:footnoteReference w:id="3"/>
      </w:r>
    </w:p>
    <w:p w:rsidR="00A467C4" w:rsidRDefault="008A4BC9" w:rsidP="00D34F87">
      <w:pPr>
        <w:pStyle w:val="bt"/>
        <w:tabs>
          <w:tab w:val="left" w:pos="8931"/>
        </w:tabs>
      </w:pPr>
      <w:r w:rsidRPr="00225D10">
        <w:t>The faster growth of households compared with population is associated with a decrease in average household size. The average household size is projected to decrease in all municipalities within the region, consistent with the rest of regional Victoria and metropolitan Melbourne</w:t>
      </w:r>
      <w:r w:rsidR="007B07C8">
        <w:t xml:space="preserve"> (see </w:t>
      </w:r>
      <w:r w:rsidR="00162534">
        <w:fldChar w:fldCharType="begin"/>
      </w:r>
      <w:r w:rsidR="007B07C8">
        <w:instrText xml:space="preserve"> REF _Ref372718836 \h </w:instrText>
      </w:r>
      <w:r w:rsidR="00162534">
        <w:fldChar w:fldCharType="separate"/>
      </w:r>
      <w:r w:rsidR="00EF1401" w:rsidRPr="00225D10">
        <w:t xml:space="preserve">Figure </w:t>
      </w:r>
      <w:r w:rsidR="00EF1401">
        <w:rPr>
          <w:noProof/>
        </w:rPr>
        <w:t>10</w:t>
      </w:r>
      <w:r w:rsidR="00162534">
        <w:fldChar w:fldCharType="end"/>
      </w:r>
      <w:r w:rsidR="007B07C8">
        <w:t>)</w:t>
      </w:r>
      <w:r w:rsidRPr="00225D10">
        <w:t>.</w:t>
      </w:r>
    </w:p>
    <w:p w:rsidR="00136C51" w:rsidRDefault="00136C51" w:rsidP="00D34F87">
      <w:pPr>
        <w:pStyle w:val="Caption"/>
        <w:tabs>
          <w:tab w:val="left" w:pos="8931"/>
        </w:tabs>
      </w:pPr>
      <w:bookmarkStart w:id="45" w:name="_Ref372718836"/>
      <w:bookmarkStart w:id="46" w:name="_Toc352166554"/>
      <w:bookmarkStart w:id="47" w:name="_Toc374530805"/>
      <w:r w:rsidRPr="00225D10">
        <w:lastRenderedPageBreak/>
        <w:t xml:space="preserve">Figure </w:t>
      </w:r>
      <w:r w:rsidR="00162534">
        <w:fldChar w:fldCharType="begin"/>
      </w:r>
      <w:r w:rsidR="00154847">
        <w:instrText xml:space="preserve"> SEQ Figure \* ARABIC </w:instrText>
      </w:r>
      <w:r w:rsidR="00162534">
        <w:fldChar w:fldCharType="separate"/>
      </w:r>
      <w:r w:rsidR="00EF1401">
        <w:rPr>
          <w:noProof/>
        </w:rPr>
        <w:t>10</w:t>
      </w:r>
      <w:r w:rsidR="00162534">
        <w:fldChar w:fldCharType="end"/>
      </w:r>
      <w:bookmarkEnd w:id="45"/>
      <w:r w:rsidR="00377F5C">
        <w:t xml:space="preserve">: </w:t>
      </w:r>
      <w:r w:rsidRPr="00225D10">
        <w:t>Loddon Mallee South, Average household size 2011–2031</w:t>
      </w:r>
      <w:bookmarkEnd w:id="46"/>
      <w:bookmarkEnd w:id="47"/>
    </w:p>
    <w:p w:rsidR="00771832" w:rsidRDefault="00771832" w:rsidP="00771832">
      <w:r>
        <w:t>Local Government Area: Greater Bendigo</w:t>
      </w:r>
    </w:p>
    <w:p w:rsidR="00771832" w:rsidRDefault="00771832" w:rsidP="00771832">
      <w:pPr>
        <w:pStyle w:val="ListParagraphSummary"/>
      </w:pPr>
      <w:r>
        <w:t>Average household size 2011: 2.49</w:t>
      </w:r>
    </w:p>
    <w:p w:rsidR="00771832" w:rsidRDefault="00771832" w:rsidP="00771832">
      <w:pPr>
        <w:pStyle w:val="ListParagraphSummary"/>
      </w:pPr>
      <w:r>
        <w:t>Average household size 2021: 2.42</w:t>
      </w:r>
    </w:p>
    <w:p w:rsidR="00771832" w:rsidRDefault="00771832" w:rsidP="00771832">
      <w:pPr>
        <w:pStyle w:val="ListParagraphSummary"/>
      </w:pPr>
      <w:r>
        <w:t>Average household size 2031: 2.36</w:t>
      </w:r>
    </w:p>
    <w:p w:rsidR="00771832" w:rsidRPr="00225D10" w:rsidRDefault="00771832" w:rsidP="00771832">
      <w:r>
        <w:t xml:space="preserve">Local Government Area: </w:t>
      </w:r>
      <w:r w:rsidRPr="00225D10">
        <w:t>Macedon Ranges</w:t>
      </w:r>
    </w:p>
    <w:p w:rsidR="00771832" w:rsidRDefault="00771832" w:rsidP="00771832">
      <w:pPr>
        <w:pStyle w:val="ListParagraphSummary"/>
      </w:pPr>
      <w:r>
        <w:t xml:space="preserve">Average household size </w:t>
      </w:r>
      <w:r w:rsidRPr="004C6C6A">
        <w:t xml:space="preserve">2011: </w:t>
      </w:r>
      <w:r w:rsidRPr="00225D10">
        <w:t>2.72</w:t>
      </w:r>
    </w:p>
    <w:p w:rsidR="00771832" w:rsidRDefault="00771832" w:rsidP="00771832">
      <w:pPr>
        <w:pStyle w:val="ListParagraphSummary"/>
      </w:pPr>
      <w:r>
        <w:t xml:space="preserve">Average household size </w:t>
      </w:r>
      <w:r w:rsidRPr="004C6C6A">
        <w:t xml:space="preserve">2021: </w:t>
      </w:r>
      <w:r w:rsidRPr="00225D10">
        <w:t>2.64</w:t>
      </w:r>
    </w:p>
    <w:p w:rsidR="00771832" w:rsidRDefault="00771832" w:rsidP="00771832">
      <w:pPr>
        <w:pStyle w:val="ListParagraphSummary"/>
      </w:pPr>
      <w:r>
        <w:t xml:space="preserve">Average household size </w:t>
      </w:r>
      <w:r w:rsidRPr="004C6C6A">
        <w:t xml:space="preserve">2031: </w:t>
      </w:r>
      <w:r w:rsidRPr="00225D10">
        <w:t>2.56</w:t>
      </w:r>
    </w:p>
    <w:p w:rsidR="00771832" w:rsidRDefault="00771832" w:rsidP="00771832">
      <w:r>
        <w:t xml:space="preserve">Local Government Area: </w:t>
      </w:r>
      <w:r w:rsidRPr="00225D10">
        <w:t>Mount Alexander</w:t>
      </w:r>
    </w:p>
    <w:p w:rsidR="00771832" w:rsidRDefault="00771832" w:rsidP="00771832">
      <w:pPr>
        <w:pStyle w:val="ListParagraphSummary"/>
      </w:pPr>
      <w:r>
        <w:t xml:space="preserve">Average household size </w:t>
      </w:r>
      <w:r w:rsidRPr="004C6C6A">
        <w:t xml:space="preserve">2011: </w:t>
      </w:r>
      <w:r w:rsidRPr="00225D10">
        <w:t>2.29</w:t>
      </w:r>
    </w:p>
    <w:p w:rsidR="00771832" w:rsidRDefault="00771832" w:rsidP="00771832">
      <w:pPr>
        <w:pStyle w:val="ListParagraphSummary"/>
      </w:pPr>
      <w:r>
        <w:t xml:space="preserve">Average household size </w:t>
      </w:r>
      <w:r w:rsidRPr="004C6C6A">
        <w:t xml:space="preserve">2021: </w:t>
      </w:r>
      <w:r w:rsidRPr="00225D10">
        <w:t>2.22</w:t>
      </w:r>
    </w:p>
    <w:p w:rsidR="00771832" w:rsidRPr="004C6C6A" w:rsidRDefault="00771832" w:rsidP="00771832">
      <w:pPr>
        <w:pStyle w:val="ListParagraphSummary"/>
      </w:pPr>
      <w:r>
        <w:t xml:space="preserve">Average household size </w:t>
      </w:r>
      <w:r w:rsidRPr="004C6C6A">
        <w:t xml:space="preserve">2031: </w:t>
      </w:r>
      <w:r w:rsidRPr="00225D10">
        <w:t>2.16</w:t>
      </w:r>
    </w:p>
    <w:p w:rsidR="00771832" w:rsidRDefault="00771832" w:rsidP="00771832">
      <w:r>
        <w:t xml:space="preserve">Local Government Area: </w:t>
      </w:r>
      <w:r w:rsidRPr="00225D10">
        <w:t>Central Goldfields</w:t>
      </w:r>
    </w:p>
    <w:p w:rsidR="00771832" w:rsidRDefault="00771832" w:rsidP="00771832">
      <w:pPr>
        <w:pStyle w:val="ListParagraphSummary"/>
      </w:pPr>
      <w:r>
        <w:t xml:space="preserve">Average household size </w:t>
      </w:r>
      <w:r w:rsidRPr="004C6C6A">
        <w:t xml:space="preserve">2011: </w:t>
      </w:r>
      <w:r w:rsidRPr="00225D10">
        <w:t>2.23</w:t>
      </w:r>
    </w:p>
    <w:p w:rsidR="00771832" w:rsidRDefault="00771832" w:rsidP="00771832">
      <w:pPr>
        <w:pStyle w:val="ListParagraphSummary"/>
      </w:pPr>
      <w:r>
        <w:t xml:space="preserve">Average household size </w:t>
      </w:r>
      <w:r w:rsidRPr="004C6C6A">
        <w:t xml:space="preserve">2021: </w:t>
      </w:r>
      <w:r w:rsidRPr="00225D10">
        <w:t>2.17</w:t>
      </w:r>
    </w:p>
    <w:p w:rsidR="00771832" w:rsidRPr="004C6C6A" w:rsidRDefault="00771832" w:rsidP="00771832">
      <w:pPr>
        <w:pStyle w:val="ListParagraphSummary"/>
      </w:pPr>
      <w:r>
        <w:t xml:space="preserve">Average household size </w:t>
      </w:r>
      <w:r w:rsidRPr="004C6C6A">
        <w:t xml:space="preserve">2031: </w:t>
      </w:r>
      <w:r w:rsidRPr="00225D10">
        <w:t>2.11</w:t>
      </w:r>
    </w:p>
    <w:p w:rsidR="00771832" w:rsidRDefault="00771832" w:rsidP="00771832">
      <w:r>
        <w:t xml:space="preserve">Local Government Area: </w:t>
      </w:r>
      <w:r w:rsidRPr="00225D10">
        <w:t>Loddon</w:t>
      </w:r>
      <w:r w:rsidRPr="004C6C6A">
        <w:t xml:space="preserve"> </w:t>
      </w:r>
    </w:p>
    <w:p w:rsidR="00771832" w:rsidRPr="004C6C6A" w:rsidRDefault="00771832" w:rsidP="00771832">
      <w:pPr>
        <w:pStyle w:val="ListParagraphSummary"/>
      </w:pPr>
      <w:r>
        <w:t xml:space="preserve">Average household size </w:t>
      </w:r>
      <w:r w:rsidRPr="004C6C6A">
        <w:t xml:space="preserve">2011: </w:t>
      </w:r>
      <w:r w:rsidRPr="00225D10">
        <w:t>2.28</w:t>
      </w:r>
    </w:p>
    <w:p w:rsidR="00771832" w:rsidRDefault="00771832" w:rsidP="00771832">
      <w:pPr>
        <w:pStyle w:val="ListParagraphSummary"/>
      </w:pPr>
      <w:r>
        <w:t xml:space="preserve">Average household size </w:t>
      </w:r>
      <w:r w:rsidRPr="004C6C6A">
        <w:t xml:space="preserve">2021: </w:t>
      </w:r>
      <w:r w:rsidRPr="00225D10">
        <w:t>2.21</w:t>
      </w:r>
    </w:p>
    <w:p w:rsidR="00771832" w:rsidRPr="004C6C6A" w:rsidRDefault="00771832" w:rsidP="00771832">
      <w:pPr>
        <w:pStyle w:val="ListParagraphSummary"/>
      </w:pPr>
      <w:r>
        <w:t xml:space="preserve">Average household size </w:t>
      </w:r>
      <w:r w:rsidRPr="004C6C6A">
        <w:t xml:space="preserve">2031: </w:t>
      </w:r>
      <w:r w:rsidRPr="00225D10">
        <w:t>2.14</w:t>
      </w:r>
    </w:p>
    <w:p w:rsidR="008A4BC9" w:rsidRPr="00225D10" w:rsidRDefault="008A4BC9" w:rsidP="00D34F87">
      <w:pPr>
        <w:pStyle w:val="Source"/>
        <w:tabs>
          <w:tab w:val="left" w:pos="8931"/>
        </w:tabs>
      </w:pPr>
      <w:r w:rsidRPr="00225D10">
        <w:t>Source: V</w:t>
      </w:r>
      <w:r w:rsidR="00E30F75" w:rsidRPr="00225D10">
        <w:t>ictoria in Future</w:t>
      </w:r>
      <w:r w:rsidRPr="00225D10">
        <w:t xml:space="preserve"> 2012</w:t>
      </w:r>
    </w:p>
    <w:p w:rsidR="00330027" w:rsidRDefault="008A4BC9" w:rsidP="00D34F87">
      <w:pPr>
        <w:pStyle w:val="bt"/>
        <w:tabs>
          <w:tab w:val="left" w:pos="8931"/>
        </w:tabs>
      </w:pPr>
      <w:r w:rsidRPr="00225D10">
        <w:t>Changes in household types and size will have implications for the type of dwelling</w:t>
      </w:r>
      <w:r w:rsidR="009B155F" w:rsidRPr="00225D10">
        <w:t>s</w:t>
      </w:r>
      <w:r w:rsidRPr="00225D10">
        <w:t xml:space="preserve"> needed in the region</w:t>
      </w:r>
      <w:r w:rsidR="00170B84">
        <w:t xml:space="preserve"> (see </w:t>
      </w:r>
      <w:r w:rsidR="00162534">
        <w:fldChar w:fldCharType="begin"/>
      </w:r>
      <w:r w:rsidR="00170B84">
        <w:instrText xml:space="preserve"> REF _Ref353353165 \h </w:instrText>
      </w:r>
      <w:r w:rsidR="00162534">
        <w:fldChar w:fldCharType="separate"/>
      </w:r>
      <w:r w:rsidR="00EF1401" w:rsidRPr="00225D10">
        <w:t xml:space="preserve">Figure </w:t>
      </w:r>
      <w:r w:rsidR="00EF1401">
        <w:rPr>
          <w:noProof/>
        </w:rPr>
        <w:t>11</w:t>
      </w:r>
      <w:r w:rsidR="00162534">
        <w:fldChar w:fldCharType="end"/>
      </w:r>
      <w:r w:rsidR="00170B84">
        <w:t>)</w:t>
      </w:r>
      <w:r w:rsidRPr="00225D10">
        <w:t>.</w:t>
      </w:r>
    </w:p>
    <w:p w:rsidR="008A4BC9" w:rsidRPr="00225D10" w:rsidRDefault="008A4BC9" w:rsidP="00D34F87">
      <w:pPr>
        <w:pStyle w:val="Heading4"/>
        <w:tabs>
          <w:tab w:val="left" w:pos="8931"/>
        </w:tabs>
      </w:pPr>
      <w:r w:rsidRPr="00225D10">
        <w:t xml:space="preserve">Dwelling </w:t>
      </w:r>
      <w:r w:rsidR="00E30F75" w:rsidRPr="00225D10">
        <w:t>t</w:t>
      </w:r>
      <w:r w:rsidRPr="00225D10">
        <w:t>ypes</w:t>
      </w:r>
    </w:p>
    <w:p w:rsidR="00136C51" w:rsidRDefault="00136C51" w:rsidP="00D34F87">
      <w:pPr>
        <w:pStyle w:val="Caption"/>
        <w:tabs>
          <w:tab w:val="left" w:pos="8931"/>
        </w:tabs>
      </w:pPr>
      <w:bookmarkStart w:id="48" w:name="_Ref353353165"/>
      <w:bookmarkStart w:id="49" w:name="_Toc374530806"/>
      <w:r w:rsidRPr="00225D10">
        <w:t xml:space="preserve">Figure </w:t>
      </w:r>
      <w:r w:rsidR="00162534">
        <w:fldChar w:fldCharType="begin"/>
      </w:r>
      <w:r w:rsidR="00154847">
        <w:instrText xml:space="preserve"> SEQ Figure \* ARABIC </w:instrText>
      </w:r>
      <w:r w:rsidR="00162534">
        <w:fldChar w:fldCharType="separate"/>
      </w:r>
      <w:r w:rsidR="00EF1401">
        <w:rPr>
          <w:noProof/>
        </w:rPr>
        <w:t>11</w:t>
      </w:r>
      <w:r w:rsidR="00162534">
        <w:fldChar w:fldCharType="end"/>
      </w:r>
      <w:bookmarkEnd w:id="48"/>
      <w:r w:rsidR="00377F5C">
        <w:t xml:space="preserve">: </w:t>
      </w:r>
      <w:r w:rsidRPr="00225D10">
        <w:t xml:space="preserve">Loddon Mallee South, </w:t>
      </w:r>
      <w:r w:rsidR="000A28FC">
        <w:t>d</w:t>
      </w:r>
      <w:r w:rsidRPr="00225D10">
        <w:t xml:space="preserve">welling </w:t>
      </w:r>
      <w:r w:rsidR="000A28FC">
        <w:t>type</w:t>
      </w:r>
      <w:r w:rsidRPr="00225D10">
        <w:t xml:space="preserve"> 2011</w:t>
      </w:r>
      <w:bookmarkEnd w:id="49"/>
    </w:p>
    <w:p w:rsidR="00B377D0" w:rsidRPr="00AC61E5" w:rsidRDefault="00B377D0" w:rsidP="00B377D0">
      <w:pPr>
        <w:pStyle w:val="bt"/>
        <w:spacing w:before="60" w:after="0"/>
        <w:rPr>
          <w:b/>
        </w:rPr>
      </w:pPr>
      <w:r w:rsidRPr="00AC61E5">
        <w:rPr>
          <w:b/>
        </w:rPr>
        <w:t>Separate house</w:t>
      </w:r>
    </w:p>
    <w:p w:rsidR="00B377D0" w:rsidRDefault="00B377D0" w:rsidP="00BA2D96">
      <w:pPr>
        <w:pStyle w:val="bt"/>
        <w:numPr>
          <w:ilvl w:val="0"/>
          <w:numId w:val="38"/>
        </w:numPr>
        <w:spacing w:before="60" w:after="0"/>
      </w:pPr>
      <w:r w:rsidRPr="00B377D0">
        <w:t>Greater Bendigo</w:t>
      </w:r>
    </w:p>
    <w:p w:rsidR="00AC61E5" w:rsidRDefault="00AC61E5" w:rsidP="00BA2D96">
      <w:pPr>
        <w:pStyle w:val="bt"/>
        <w:numPr>
          <w:ilvl w:val="0"/>
          <w:numId w:val="39"/>
        </w:numPr>
        <w:spacing w:before="60" w:after="0"/>
        <w:ind w:left="1134"/>
      </w:pPr>
      <w:r>
        <w:t xml:space="preserve">Number – </w:t>
      </w:r>
      <w:r w:rsidRPr="00225D10">
        <w:t>34,252</w:t>
      </w:r>
    </w:p>
    <w:p w:rsidR="00AC61E5" w:rsidRPr="00B377D0" w:rsidRDefault="00AC61E5" w:rsidP="00BA2D96">
      <w:pPr>
        <w:pStyle w:val="bt"/>
        <w:numPr>
          <w:ilvl w:val="0"/>
          <w:numId w:val="39"/>
        </w:numPr>
        <w:spacing w:before="60" w:after="0"/>
        <w:ind w:left="1134"/>
      </w:pPr>
      <w:r>
        <w:t xml:space="preserve">Percentage – </w:t>
      </w:r>
      <w:r w:rsidRPr="00225D10">
        <w:t>89.6</w:t>
      </w:r>
    </w:p>
    <w:p w:rsidR="00B377D0" w:rsidRDefault="00B377D0" w:rsidP="00BA2D96">
      <w:pPr>
        <w:pStyle w:val="bt"/>
        <w:numPr>
          <w:ilvl w:val="0"/>
          <w:numId w:val="38"/>
        </w:numPr>
        <w:spacing w:before="60" w:after="0"/>
      </w:pPr>
      <w:r w:rsidRPr="00B377D0">
        <w:t>Central Goldfields</w:t>
      </w:r>
    </w:p>
    <w:p w:rsidR="00AC61E5" w:rsidRDefault="00AC61E5" w:rsidP="00BA2D96">
      <w:pPr>
        <w:pStyle w:val="bt"/>
        <w:numPr>
          <w:ilvl w:val="0"/>
          <w:numId w:val="40"/>
        </w:numPr>
        <w:spacing w:before="60" w:after="0"/>
        <w:ind w:left="1134"/>
      </w:pPr>
      <w:r>
        <w:t>Number – 4</w:t>
      </w:r>
      <w:r w:rsidRPr="00225D10">
        <w:t>753</w:t>
      </w:r>
    </w:p>
    <w:p w:rsidR="00AC61E5" w:rsidRPr="00B377D0" w:rsidRDefault="00AC61E5" w:rsidP="00BA2D96">
      <w:pPr>
        <w:pStyle w:val="bt"/>
        <w:numPr>
          <w:ilvl w:val="0"/>
          <w:numId w:val="40"/>
        </w:numPr>
        <w:spacing w:before="60" w:after="0"/>
        <w:ind w:left="1134"/>
      </w:pPr>
      <w:r>
        <w:t xml:space="preserve">Percentage – </w:t>
      </w:r>
      <w:r w:rsidRPr="00225D10">
        <w:t>90.5</w:t>
      </w:r>
    </w:p>
    <w:p w:rsidR="00B377D0" w:rsidRDefault="00B377D0" w:rsidP="00BA2D96">
      <w:pPr>
        <w:pStyle w:val="bt"/>
        <w:numPr>
          <w:ilvl w:val="0"/>
          <w:numId w:val="38"/>
        </w:numPr>
        <w:spacing w:before="60" w:after="0"/>
      </w:pPr>
      <w:r w:rsidRPr="00B377D0">
        <w:t>Macedon Ranges</w:t>
      </w:r>
    </w:p>
    <w:p w:rsidR="00AC61E5" w:rsidRDefault="00AC61E5" w:rsidP="00BA2D96">
      <w:pPr>
        <w:pStyle w:val="bt"/>
        <w:numPr>
          <w:ilvl w:val="0"/>
          <w:numId w:val="41"/>
        </w:numPr>
        <w:spacing w:before="60" w:after="0"/>
        <w:ind w:left="1134"/>
      </w:pPr>
      <w:r>
        <w:t xml:space="preserve">Number – </w:t>
      </w:r>
      <w:r w:rsidRPr="00225D10">
        <w:t>13,837</w:t>
      </w:r>
    </w:p>
    <w:p w:rsidR="00AC61E5" w:rsidRPr="00B377D0" w:rsidRDefault="00AC61E5" w:rsidP="00BA2D96">
      <w:pPr>
        <w:pStyle w:val="bt"/>
        <w:numPr>
          <w:ilvl w:val="0"/>
          <w:numId w:val="41"/>
        </w:numPr>
        <w:spacing w:before="60" w:after="0"/>
        <w:ind w:left="1134"/>
      </w:pPr>
      <w:r>
        <w:t xml:space="preserve">Percentage – </w:t>
      </w:r>
      <w:r w:rsidRPr="00225D10">
        <w:t>95.3</w:t>
      </w:r>
    </w:p>
    <w:p w:rsidR="00B377D0" w:rsidRDefault="00B377D0" w:rsidP="00BA2D96">
      <w:pPr>
        <w:pStyle w:val="bt"/>
        <w:numPr>
          <w:ilvl w:val="0"/>
          <w:numId w:val="38"/>
        </w:numPr>
        <w:spacing w:before="60" w:after="0"/>
      </w:pPr>
      <w:r w:rsidRPr="00B377D0">
        <w:t>Mount Alexander</w:t>
      </w:r>
    </w:p>
    <w:p w:rsidR="00AC61E5" w:rsidRDefault="00AC61E5" w:rsidP="00BA2D96">
      <w:pPr>
        <w:pStyle w:val="bt"/>
        <w:numPr>
          <w:ilvl w:val="0"/>
          <w:numId w:val="42"/>
        </w:numPr>
        <w:spacing w:before="60" w:after="0"/>
        <w:ind w:left="1134"/>
      </w:pPr>
      <w:r>
        <w:t>Number – 6</w:t>
      </w:r>
      <w:r w:rsidRPr="00225D10">
        <w:t>636</w:t>
      </w:r>
    </w:p>
    <w:p w:rsidR="00AC61E5" w:rsidRPr="00B377D0" w:rsidRDefault="00AC61E5" w:rsidP="00BA2D96">
      <w:pPr>
        <w:pStyle w:val="bt"/>
        <w:numPr>
          <w:ilvl w:val="0"/>
          <w:numId w:val="42"/>
        </w:numPr>
        <w:spacing w:before="60" w:after="0"/>
        <w:ind w:left="1134"/>
      </w:pPr>
      <w:r>
        <w:t xml:space="preserve">Percentage – </w:t>
      </w:r>
      <w:r w:rsidRPr="00225D10">
        <w:t>93.5</w:t>
      </w:r>
    </w:p>
    <w:p w:rsidR="00B377D0" w:rsidRDefault="00B377D0" w:rsidP="00BA2D96">
      <w:pPr>
        <w:pStyle w:val="bt"/>
        <w:numPr>
          <w:ilvl w:val="0"/>
          <w:numId w:val="38"/>
        </w:numPr>
        <w:spacing w:before="60" w:after="0"/>
      </w:pPr>
      <w:r w:rsidRPr="00B377D0">
        <w:t>Loddon</w:t>
      </w:r>
    </w:p>
    <w:p w:rsidR="00AC61E5" w:rsidRDefault="00AC61E5" w:rsidP="00BA2D96">
      <w:pPr>
        <w:pStyle w:val="bt"/>
        <w:numPr>
          <w:ilvl w:val="0"/>
          <w:numId w:val="43"/>
        </w:numPr>
        <w:spacing w:before="60" w:after="0"/>
        <w:ind w:left="1134"/>
      </w:pPr>
      <w:r>
        <w:t>Number – 2</w:t>
      </w:r>
      <w:r w:rsidRPr="00225D10">
        <w:t>885</w:t>
      </w:r>
    </w:p>
    <w:p w:rsidR="00AC61E5" w:rsidRPr="00B377D0" w:rsidRDefault="00AC61E5" w:rsidP="00BA2D96">
      <w:pPr>
        <w:pStyle w:val="bt"/>
        <w:numPr>
          <w:ilvl w:val="0"/>
          <w:numId w:val="43"/>
        </w:numPr>
        <w:spacing w:before="60" w:after="0"/>
        <w:ind w:left="1134"/>
      </w:pPr>
      <w:r>
        <w:t xml:space="preserve">Percentage – </w:t>
      </w:r>
      <w:r w:rsidRPr="00225D10">
        <w:t>95.1</w:t>
      </w:r>
    </w:p>
    <w:p w:rsidR="00B377D0" w:rsidRDefault="00B377D0" w:rsidP="00BA2D96">
      <w:pPr>
        <w:pStyle w:val="bt"/>
        <w:numPr>
          <w:ilvl w:val="0"/>
          <w:numId w:val="38"/>
        </w:numPr>
        <w:spacing w:before="60" w:after="0"/>
      </w:pPr>
      <w:r w:rsidRPr="00B377D0">
        <w:lastRenderedPageBreak/>
        <w:t>Loddon Mallee South region</w:t>
      </w:r>
    </w:p>
    <w:p w:rsidR="00AC61E5" w:rsidRDefault="00AC61E5" w:rsidP="00BA2D96">
      <w:pPr>
        <w:pStyle w:val="bt"/>
        <w:numPr>
          <w:ilvl w:val="0"/>
          <w:numId w:val="44"/>
        </w:numPr>
        <w:spacing w:before="60" w:after="0"/>
        <w:ind w:left="1134"/>
      </w:pPr>
      <w:r>
        <w:t xml:space="preserve">Number – </w:t>
      </w:r>
      <w:r w:rsidRPr="00225D10">
        <w:t>62,363</w:t>
      </w:r>
    </w:p>
    <w:p w:rsidR="00AC61E5" w:rsidRPr="00B377D0" w:rsidRDefault="00AC61E5" w:rsidP="00BA2D96">
      <w:pPr>
        <w:pStyle w:val="bt"/>
        <w:numPr>
          <w:ilvl w:val="0"/>
          <w:numId w:val="44"/>
        </w:numPr>
        <w:spacing w:before="60" w:after="0"/>
        <w:ind w:left="1134"/>
      </w:pPr>
      <w:r>
        <w:t xml:space="preserve">Percentage – </w:t>
      </w:r>
      <w:r w:rsidRPr="00225D10">
        <w:t>91.6</w:t>
      </w:r>
    </w:p>
    <w:p w:rsidR="00AC61E5" w:rsidRPr="00AC61E5" w:rsidRDefault="00AC61E5" w:rsidP="00AC61E5">
      <w:pPr>
        <w:pStyle w:val="bt"/>
        <w:spacing w:before="60" w:after="0"/>
        <w:rPr>
          <w:b/>
        </w:rPr>
      </w:pPr>
      <w:r w:rsidRPr="00AC61E5">
        <w:rPr>
          <w:b/>
        </w:rPr>
        <w:t>Semi-detached, row or terrace house, townhouse etc.</w:t>
      </w:r>
    </w:p>
    <w:p w:rsidR="00AC61E5" w:rsidRDefault="00AC61E5" w:rsidP="00BA2D96">
      <w:pPr>
        <w:pStyle w:val="bt"/>
        <w:numPr>
          <w:ilvl w:val="0"/>
          <w:numId w:val="38"/>
        </w:numPr>
        <w:spacing w:before="60" w:after="0"/>
      </w:pPr>
      <w:r w:rsidRPr="00B377D0">
        <w:t>Greater Bendigo</w:t>
      </w:r>
    </w:p>
    <w:p w:rsidR="00AC61E5" w:rsidRDefault="00AC61E5" w:rsidP="00BA2D96">
      <w:pPr>
        <w:pStyle w:val="bt"/>
        <w:numPr>
          <w:ilvl w:val="0"/>
          <w:numId w:val="39"/>
        </w:numPr>
        <w:spacing w:before="60" w:after="0"/>
        <w:ind w:left="1134"/>
      </w:pPr>
      <w:r>
        <w:t>Number – 1</w:t>
      </w:r>
      <w:r w:rsidRPr="00225D10">
        <w:t>453</w:t>
      </w:r>
    </w:p>
    <w:p w:rsidR="00AC61E5" w:rsidRPr="00B377D0" w:rsidRDefault="00AC61E5" w:rsidP="00BA2D96">
      <w:pPr>
        <w:pStyle w:val="bt"/>
        <w:numPr>
          <w:ilvl w:val="0"/>
          <w:numId w:val="39"/>
        </w:numPr>
        <w:spacing w:before="60" w:after="0"/>
        <w:ind w:left="1134"/>
      </w:pPr>
      <w:r>
        <w:t xml:space="preserve">Percentage – </w:t>
      </w:r>
      <w:r w:rsidRPr="00225D10">
        <w:t>3.8</w:t>
      </w:r>
    </w:p>
    <w:p w:rsidR="00AC61E5" w:rsidRDefault="00AC61E5" w:rsidP="00BA2D96">
      <w:pPr>
        <w:pStyle w:val="bt"/>
        <w:numPr>
          <w:ilvl w:val="0"/>
          <w:numId w:val="38"/>
        </w:numPr>
        <w:spacing w:before="60" w:after="0"/>
      </w:pPr>
      <w:r w:rsidRPr="00B377D0">
        <w:t>Central Goldfields</w:t>
      </w:r>
    </w:p>
    <w:p w:rsidR="00AC61E5" w:rsidRDefault="00AC61E5" w:rsidP="00BA2D96">
      <w:pPr>
        <w:pStyle w:val="bt"/>
        <w:numPr>
          <w:ilvl w:val="0"/>
          <w:numId w:val="40"/>
        </w:numPr>
        <w:spacing w:before="60" w:after="0"/>
        <w:ind w:left="1134"/>
      </w:pPr>
      <w:r>
        <w:t xml:space="preserve">Number – </w:t>
      </w:r>
      <w:r w:rsidRPr="00225D10">
        <w:t>157</w:t>
      </w:r>
    </w:p>
    <w:p w:rsidR="00AC61E5" w:rsidRPr="00B377D0" w:rsidRDefault="00AC61E5" w:rsidP="00BA2D96">
      <w:pPr>
        <w:pStyle w:val="bt"/>
        <w:numPr>
          <w:ilvl w:val="0"/>
          <w:numId w:val="40"/>
        </w:numPr>
        <w:spacing w:before="60" w:after="0"/>
        <w:ind w:left="1134"/>
      </w:pPr>
      <w:r>
        <w:t xml:space="preserve">Percentage – </w:t>
      </w:r>
      <w:r w:rsidRPr="00225D10">
        <w:t>3.0</w:t>
      </w:r>
    </w:p>
    <w:p w:rsidR="00AC61E5" w:rsidRDefault="00AC61E5" w:rsidP="00BA2D96">
      <w:pPr>
        <w:pStyle w:val="bt"/>
        <w:numPr>
          <w:ilvl w:val="0"/>
          <w:numId w:val="38"/>
        </w:numPr>
        <w:spacing w:before="60" w:after="0"/>
      </w:pPr>
      <w:r w:rsidRPr="00B377D0">
        <w:t>Macedon Ranges</w:t>
      </w:r>
    </w:p>
    <w:p w:rsidR="00AC61E5" w:rsidRDefault="00AC61E5" w:rsidP="00BA2D96">
      <w:pPr>
        <w:pStyle w:val="bt"/>
        <w:numPr>
          <w:ilvl w:val="0"/>
          <w:numId w:val="41"/>
        </w:numPr>
        <w:spacing w:before="60" w:after="0"/>
        <w:ind w:left="1134"/>
      </w:pPr>
      <w:r>
        <w:t xml:space="preserve">Number – </w:t>
      </w:r>
      <w:r w:rsidRPr="00225D10">
        <w:t>184</w:t>
      </w:r>
    </w:p>
    <w:p w:rsidR="00AC61E5" w:rsidRPr="00B377D0" w:rsidRDefault="00AC61E5" w:rsidP="00BA2D96">
      <w:pPr>
        <w:pStyle w:val="bt"/>
        <w:numPr>
          <w:ilvl w:val="0"/>
          <w:numId w:val="41"/>
        </w:numPr>
        <w:spacing w:before="60" w:after="0"/>
        <w:ind w:left="1134"/>
      </w:pPr>
      <w:r>
        <w:t xml:space="preserve">Percentage – </w:t>
      </w:r>
      <w:r w:rsidRPr="00225D10">
        <w:t>1.3</w:t>
      </w:r>
    </w:p>
    <w:p w:rsidR="00AC61E5" w:rsidRDefault="00AC61E5" w:rsidP="00BA2D96">
      <w:pPr>
        <w:pStyle w:val="bt"/>
        <w:numPr>
          <w:ilvl w:val="0"/>
          <w:numId w:val="38"/>
        </w:numPr>
        <w:spacing w:before="60" w:after="0"/>
      </w:pPr>
      <w:r w:rsidRPr="00B377D0">
        <w:t>Mount Alexander</w:t>
      </w:r>
    </w:p>
    <w:p w:rsidR="00AC61E5" w:rsidRDefault="00AC61E5" w:rsidP="00BA2D96">
      <w:pPr>
        <w:pStyle w:val="bt"/>
        <w:numPr>
          <w:ilvl w:val="0"/>
          <w:numId w:val="42"/>
        </w:numPr>
        <w:spacing w:before="60" w:after="0"/>
        <w:ind w:left="1134"/>
      </w:pPr>
      <w:r>
        <w:t xml:space="preserve">Number – </w:t>
      </w:r>
      <w:r w:rsidRPr="00225D10">
        <w:t>127</w:t>
      </w:r>
    </w:p>
    <w:p w:rsidR="00AC61E5" w:rsidRPr="00B377D0" w:rsidRDefault="00AC61E5" w:rsidP="00BA2D96">
      <w:pPr>
        <w:pStyle w:val="bt"/>
        <w:numPr>
          <w:ilvl w:val="0"/>
          <w:numId w:val="42"/>
        </w:numPr>
        <w:spacing w:before="60" w:after="0"/>
        <w:ind w:left="1134"/>
      </w:pPr>
      <w:r>
        <w:t xml:space="preserve">Percentage – </w:t>
      </w:r>
      <w:r w:rsidRPr="00225D10">
        <w:t>1.8</w:t>
      </w:r>
    </w:p>
    <w:p w:rsidR="00AC61E5" w:rsidRDefault="00AC61E5" w:rsidP="00BA2D96">
      <w:pPr>
        <w:pStyle w:val="bt"/>
        <w:numPr>
          <w:ilvl w:val="0"/>
          <w:numId w:val="38"/>
        </w:numPr>
        <w:spacing w:before="60" w:after="0"/>
      </w:pPr>
      <w:r w:rsidRPr="00B377D0">
        <w:t>Loddon</w:t>
      </w:r>
    </w:p>
    <w:p w:rsidR="00AC61E5" w:rsidRDefault="00AC61E5" w:rsidP="00BA2D96">
      <w:pPr>
        <w:pStyle w:val="bt"/>
        <w:numPr>
          <w:ilvl w:val="0"/>
          <w:numId w:val="43"/>
        </w:numPr>
        <w:spacing w:before="60" w:after="0"/>
        <w:ind w:left="1134"/>
      </w:pPr>
      <w:r>
        <w:t xml:space="preserve">Number – </w:t>
      </w:r>
      <w:r w:rsidRPr="00225D10">
        <w:t>6</w:t>
      </w:r>
    </w:p>
    <w:p w:rsidR="00AC61E5" w:rsidRPr="00B377D0" w:rsidRDefault="00AC61E5" w:rsidP="00BA2D96">
      <w:pPr>
        <w:pStyle w:val="bt"/>
        <w:numPr>
          <w:ilvl w:val="0"/>
          <w:numId w:val="43"/>
        </w:numPr>
        <w:spacing w:before="60" w:after="0"/>
        <w:ind w:left="1134"/>
      </w:pPr>
      <w:r>
        <w:t xml:space="preserve">Percentage – </w:t>
      </w:r>
      <w:r w:rsidRPr="00225D10">
        <w:t>0.2</w:t>
      </w:r>
    </w:p>
    <w:p w:rsidR="00AC61E5" w:rsidRDefault="00AC61E5" w:rsidP="00BA2D96">
      <w:pPr>
        <w:pStyle w:val="bt"/>
        <w:numPr>
          <w:ilvl w:val="0"/>
          <w:numId w:val="38"/>
        </w:numPr>
        <w:spacing w:before="60" w:after="0"/>
      </w:pPr>
      <w:r w:rsidRPr="00B377D0">
        <w:t>Loddon Mallee South region</w:t>
      </w:r>
    </w:p>
    <w:p w:rsidR="00AC61E5" w:rsidRDefault="00AC61E5" w:rsidP="00BA2D96">
      <w:pPr>
        <w:pStyle w:val="bt"/>
        <w:numPr>
          <w:ilvl w:val="0"/>
          <w:numId w:val="44"/>
        </w:numPr>
        <w:spacing w:before="60" w:after="0"/>
        <w:ind w:left="1134"/>
      </w:pPr>
      <w:r>
        <w:t>Number – 1</w:t>
      </w:r>
      <w:r w:rsidRPr="00225D10">
        <w:t>927</w:t>
      </w:r>
    </w:p>
    <w:p w:rsidR="00AC61E5" w:rsidRPr="00B377D0" w:rsidRDefault="00AC61E5" w:rsidP="00BA2D96">
      <w:pPr>
        <w:pStyle w:val="bt"/>
        <w:numPr>
          <w:ilvl w:val="0"/>
          <w:numId w:val="44"/>
        </w:numPr>
        <w:spacing w:before="60" w:after="0"/>
        <w:ind w:left="1134"/>
      </w:pPr>
      <w:r>
        <w:t xml:space="preserve">Percentage – </w:t>
      </w:r>
      <w:r w:rsidRPr="00225D10">
        <w:t>2.8</w:t>
      </w:r>
    </w:p>
    <w:p w:rsidR="00AC61E5" w:rsidRPr="00AC61E5" w:rsidRDefault="00AC61E5" w:rsidP="00AC61E5">
      <w:pPr>
        <w:pStyle w:val="bt"/>
        <w:spacing w:before="60" w:after="0"/>
        <w:rPr>
          <w:b/>
        </w:rPr>
      </w:pPr>
      <w:r w:rsidRPr="00AC61E5">
        <w:rPr>
          <w:b/>
        </w:rPr>
        <w:t>Flat, unit or apartment</w:t>
      </w:r>
    </w:p>
    <w:p w:rsidR="00AC61E5" w:rsidRDefault="00AC61E5" w:rsidP="00BA2D96">
      <w:pPr>
        <w:pStyle w:val="bt"/>
        <w:numPr>
          <w:ilvl w:val="0"/>
          <w:numId w:val="38"/>
        </w:numPr>
        <w:spacing w:before="60" w:after="0"/>
      </w:pPr>
      <w:r w:rsidRPr="00B377D0">
        <w:t>Greater Bendigo</w:t>
      </w:r>
    </w:p>
    <w:p w:rsidR="00AC61E5" w:rsidRDefault="00AC61E5" w:rsidP="00BA2D96">
      <w:pPr>
        <w:pStyle w:val="bt"/>
        <w:numPr>
          <w:ilvl w:val="0"/>
          <w:numId w:val="39"/>
        </w:numPr>
        <w:spacing w:before="60" w:after="0"/>
        <w:ind w:left="1134"/>
      </w:pPr>
      <w:r>
        <w:t>Number – 2</w:t>
      </w:r>
      <w:r w:rsidRPr="00225D10">
        <w:t>203</w:t>
      </w:r>
    </w:p>
    <w:p w:rsidR="00AC61E5" w:rsidRPr="00B377D0" w:rsidRDefault="00AC61E5" w:rsidP="00BA2D96">
      <w:pPr>
        <w:pStyle w:val="bt"/>
        <w:numPr>
          <w:ilvl w:val="0"/>
          <w:numId w:val="39"/>
        </w:numPr>
        <w:spacing w:before="60" w:after="0"/>
        <w:ind w:left="1134"/>
      </w:pPr>
      <w:r>
        <w:t xml:space="preserve">Percentage – </w:t>
      </w:r>
      <w:r w:rsidRPr="00225D10">
        <w:t>5.8</w:t>
      </w:r>
    </w:p>
    <w:p w:rsidR="00AC61E5" w:rsidRDefault="00AC61E5" w:rsidP="00BA2D96">
      <w:pPr>
        <w:pStyle w:val="bt"/>
        <w:numPr>
          <w:ilvl w:val="0"/>
          <w:numId w:val="38"/>
        </w:numPr>
        <w:spacing w:before="60" w:after="0"/>
      </w:pPr>
      <w:r w:rsidRPr="00B377D0">
        <w:t>Central Goldfields</w:t>
      </w:r>
    </w:p>
    <w:p w:rsidR="00AC61E5" w:rsidRDefault="00AC61E5" w:rsidP="00BA2D96">
      <w:pPr>
        <w:pStyle w:val="bt"/>
        <w:numPr>
          <w:ilvl w:val="0"/>
          <w:numId w:val="40"/>
        </w:numPr>
        <w:spacing w:before="60" w:after="0"/>
        <w:ind w:left="1134"/>
      </w:pPr>
      <w:r>
        <w:t xml:space="preserve">Number – </w:t>
      </w:r>
      <w:r w:rsidRPr="00225D10">
        <w:t>239</w:t>
      </w:r>
    </w:p>
    <w:p w:rsidR="00AC61E5" w:rsidRPr="00B377D0" w:rsidRDefault="00AC61E5" w:rsidP="00BA2D96">
      <w:pPr>
        <w:pStyle w:val="bt"/>
        <w:numPr>
          <w:ilvl w:val="0"/>
          <w:numId w:val="40"/>
        </w:numPr>
        <w:spacing w:before="60" w:after="0"/>
        <w:ind w:left="1134"/>
      </w:pPr>
      <w:r>
        <w:t xml:space="preserve">Percentage – </w:t>
      </w:r>
      <w:r w:rsidRPr="00225D10">
        <w:t>4.6</w:t>
      </w:r>
    </w:p>
    <w:p w:rsidR="00AC61E5" w:rsidRDefault="00AC61E5" w:rsidP="00BA2D96">
      <w:pPr>
        <w:pStyle w:val="bt"/>
        <w:numPr>
          <w:ilvl w:val="0"/>
          <w:numId w:val="38"/>
        </w:numPr>
        <w:spacing w:before="60" w:after="0"/>
      </w:pPr>
      <w:r w:rsidRPr="00B377D0">
        <w:t>Macedon Ranges</w:t>
      </w:r>
    </w:p>
    <w:p w:rsidR="00AC61E5" w:rsidRDefault="00AC61E5" w:rsidP="00BA2D96">
      <w:pPr>
        <w:pStyle w:val="bt"/>
        <w:numPr>
          <w:ilvl w:val="0"/>
          <w:numId w:val="41"/>
        </w:numPr>
        <w:spacing w:before="60" w:after="0"/>
        <w:ind w:left="1134"/>
      </w:pPr>
      <w:r>
        <w:t xml:space="preserve">Number – </w:t>
      </w:r>
      <w:r w:rsidRPr="00225D10">
        <w:t>418</w:t>
      </w:r>
    </w:p>
    <w:p w:rsidR="00AC61E5" w:rsidRPr="00B377D0" w:rsidRDefault="00AC61E5" w:rsidP="00BA2D96">
      <w:pPr>
        <w:pStyle w:val="bt"/>
        <w:numPr>
          <w:ilvl w:val="0"/>
          <w:numId w:val="41"/>
        </w:numPr>
        <w:spacing w:before="60" w:after="0"/>
        <w:ind w:left="1134"/>
      </w:pPr>
      <w:r>
        <w:t xml:space="preserve">Percentage – </w:t>
      </w:r>
      <w:r w:rsidRPr="00225D10">
        <w:t>2.9</w:t>
      </w:r>
    </w:p>
    <w:p w:rsidR="00AC61E5" w:rsidRDefault="00AC61E5" w:rsidP="00BA2D96">
      <w:pPr>
        <w:pStyle w:val="bt"/>
        <w:numPr>
          <w:ilvl w:val="0"/>
          <w:numId w:val="38"/>
        </w:numPr>
        <w:spacing w:before="60" w:after="0"/>
      </w:pPr>
      <w:r w:rsidRPr="00B377D0">
        <w:t>Mount Alexander</w:t>
      </w:r>
    </w:p>
    <w:p w:rsidR="00AC61E5" w:rsidRDefault="00AC61E5" w:rsidP="00BA2D96">
      <w:pPr>
        <w:pStyle w:val="bt"/>
        <w:numPr>
          <w:ilvl w:val="0"/>
          <w:numId w:val="42"/>
        </w:numPr>
        <w:spacing w:before="60" w:after="0"/>
        <w:ind w:left="1134"/>
      </w:pPr>
      <w:r>
        <w:t xml:space="preserve">Number – </w:t>
      </w:r>
      <w:r w:rsidRPr="00225D10">
        <w:t>262</w:t>
      </w:r>
    </w:p>
    <w:p w:rsidR="00AC61E5" w:rsidRPr="00B377D0" w:rsidRDefault="00AC61E5" w:rsidP="00BA2D96">
      <w:pPr>
        <w:pStyle w:val="bt"/>
        <w:numPr>
          <w:ilvl w:val="0"/>
          <w:numId w:val="42"/>
        </w:numPr>
        <w:spacing w:before="60" w:after="0"/>
        <w:ind w:left="1134"/>
      </w:pPr>
      <w:r>
        <w:t xml:space="preserve">Percentage – </w:t>
      </w:r>
      <w:r w:rsidRPr="00225D10">
        <w:t>3.7</w:t>
      </w:r>
    </w:p>
    <w:p w:rsidR="00AC61E5" w:rsidRDefault="00AC61E5" w:rsidP="00BA2D96">
      <w:pPr>
        <w:pStyle w:val="bt"/>
        <w:numPr>
          <w:ilvl w:val="0"/>
          <w:numId w:val="38"/>
        </w:numPr>
        <w:spacing w:before="60" w:after="0"/>
      </w:pPr>
      <w:r w:rsidRPr="00B377D0">
        <w:t>Loddon</w:t>
      </w:r>
    </w:p>
    <w:p w:rsidR="00AC61E5" w:rsidRDefault="00AC61E5" w:rsidP="00BA2D96">
      <w:pPr>
        <w:pStyle w:val="bt"/>
        <w:numPr>
          <w:ilvl w:val="0"/>
          <w:numId w:val="43"/>
        </w:numPr>
        <w:spacing w:before="60" w:after="0"/>
        <w:ind w:left="1134"/>
      </w:pPr>
      <w:r>
        <w:t xml:space="preserve">Number – </w:t>
      </w:r>
      <w:r w:rsidRPr="00225D10">
        <w:t>53</w:t>
      </w:r>
    </w:p>
    <w:p w:rsidR="00AC61E5" w:rsidRPr="00B377D0" w:rsidRDefault="00AC61E5" w:rsidP="00BA2D96">
      <w:pPr>
        <w:pStyle w:val="bt"/>
        <w:numPr>
          <w:ilvl w:val="0"/>
          <w:numId w:val="43"/>
        </w:numPr>
        <w:spacing w:before="60" w:after="0"/>
        <w:ind w:left="1134"/>
      </w:pPr>
      <w:r>
        <w:t xml:space="preserve">Percentage – </w:t>
      </w:r>
      <w:r w:rsidRPr="00225D10">
        <w:t>1.7</w:t>
      </w:r>
    </w:p>
    <w:p w:rsidR="00AC61E5" w:rsidRDefault="00AC61E5" w:rsidP="00BA2D96">
      <w:pPr>
        <w:pStyle w:val="bt"/>
        <w:numPr>
          <w:ilvl w:val="0"/>
          <w:numId w:val="38"/>
        </w:numPr>
        <w:spacing w:before="60" w:after="0"/>
      </w:pPr>
      <w:r w:rsidRPr="00B377D0">
        <w:t>Loddon Mallee South region</w:t>
      </w:r>
    </w:p>
    <w:p w:rsidR="00AC61E5" w:rsidRDefault="00AC61E5" w:rsidP="00BA2D96">
      <w:pPr>
        <w:pStyle w:val="bt"/>
        <w:numPr>
          <w:ilvl w:val="0"/>
          <w:numId w:val="44"/>
        </w:numPr>
        <w:spacing w:before="60" w:after="0"/>
        <w:ind w:left="1134"/>
      </w:pPr>
      <w:r>
        <w:t>Number – 3</w:t>
      </w:r>
      <w:r w:rsidRPr="00225D10">
        <w:t>175</w:t>
      </w:r>
    </w:p>
    <w:p w:rsidR="00AC61E5" w:rsidRPr="00B377D0" w:rsidRDefault="00AC61E5" w:rsidP="00BA2D96">
      <w:pPr>
        <w:pStyle w:val="bt"/>
        <w:numPr>
          <w:ilvl w:val="0"/>
          <w:numId w:val="44"/>
        </w:numPr>
        <w:spacing w:before="60" w:after="0"/>
        <w:ind w:left="1134"/>
      </w:pPr>
      <w:r>
        <w:t xml:space="preserve">Percentage – </w:t>
      </w:r>
      <w:r w:rsidRPr="00225D10">
        <w:t>4.7</w:t>
      </w:r>
    </w:p>
    <w:p w:rsidR="00AC61E5" w:rsidRPr="00AC61E5" w:rsidRDefault="00AC61E5" w:rsidP="00AC61E5">
      <w:pPr>
        <w:pStyle w:val="bt"/>
        <w:spacing w:before="60" w:after="0"/>
        <w:rPr>
          <w:b/>
        </w:rPr>
      </w:pPr>
      <w:r w:rsidRPr="00AC61E5">
        <w:rPr>
          <w:b/>
        </w:rPr>
        <w:t>Other dwelling</w:t>
      </w:r>
    </w:p>
    <w:p w:rsidR="00AC61E5" w:rsidRDefault="00AC61E5" w:rsidP="00BA2D96">
      <w:pPr>
        <w:pStyle w:val="bt"/>
        <w:numPr>
          <w:ilvl w:val="0"/>
          <w:numId w:val="38"/>
        </w:numPr>
        <w:spacing w:before="60" w:after="0"/>
      </w:pPr>
      <w:r w:rsidRPr="00B377D0">
        <w:t>Greater Bendigo</w:t>
      </w:r>
    </w:p>
    <w:p w:rsidR="00AC61E5" w:rsidRDefault="00AC61E5" w:rsidP="00BA2D96">
      <w:pPr>
        <w:pStyle w:val="bt"/>
        <w:numPr>
          <w:ilvl w:val="0"/>
          <w:numId w:val="39"/>
        </w:numPr>
        <w:spacing w:before="60" w:after="0"/>
        <w:ind w:left="1134"/>
      </w:pPr>
      <w:r>
        <w:lastRenderedPageBreak/>
        <w:t xml:space="preserve">Number – </w:t>
      </w:r>
      <w:r w:rsidRPr="00225D10">
        <w:t>301</w:t>
      </w:r>
    </w:p>
    <w:p w:rsidR="00AC61E5" w:rsidRPr="00B377D0" w:rsidRDefault="00AC61E5" w:rsidP="00BA2D96">
      <w:pPr>
        <w:pStyle w:val="bt"/>
        <w:numPr>
          <w:ilvl w:val="0"/>
          <w:numId w:val="39"/>
        </w:numPr>
        <w:spacing w:before="60" w:after="0"/>
        <w:ind w:left="1134"/>
      </w:pPr>
      <w:r>
        <w:t xml:space="preserve">Percentage – </w:t>
      </w:r>
      <w:r w:rsidRPr="00225D10">
        <w:t>0.8</w:t>
      </w:r>
    </w:p>
    <w:p w:rsidR="00AC61E5" w:rsidRDefault="00AC61E5" w:rsidP="00BA2D96">
      <w:pPr>
        <w:pStyle w:val="bt"/>
        <w:numPr>
          <w:ilvl w:val="0"/>
          <w:numId w:val="38"/>
        </w:numPr>
        <w:spacing w:before="60" w:after="0"/>
      </w:pPr>
      <w:r w:rsidRPr="00B377D0">
        <w:t>Central Goldfields</w:t>
      </w:r>
    </w:p>
    <w:p w:rsidR="00AC61E5" w:rsidRDefault="00AC61E5" w:rsidP="00BA2D96">
      <w:pPr>
        <w:pStyle w:val="bt"/>
        <w:numPr>
          <w:ilvl w:val="0"/>
          <w:numId w:val="40"/>
        </w:numPr>
        <w:spacing w:before="60" w:after="0"/>
        <w:ind w:left="1134"/>
      </w:pPr>
      <w:r>
        <w:t xml:space="preserve">Number – </w:t>
      </w:r>
      <w:r w:rsidRPr="00225D10">
        <w:t>101</w:t>
      </w:r>
    </w:p>
    <w:p w:rsidR="00AC61E5" w:rsidRPr="00B377D0" w:rsidRDefault="00AC61E5" w:rsidP="00BA2D96">
      <w:pPr>
        <w:pStyle w:val="bt"/>
        <w:numPr>
          <w:ilvl w:val="0"/>
          <w:numId w:val="40"/>
        </w:numPr>
        <w:spacing w:before="60" w:after="0"/>
        <w:ind w:left="1134"/>
      </w:pPr>
      <w:r>
        <w:t xml:space="preserve">Percentage – </w:t>
      </w:r>
      <w:r w:rsidRPr="00225D10">
        <w:t>1.9</w:t>
      </w:r>
    </w:p>
    <w:p w:rsidR="00AC61E5" w:rsidRDefault="00AC61E5" w:rsidP="00BA2D96">
      <w:pPr>
        <w:pStyle w:val="bt"/>
        <w:numPr>
          <w:ilvl w:val="0"/>
          <w:numId w:val="38"/>
        </w:numPr>
        <w:spacing w:before="60" w:after="0"/>
      </w:pPr>
      <w:r w:rsidRPr="00B377D0">
        <w:t>Macedon Ranges</w:t>
      </w:r>
    </w:p>
    <w:p w:rsidR="00AC61E5" w:rsidRDefault="00AC61E5" w:rsidP="00BA2D96">
      <w:pPr>
        <w:pStyle w:val="bt"/>
        <w:numPr>
          <w:ilvl w:val="0"/>
          <w:numId w:val="41"/>
        </w:numPr>
        <w:spacing w:before="60" w:after="0"/>
        <w:ind w:left="1134"/>
      </w:pPr>
      <w:r>
        <w:t xml:space="preserve">Number – </w:t>
      </w:r>
      <w:r w:rsidRPr="00225D10">
        <w:t>80</w:t>
      </w:r>
    </w:p>
    <w:p w:rsidR="00AC61E5" w:rsidRPr="00B377D0" w:rsidRDefault="00AC61E5" w:rsidP="00BA2D96">
      <w:pPr>
        <w:pStyle w:val="bt"/>
        <w:numPr>
          <w:ilvl w:val="0"/>
          <w:numId w:val="41"/>
        </w:numPr>
        <w:spacing w:before="60" w:after="0"/>
        <w:ind w:left="1134"/>
      </w:pPr>
      <w:r>
        <w:t xml:space="preserve">Percentage – </w:t>
      </w:r>
      <w:r w:rsidRPr="00225D10">
        <w:t>0.6</w:t>
      </w:r>
    </w:p>
    <w:p w:rsidR="00AC61E5" w:rsidRDefault="00AC61E5" w:rsidP="00BA2D96">
      <w:pPr>
        <w:pStyle w:val="bt"/>
        <w:numPr>
          <w:ilvl w:val="0"/>
          <w:numId w:val="38"/>
        </w:numPr>
        <w:spacing w:before="60" w:after="0"/>
      </w:pPr>
      <w:r w:rsidRPr="00B377D0">
        <w:t>Mount Alexander</w:t>
      </w:r>
    </w:p>
    <w:p w:rsidR="00AC61E5" w:rsidRDefault="00AC61E5" w:rsidP="00BA2D96">
      <w:pPr>
        <w:pStyle w:val="bt"/>
        <w:numPr>
          <w:ilvl w:val="0"/>
          <w:numId w:val="42"/>
        </w:numPr>
        <w:spacing w:before="60" w:after="0"/>
        <w:ind w:left="1134"/>
      </w:pPr>
      <w:r>
        <w:t xml:space="preserve">Number – </w:t>
      </w:r>
      <w:r w:rsidRPr="00225D10">
        <w:t>71</w:t>
      </w:r>
    </w:p>
    <w:p w:rsidR="00AC61E5" w:rsidRPr="00B377D0" w:rsidRDefault="00AC61E5" w:rsidP="00BA2D96">
      <w:pPr>
        <w:pStyle w:val="bt"/>
        <w:numPr>
          <w:ilvl w:val="0"/>
          <w:numId w:val="42"/>
        </w:numPr>
        <w:spacing w:before="60" w:after="0"/>
        <w:ind w:left="1134"/>
      </w:pPr>
      <w:r>
        <w:t xml:space="preserve">Percentage – </w:t>
      </w:r>
      <w:r w:rsidRPr="00225D10">
        <w:t>1.0</w:t>
      </w:r>
    </w:p>
    <w:p w:rsidR="00AC61E5" w:rsidRDefault="00AC61E5" w:rsidP="00BA2D96">
      <w:pPr>
        <w:pStyle w:val="bt"/>
        <w:numPr>
          <w:ilvl w:val="0"/>
          <w:numId w:val="38"/>
        </w:numPr>
        <w:spacing w:before="60" w:after="0"/>
      </w:pPr>
      <w:r w:rsidRPr="00B377D0">
        <w:t>Loddon</w:t>
      </w:r>
    </w:p>
    <w:p w:rsidR="00AC61E5" w:rsidRDefault="00AC61E5" w:rsidP="00BA2D96">
      <w:pPr>
        <w:pStyle w:val="bt"/>
        <w:numPr>
          <w:ilvl w:val="0"/>
          <w:numId w:val="43"/>
        </w:numPr>
        <w:spacing w:before="60" w:after="0"/>
        <w:ind w:left="1134"/>
      </w:pPr>
      <w:r>
        <w:t xml:space="preserve">Number – </w:t>
      </w:r>
      <w:r w:rsidRPr="00225D10">
        <w:t>91</w:t>
      </w:r>
    </w:p>
    <w:p w:rsidR="00AC61E5" w:rsidRPr="00B377D0" w:rsidRDefault="00AC61E5" w:rsidP="00BA2D96">
      <w:pPr>
        <w:pStyle w:val="bt"/>
        <w:numPr>
          <w:ilvl w:val="0"/>
          <w:numId w:val="43"/>
        </w:numPr>
        <w:spacing w:before="60" w:after="0"/>
        <w:ind w:left="1134"/>
      </w:pPr>
      <w:r>
        <w:t xml:space="preserve">Percentage – </w:t>
      </w:r>
      <w:r w:rsidRPr="00225D10">
        <w:t>3.0</w:t>
      </w:r>
    </w:p>
    <w:p w:rsidR="00AC61E5" w:rsidRDefault="00AC61E5" w:rsidP="00BA2D96">
      <w:pPr>
        <w:pStyle w:val="bt"/>
        <w:numPr>
          <w:ilvl w:val="0"/>
          <w:numId w:val="38"/>
        </w:numPr>
        <w:spacing w:before="60" w:after="0"/>
      </w:pPr>
      <w:r w:rsidRPr="00B377D0">
        <w:t>Loddon Mallee South region</w:t>
      </w:r>
    </w:p>
    <w:p w:rsidR="00AC61E5" w:rsidRDefault="00AC61E5" w:rsidP="00BA2D96">
      <w:pPr>
        <w:pStyle w:val="bt"/>
        <w:numPr>
          <w:ilvl w:val="0"/>
          <w:numId w:val="44"/>
        </w:numPr>
        <w:spacing w:before="60" w:after="0"/>
        <w:ind w:left="1134"/>
      </w:pPr>
      <w:r>
        <w:t xml:space="preserve">Number – </w:t>
      </w:r>
      <w:r w:rsidRPr="00225D10">
        <w:t>644</w:t>
      </w:r>
    </w:p>
    <w:p w:rsidR="00AC61E5" w:rsidRPr="00B377D0" w:rsidRDefault="00AC61E5" w:rsidP="00BA2D96">
      <w:pPr>
        <w:pStyle w:val="bt"/>
        <w:numPr>
          <w:ilvl w:val="0"/>
          <w:numId w:val="44"/>
        </w:numPr>
        <w:spacing w:before="60" w:after="0"/>
        <w:ind w:left="1134"/>
      </w:pPr>
      <w:r>
        <w:t xml:space="preserve">Percentage – </w:t>
      </w:r>
      <w:r w:rsidRPr="00225D10">
        <w:t>1.7</w:t>
      </w:r>
    </w:p>
    <w:p w:rsidR="00AC61E5" w:rsidRPr="00AC61E5" w:rsidRDefault="00AC61E5" w:rsidP="00AC61E5">
      <w:pPr>
        <w:pStyle w:val="bt"/>
        <w:spacing w:before="60" w:after="0"/>
        <w:rPr>
          <w:b/>
        </w:rPr>
      </w:pPr>
      <w:r w:rsidRPr="00AC61E5">
        <w:rPr>
          <w:b/>
        </w:rPr>
        <w:t>Total</w:t>
      </w:r>
    </w:p>
    <w:p w:rsidR="00AC61E5" w:rsidRDefault="00AC61E5" w:rsidP="00BA2D96">
      <w:pPr>
        <w:pStyle w:val="bt"/>
        <w:numPr>
          <w:ilvl w:val="0"/>
          <w:numId w:val="38"/>
        </w:numPr>
        <w:spacing w:before="60" w:after="0"/>
      </w:pPr>
      <w:r w:rsidRPr="00B377D0">
        <w:t>Greater Bendigo</w:t>
      </w:r>
    </w:p>
    <w:p w:rsidR="00AC61E5" w:rsidRPr="00AC61E5" w:rsidRDefault="00AC61E5" w:rsidP="00BA2D96">
      <w:pPr>
        <w:pStyle w:val="bt"/>
        <w:numPr>
          <w:ilvl w:val="0"/>
          <w:numId w:val="39"/>
        </w:numPr>
        <w:spacing w:before="60" w:after="0"/>
        <w:ind w:left="1134"/>
      </w:pPr>
      <w:r w:rsidRPr="00AC61E5">
        <w:t>Number – 38,209</w:t>
      </w:r>
    </w:p>
    <w:p w:rsidR="00AC61E5" w:rsidRPr="00AC61E5" w:rsidRDefault="00AC61E5" w:rsidP="00BA2D96">
      <w:pPr>
        <w:pStyle w:val="bt"/>
        <w:numPr>
          <w:ilvl w:val="0"/>
          <w:numId w:val="39"/>
        </w:numPr>
        <w:spacing w:before="60" w:after="0"/>
        <w:ind w:left="1134"/>
      </w:pPr>
      <w:r w:rsidRPr="00AC61E5">
        <w:t>Percentage – 100</w:t>
      </w:r>
    </w:p>
    <w:p w:rsidR="00AC61E5" w:rsidRPr="00AC61E5" w:rsidRDefault="00AC61E5" w:rsidP="00BA2D96">
      <w:pPr>
        <w:pStyle w:val="bt"/>
        <w:numPr>
          <w:ilvl w:val="0"/>
          <w:numId w:val="38"/>
        </w:numPr>
        <w:spacing w:before="60" w:after="0"/>
      </w:pPr>
      <w:r w:rsidRPr="00AC61E5">
        <w:t>Central Goldfields</w:t>
      </w:r>
    </w:p>
    <w:p w:rsidR="00AC61E5" w:rsidRPr="00AC61E5" w:rsidRDefault="00AC61E5" w:rsidP="00BA2D96">
      <w:pPr>
        <w:pStyle w:val="bt"/>
        <w:numPr>
          <w:ilvl w:val="0"/>
          <w:numId w:val="40"/>
        </w:numPr>
        <w:spacing w:before="60" w:after="0"/>
        <w:ind w:left="1134"/>
      </w:pPr>
      <w:r w:rsidRPr="00AC61E5">
        <w:t>Number – 5250</w:t>
      </w:r>
    </w:p>
    <w:p w:rsidR="00AC61E5" w:rsidRPr="00AC61E5" w:rsidRDefault="00AC61E5" w:rsidP="00BA2D96">
      <w:pPr>
        <w:pStyle w:val="bt"/>
        <w:numPr>
          <w:ilvl w:val="0"/>
          <w:numId w:val="40"/>
        </w:numPr>
        <w:spacing w:before="60" w:after="0"/>
        <w:ind w:left="1134"/>
      </w:pPr>
      <w:r w:rsidRPr="00AC61E5">
        <w:t>Percentage – 100</w:t>
      </w:r>
    </w:p>
    <w:p w:rsidR="00AC61E5" w:rsidRPr="00AC61E5" w:rsidRDefault="00AC61E5" w:rsidP="00BA2D96">
      <w:pPr>
        <w:pStyle w:val="bt"/>
        <w:numPr>
          <w:ilvl w:val="0"/>
          <w:numId w:val="38"/>
        </w:numPr>
        <w:spacing w:before="60" w:after="0"/>
      </w:pPr>
      <w:r w:rsidRPr="00AC61E5">
        <w:t>Macedon Ranges</w:t>
      </w:r>
    </w:p>
    <w:p w:rsidR="00AC61E5" w:rsidRPr="00AC61E5" w:rsidRDefault="00AC61E5" w:rsidP="00BA2D96">
      <w:pPr>
        <w:pStyle w:val="bt"/>
        <w:numPr>
          <w:ilvl w:val="0"/>
          <w:numId w:val="41"/>
        </w:numPr>
        <w:spacing w:before="60" w:after="0"/>
        <w:ind w:left="1134"/>
      </w:pPr>
      <w:r w:rsidRPr="00AC61E5">
        <w:t>Number – 14,519</w:t>
      </w:r>
    </w:p>
    <w:p w:rsidR="00AC61E5" w:rsidRPr="00AC61E5" w:rsidRDefault="00AC61E5" w:rsidP="00BA2D96">
      <w:pPr>
        <w:pStyle w:val="bt"/>
        <w:numPr>
          <w:ilvl w:val="0"/>
          <w:numId w:val="41"/>
        </w:numPr>
        <w:spacing w:before="60" w:after="0"/>
        <w:ind w:left="1134"/>
      </w:pPr>
      <w:r w:rsidRPr="00AC61E5">
        <w:t>Percentage – 100</w:t>
      </w:r>
    </w:p>
    <w:p w:rsidR="00AC61E5" w:rsidRPr="00AC61E5" w:rsidRDefault="00AC61E5" w:rsidP="00BA2D96">
      <w:pPr>
        <w:pStyle w:val="bt"/>
        <w:numPr>
          <w:ilvl w:val="0"/>
          <w:numId w:val="38"/>
        </w:numPr>
        <w:spacing w:before="60" w:after="0"/>
      </w:pPr>
      <w:r w:rsidRPr="00AC61E5">
        <w:t>Mount Alexander</w:t>
      </w:r>
    </w:p>
    <w:p w:rsidR="00AC61E5" w:rsidRPr="00AC61E5" w:rsidRDefault="00AC61E5" w:rsidP="00BA2D96">
      <w:pPr>
        <w:pStyle w:val="bt"/>
        <w:numPr>
          <w:ilvl w:val="0"/>
          <w:numId w:val="42"/>
        </w:numPr>
        <w:spacing w:before="60" w:after="0"/>
        <w:ind w:left="1134"/>
      </w:pPr>
      <w:r w:rsidRPr="00AC61E5">
        <w:t>Number – 7096</w:t>
      </w:r>
    </w:p>
    <w:p w:rsidR="00AC61E5" w:rsidRPr="00AC61E5" w:rsidRDefault="00AC61E5" w:rsidP="00BA2D96">
      <w:pPr>
        <w:pStyle w:val="bt"/>
        <w:numPr>
          <w:ilvl w:val="0"/>
          <w:numId w:val="42"/>
        </w:numPr>
        <w:spacing w:before="60" w:after="0"/>
        <w:ind w:left="1134"/>
      </w:pPr>
      <w:r w:rsidRPr="00AC61E5">
        <w:t>Percentage – 100</w:t>
      </w:r>
    </w:p>
    <w:p w:rsidR="00AC61E5" w:rsidRPr="00AC61E5" w:rsidRDefault="00AC61E5" w:rsidP="00BA2D96">
      <w:pPr>
        <w:pStyle w:val="bt"/>
        <w:numPr>
          <w:ilvl w:val="0"/>
          <w:numId w:val="38"/>
        </w:numPr>
        <w:spacing w:before="60" w:after="0"/>
      </w:pPr>
      <w:r w:rsidRPr="00AC61E5">
        <w:t>Loddon</w:t>
      </w:r>
    </w:p>
    <w:p w:rsidR="00AC61E5" w:rsidRPr="00AC61E5" w:rsidRDefault="00AC61E5" w:rsidP="00BA2D96">
      <w:pPr>
        <w:pStyle w:val="bt"/>
        <w:numPr>
          <w:ilvl w:val="0"/>
          <w:numId w:val="43"/>
        </w:numPr>
        <w:spacing w:before="60" w:after="0"/>
        <w:ind w:left="1134"/>
      </w:pPr>
      <w:r w:rsidRPr="00AC61E5">
        <w:t>Number – 3035</w:t>
      </w:r>
    </w:p>
    <w:p w:rsidR="00AC61E5" w:rsidRPr="00AC61E5" w:rsidRDefault="00AC61E5" w:rsidP="00BA2D96">
      <w:pPr>
        <w:pStyle w:val="bt"/>
        <w:numPr>
          <w:ilvl w:val="0"/>
          <w:numId w:val="43"/>
        </w:numPr>
        <w:spacing w:before="60" w:after="0"/>
        <w:ind w:left="1134"/>
      </w:pPr>
      <w:r w:rsidRPr="00AC61E5">
        <w:t>Percentage – 100</w:t>
      </w:r>
    </w:p>
    <w:p w:rsidR="00AC61E5" w:rsidRPr="00AC61E5" w:rsidRDefault="00AC61E5" w:rsidP="00BA2D96">
      <w:pPr>
        <w:pStyle w:val="bt"/>
        <w:numPr>
          <w:ilvl w:val="0"/>
          <w:numId w:val="38"/>
        </w:numPr>
        <w:spacing w:before="60" w:after="0"/>
      </w:pPr>
      <w:r w:rsidRPr="00AC61E5">
        <w:t>Loddon Mallee South region</w:t>
      </w:r>
    </w:p>
    <w:p w:rsidR="00AC61E5" w:rsidRPr="00AC61E5" w:rsidRDefault="00AC61E5" w:rsidP="00BA2D96">
      <w:pPr>
        <w:pStyle w:val="bt"/>
        <w:numPr>
          <w:ilvl w:val="0"/>
          <w:numId w:val="44"/>
        </w:numPr>
        <w:spacing w:before="60" w:after="0"/>
        <w:ind w:left="1134"/>
      </w:pPr>
      <w:r w:rsidRPr="00AC61E5">
        <w:t>Number – 68,109</w:t>
      </w:r>
    </w:p>
    <w:p w:rsidR="00AC61E5" w:rsidRPr="00AC61E5" w:rsidRDefault="00AC61E5" w:rsidP="00BA2D96">
      <w:pPr>
        <w:pStyle w:val="bt"/>
        <w:numPr>
          <w:ilvl w:val="0"/>
          <w:numId w:val="44"/>
        </w:numPr>
        <w:spacing w:before="60" w:after="0"/>
        <w:ind w:left="1134"/>
      </w:pPr>
      <w:r w:rsidRPr="00AC61E5">
        <w:t>Percentage – 100</w:t>
      </w:r>
    </w:p>
    <w:p w:rsidR="00AC61E5" w:rsidRPr="00B377D0" w:rsidRDefault="00AC61E5" w:rsidP="00AC61E5">
      <w:pPr>
        <w:pStyle w:val="bt"/>
        <w:spacing w:before="60" w:after="0"/>
        <w:ind w:left="720"/>
      </w:pPr>
    </w:p>
    <w:p w:rsidR="00AC61E5" w:rsidRDefault="008A4BC9" w:rsidP="008D1A3E">
      <w:pPr>
        <w:pStyle w:val="Source"/>
        <w:tabs>
          <w:tab w:val="left" w:pos="8931"/>
        </w:tabs>
      </w:pPr>
      <w:r w:rsidRPr="00225D10">
        <w:t xml:space="preserve">Source: </w:t>
      </w:r>
      <w:r w:rsidR="00D71B33">
        <w:t>Australian Bureau of Statistics</w:t>
      </w:r>
      <w:r w:rsidRPr="00225D10">
        <w:t xml:space="preserve"> Census 2011</w:t>
      </w:r>
    </w:p>
    <w:p w:rsidR="00817DF4" w:rsidRDefault="00680EEE" w:rsidP="00D34F87">
      <w:pPr>
        <w:pStyle w:val="bt"/>
        <w:tabs>
          <w:tab w:val="left" w:pos="8931"/>
        </w:tabs>
      </w:pPr>
      <w:r>
        <w:fldChar w:fldCharType="begin"/>
      </w:r>
      <w:r>
        <w:instrText xml:space="preserve"> REF _Ref353353165 \h  \* MERGEFORMAT </w:instrText>
      </w:r>
      <w:r>
        <w:fldChar w:fldCharType="separate"/>
      </w:r>
      <w:r w:rsidR="00EF1401" w:rsidRPr="00225D10">
        <w:t xml:space="preserve">Figure </w:t>
      </w:r>
      <w:r w:rsidR="00EF1401">
        <w:rPr>
          <w:noProof/>
        </w:rPr>
        <w:t>11</w:t>
      </w:r>
      <w:r>
        <w:fldChar w:fldCharType="end"/>
      </w:r>
      <w:r w:rsidR="008A4BC9" w:rsidRPr="00225D10">
        <w:t xml:space="preserve"> shows that of </w:t>
      </w:r>
      <w:r w:rsidR="007E751B" w:rsidRPr="00225D10">
        <w:t xml:space="preserve">the </w:t>
      </w:r>
      <w:r w:rsidR="008A4BC9" w:rsidRPr="00225D10">
        <w:t>occupied private dwellings in the region, the overwhelming majority by type were separate houses (91.6</w:t>
      </w:r>
      <w:r w:rsidR="00997C90">
        <w:t xml:space="preserve"> per cent</w:t>
      </w:r>
      <w:r w:rsidR="008A4BC9" w:rsidRPr="00225D10">
        <w:t xml:space="preserve">). </w:t>
      </w:r>
      <w:r w:rsidR="007E751B" w:rsidRPr="00225D10">
        <w:t xml:space="preserve">A total of </w:t>
      </w:r>
      <w:r w:rsidR="008A4BC9" w:rsidRPr="00225D10">
        <w:t>2.8</w:t>
      </w:r>
      <w:r w:rsidR="00997C90">
        <w:t xml:space="preserve"> per cent</w:t>
      </w:r>
      <w:r w:rsidR="00997C90" w:rsidRPr="00225D10">
        <w:t xml:space="preserve"> </w:t>
      </w:r>
      <w:r w:rsidR="008A4BC9" w:rsidRPr="00225D10">
        <w:t>were semi-detached, row or terrace houses, townhouses etc</w:t>
      </w:r>
      <w:r w:rsidR="007E751B" w:rsidRPr="00225D10">
        <w:t>.</w:t>
      </w:r>
      <w:r w:rsidR="008A4BC9" w:rsidRPr="00225D10">
        <w:t>, 4.7</w:t>
      </w:r>
      <w:r w:rsidR="00997C90">
        <w:t xml:space="preserve"> per cent</w:t>
      </w:r>
      <w:r w:rsidR="00997C90" w:rsidRPr="00225D10">
        <w:t xml:space="preserve"> </w:t>
      </w:r>
      <w:r w:rsidR="008A4BC9" w:rsidRPr="00225D10">
        <w:t>were flats, units or apartments</w:t>
      </w:r>
      <w:r w:rsidR="007E751B" w:rsidRPr="00225D10">
        <w:t>,</w:t>
      </w:r>
      <w:r w:rsidR="008A4BC9" w:rsidRPr="00225D10">
        <w:t xml:space="preserve"> and 1.7</w:t>
      </w:r>
      <w:r w:rsidR="00997C90">
        <w:t xml:space="preserve"> per cent</w:t>
      </w:r>
      <w:r w:rsidR="00997C90" w:rsidRPr="00225D10">
        <w:t xml:space="preserve"> </w:t>
      </w:r>
      <w:r w:rsidR="008A4BC9" w:rsidRPr="00225D10">
        <w:t xml:space="preserve">were other dwellings. An ageing population </w:t>
      </w:r>
      <w:r w:rsidR="005E1EE5" w:rsidRPr="00225D10">
        <w:t>is expected to</w:t>
      </w:r>
      <w:r w:rsidR="008A4BC9" w:rsidRPr="00225D10">
        <w:t xml:space="preserve"> create greater demand for smaller allotments as well as a more diverse range of housing types including flats, units, apartments and supported accommodation, all of which are accessible and well</w:t>
      </w:r>
      <w:r w:rsidR="007E751B" w:rsidRPr="00225D10">
        <w:t>-</w:t>
      </w:r>
      <w:r w:rsidR="008A4BC9" w:rsidRPr="00225D10">
        <w:t xml:space="preserve">serviced with everyday needs. </w:t>
      </w:r>
    </w:p>
    <w:p w:rsidR="008A4BC9" w:rsidRPr="00225D10" w:rsidRDefault="003135D3" w:rsidP="00D34F87">
      <w:pPr>
        <w:pStyle w:val="bt"/>
        <w:tabs>
          <w:tab w:val="left" w:pos="8931"/>
        </w:tabs>
      </w:pPr>
      <w:r w:rsidRPr="00225D10">
        <w:lastRenderedPageBreak/>
        <w:t xml:space="preserve">The City of Greater Bendigo’s Positive Ageing Working Group on Housing has identified that the preferred housing type is </w:t>
      </w:r>
      <w:r w:rsidR="007E751B" w:rsidRPr="00225D10">
        <w:t xml:space="preserve">a </w:t>
      </w:r>
      <w:r w:rsidRPr="00225D10">
        <w:t xml:space="preserve">two bedroom </w:t>
      </w:r>
      <w:r w:rsidR="007E751B" w:rsidRPr="00225D10">
        <w:t xml:space="preserve">dwelling </w:t>
      </w:r>
      <w:r w:rsidRPr="00225D10">
        <w:t>on a smaller block that is accessible. The Audit of the Bendigo Residential Development Strategy found that since 2001 average house sizes have increased by 35</w:t>
      </w:r>
      <w:r w:rsidR="00997C90">
        <w:t xml:space="preserve"> per cent</w:t>
      </w:r>
      <w:r w:rsidR="00997C90" w:rsidRPr="00225D10">
        <w:t xml:space="preserve"> </w:t>
      </w:r>
      <w:r w:rsidRPr="00225D10">
        <w:t xml:space="preserve">which suggests that the market is not providing the housing needed for this age cohort. </w:t>
      </w:r>
      <w:r w:rsidR="008A4BC9" w:rsidRPr="00225D10">
        <w:t xml:space="preserve">An important consideration for the </w:t>
      </w:r>
      <w:r w:rsidR="00C9727F">
        <w:t>p</w:t>
      </w:r>
      <w:r w:rsidR="005D4DE2" w:rsidRPr="00225D10">
        <w:t>lan</w:t>
      </w:r>
      <w:r w:rsidR="008A4BC9" w:rsidRPr="00225D10">
        <w:t xml:space="preserve"> is whether the region has the right type of housing stock to meet current and project dwelling demand.</w:t>
      </w:r>
    </w:p>
    <w:p w:rsidR="008A4BC9" w:rsidRPr="00225D10" w:rsidRDefault="005E1EE5" w:rsidP="00D34F87">
      <w:pPr>
        <w:pStyle w:val="Heading4"/>
        <w:tabs>
          <w:tab w:val="left" w:pos="8931"/>
        </w:tabs>
      </w:pPr>
      <w:r w:rsidRPr="00225D10">
        <w:t xml:space="preserve">Recent </w:t>
      </w:r>
      <w:r w:rsidR="00E30F75" w:rsidRPr="00225D10">
        <w:t>d</w:t>
      </w:r>
      <w:r w:rsidR="008A4BC9" w:rsidRPr="00225D10">
        <w:t xml:space="preserve">evelopment </w:t>
      </w:r>
      <w:r w:rsidR="00E30F75" w:rsidRPr="00225D10">
        <w:t>t</w:t>
      </w:r>
      <w:r w:rsidR="008A4BC9" w:rsidRPr="00225D10">
        <w:t>rends</w:t>
      </w:r>
    </w:p>
    <w:p w:rsidR="008A4BC9" w:rsidRPr="001475ED" w:rsidRDefault="008A4BC9" w:rsidP="00D34F87">
      <w:pPr>
        <w:pStyle w:val="bt"/>
        <w:tabs>
          <w:tab w:val="left" w:pos="8931"/>
        </w:tabs>
        <w:rPr>
          <w:rStyle w:val="Strong"/>
        </w:rPr>
      </w:pPr>
      <w:r w:rsidRPr="001475ED">
        <w:rPr>
          <w:rStyle w:val="Strong"/>
        </w:rPr>
        <w:t>City of Greater Bendigo</w:t>
      </w:r>
    </w:p>
    <w:p w:rsidR="008A4BC9" w:rsidRPr="00225D10" w:rsidRDefault="008A4BC9" w:rsidP="00D34F87">
      <w:pPr>
        <w:pStyle w:val="bt"/>
        <w:tabs>
          <w:tab w:val="left" w:pos="8931"/>
        </w:tabs>
      </w:pPr>
      <w:r w:rsidRPr="00225D10">
        <w:t>The Bendigo Residential Development Strategy – Stage 1 Audit Report 2012 found that:</w:t>
      </w:r>
    </w:p>
    <w:p w:rsidR="008A4BC9" w:rsidRPr="001475ED" w:rsidRDefault="008A4BC9" w:rsidP="00D34F87">
      <w:pPr>
        <w:pStyle w:val="ListParagraphSummary"/>
        <w:tabs>
          <w:tab w:val="left" w:pos="8931"/>
        </w:tabs>
      </w:pPr>
      <w:r w:rsidRPr="001475ED">
        <w:t xml:space="preserve">Bendigo has experienced strong inward growth and infill development. Since 2004, minor infill (developments of less than </w:t>
      </w:r>
      <w:r w:rsidR="007E751B" w:rsidRPr="001475ED">
        <w:t>four</w:t>
      </w:r>
      <w:r w:rsidRPr="001475ED">
        <w:t xml:space="preserve"> lot subdivisions) has accounted for 30</w:t>
      </w:r>
      <w:r w:rsidR="007E751B" w:rsidRPr="001475ED">
        <w:t xml:space="preserve"> to </w:t>
      </w:r>
      <w:r w:rsidRPr="001475ED">
        <w:t>50</w:t>
      </w:r>
      <w:r w:rsidR="00997C90" w:rsidRPr="001475ED">
        <w:t xml:space="preserve"> per cent </w:t>
      </w:r>
      <w:r w:rsidRPr="001475ED">
        <w:t xml:space="preserve">of the net lots created each year, and this trend is likely to continue. The drivers </w:t>
      </w:r>
      <w:r w:rsidR="007E751B" w:rsidRPr="001475ED">
        <w:t xml:space="preserve">of </w:t>
      </w:r>
      <w:r w:rsidRPr="001475ED">
        <w:t>this growing trend include increase</w:t>
      </w:r>
      <w:r w:rsidR="007E751B" w:rsidRPr="001475ED">
        <w:t>d</w:t>
      </w:r>
      <w:r w:rsidRPr="001475ED">
        <w:t xml:space="preserve"> return due to land value, </w:t>
      </w:r>
      <w:r w:rsidR="007E751B" w:rsidRPr="001475ED">
        <w:t xml:space="preserve">a </w:t>
      </w:r>
      <w:r w:rsidRPr="001475ED">
        <w:t>growing population, and with an ageing population people appear to be seeking manageable size</w:t>
      </w:r>
      <w:r w:rsidR="007E751B" w:rsidRPr="001475ED">
        <w:t>d</w:t>
      </w:r>
      <w:r w:rsidRPr="001475ED">
        <w:t xml:space="preserve"> allotments</w:t>
      </w:r>
      <w:r w:rsidR="007E751B" w:rsidRPr="001475ED">
        <w:t>.</w:t>
      </w:r>
    </w:p>
    <w:p w:rsidR="008A4BC9" w:rsidRPr="001475ED" w:rsidRDefault="008A4BC9" w:rsidP="00D34F87">
      <w:pPr>
        <w:pStyle w:val="ListParagraphSummary"/>
        <w:tabs>
          <w:tab w:val="left" w:pos="8931"/>
        </w:tabs>
      </w:pPr>
      <w:r w:rsidRPr="001475ED">
        <w:t>There has been limited development in key nodes such as La</w:t>
      </w:r>
      <w:r w:rsidR="007E751B" w:rsidRPr="001475ED">
        <w:t xml:space="preserve"> </w:t>
      </w:r>
      <w:r w:rsidRPr="001475ED">
        <w:t xml:space="preserve">Trobe University, Bendigo </w:t>
      </w:r>
      <w:r w:rsidR="00C9727F" w:rsidRPr="001475ED">
        <w:t>r</w:t>
      </w:r>
      <w:r w:rsidRPr="001475ED">
        <w:t xml:space="preserve">ailway </w:t>
      </w:r>
      <w:r w:rsidR="00C9727F" w:rsidRPr="001475ED">
        <w:t>s</w:t>
      </w:r>
      <w:r w:rsidRPr="001475ED">
        <w:t xml:space="preserve">tation, the CBD and the </w:t>
      </w:r>
      <w:r w:rsidR="007E751B" w:rsidRPr="001475ED">
        <w:t xml:space="preserve">Bendigo </w:t>
      </w:r>
      <w:r w:rsidRPr="001475ED">
        <w:t xml:space="preserve">Hospital </w:t>
      </w:r>
      <w:r w:rsidR="007E751B" w:rsidRPr="001475ED">
        <w:t xml:space="preserve">precinct </w:t>
      </w:r>
      <w:r w:rsidRPr="001475ED">
        <w:t>which were identified as opportunities for significant increases in density for residential uses to 4-6 storeys.</w:t>
      </w:r>
    </w:p>
    <w:p w:rsidR="008A4BC9" w:rsidRPr="001475ED" w:rsidRDefault="008A4BC9" w:rsidP="00D34F87">
      <w:pPr>
        <w:pStyle w:val="ListParagraphSummary"/>
        <w:tabs>
          <w:tab w:val="left" w:pos="8931"/>
        </w:tabs>
      </w:pPr>
      <w:r w:rsidRPr="001475ED">
        <w:t>Residential development occurring in new growth areas</w:t>
      </w:r>
      <w:r w:rsidR="00771522" w:rsidRPr="001475ED">
        <w:t xml:space="preserve">, </w:t>
      </w:r>
      <w:r w:rsidR="002E60C6" w:rsidRPr="001475ED">
        <w:t xml:space="preserve">while </w:t>
      </w:r>
      <w:r w:rsidR="007E751B" w:rsidRPr="001475ED">
        <w:t xml:space="preserve">still </w:t>
      </w:r>
      <w:r w:rsidR="002E60C6" w:rsidRPr="001475ED">
        <w:t xml:space="preserve">in </w:t>
      </w:r>
      <w:r w:rsidR="007E751B" w:rsidRPr="001475ED">
        <w:t xml:space="preserve">the </w:t>
      </w:r>
      <w:r w:rsidR="002E60C6" w:rsidRPr="001475ED">
        <w:t>early development stages,</w:t>
      </w:r>
      <w:r w:rsidRPr="001475ED">
        <w:t xml:space="preserve"> is not meeting the targets set for the distribution between detached dwellings</w:t>
      </w:r>
      <w:r w:rsidR="0037372F" w:rsidRPr="001475ED">
        <w:t xml:space="preserve"> (target 50</w:t>
      </w:r>
      <w:r w:rsidR="00997C90" w:rsidRPr="001475ED">
        <w:t xml:space="preserve"> per cent), </w:t>
      </w:r>
      <w:r w:rsidRPr="001475ED">
        <w:t>semi-detached dwellings</w:t>
      </w:r>
      <w:r w:rsidR="0037372F" w:rsidRPr="001475ED">
        <w:t xml:space="preserve"> (target 20</w:t>
      </w:r>
      <w:r w:rsidR="00997C90" w:rsidRPr="001475ED">
        <w:t xml:space="preserve"> per cent) </w:t>
      </w:r>
      <w:r w:rsidRPr="001475ED">
        <w:t>and multi</w:t>
      </w:r>
      <w:r w:rsidR="007E751B" w:rsidRPr="001475ED">
        <w:t>-</w:t>
      </w:r>
      <w:r w:rsidRPr="001475ED">
        <w:t>unit dwellings</w:t>
      </w:r>
      <w:r w:rsidR="0037372F" w:rsidRPr="001475ED">
        <w:t xml:space="preserve"> (target 30</w:t>
      </w:r>
      <w:r w:rsidR="00997C90" w:rsidRPr="001475ED">
        <w:t xml:space="preserve"> per cent). </w:t>
      </w:r>
      <w:r w:rsidRPr="001475ED">
        <w:t>The average distributions across all four new development areas is 97</w:t>
      </w:r>
      <w:r w:rsidR="00997C90" w:rsidRPr="001475ED">
        <w:t xml:space="preserve"> per cent </w:t>
      </w:r>
      <w:r w:rsidRPr="001475ED">
        <w:t>detached, 2.4</w:t>
      </w:r>
      <w:r w:rsidR="00997C90" w:rsidRPr="001475ED">
        <w:t xml:space="preserve"> per cent </w:t>
      </w:r>
      <w:r w:rsidRPr="001475ED">
        <w:t>semi</w:t>
      </w:r>
      <w:r w:rsidR="007E751B" w:rsidRPr="001475ED">
        <w:t>-</w:t>
      </w:r>
      <w:r w:rsidRPr="001475ED">
        <w:t>detached and 0.6</w:t>
      </w:r>
      <w:r w:rsidR="00997C90" w:rsidRPr="001475ED">
        <w:t xml:space="preserve"> per cent </w:t>
      </w:r>
      <w:r w:rsidRPr="001475ED">
        <w:t>multi</w:t>
      </w:r>
      <w:r w:rsidR="007E751B" w:rsidRPr="001475ED">
        <w:t>-</w:t>
      </w:r>
      <w:r w:rsidRPr="001475ED">
        <w:t>unit</w:t>
      </w:r>
      <w:r w:rsidR="007E751B" w:rsidRPr="001475ED">
        <w:t xml:space="preserve"> dwellings</w:t>
      </w:r>
      <w:r w:rsidRPr="001475ED">
        <w:t>.</w:t>
      </w:r>
    </w:p>
    <w:p w:rsidR="008A4BC9" w:rsidRPr="001475ED" w:rsidRDefault="008A4BC9" w:rsidP="00D34F87">
      <w:pPr>
        <w:pStyle w:val="ListParagraphSummary"/>
        <w:tabs>
          <w:tab w:val="left" w:pos="8931"/>
        </w:tabs>
      </w:pPr>
      <w:r w:rsidRPr="001475ED">
        <w:t>Current inner urban housing stock tends to be in the higher market bracket</w:t>
      </w:r>
      <w:r w:rsidR="007E751B" w:rsidRPr="001475ED">
        <w:t>,</w:t>
      </w:r>
      <w:r w:rsidRPr="001475ED">
        <w:t xml:space="preserve"> with examples of executive type developments being present.</w:t>
      </w:r>
    </w:p>
    <w:p w:rsidR="00771522" w:rsidRPr="00225D10" w:rsidRDefault="00362945" w:rsidP="00D34F87">
      <w:pPr>
        <w:pStyle w:val="bt"/>
        <w:tabs>
          <w:tab w:val="left" w:pos="8931"/>
        </w:tabs>
      </w:pPr>
      <w:r w:rsidRPr="00225D10">
        <w:t xml:space="preserve">Stage 2 of the </w:t>
      </w:r>
      <w:r w:rsidR="006A2EEF">
        <w:t xml:space="preserve">review of </w:t>
      </w:r>
      <w:r w:rsidRPr="00225D10">
        <w:t xml:space="preserve">Bendigo Residential Development Strategy is the </w:t>
      </w:r>
      <w:r w:rsidR="002E60C6" w:rsidRPr="00225D10">
        <w:t xml:space="preserve">development of an </w:t>
      </w:r>
      <w:r w:rsidR="007E751B" w:rsidRPr="00225D10">
        <w:t>i</w:t>
      </w:r>
      <w:r w:rsidR="002E60C6" w:rsidRPr="00225D10">
        <w:t xml:space="preserve">ssues and </w:t>
      </w:r>
      <w:r w:rsidR="007E751B" w:rsidRPr="00225D10">
        <w:t>o</w:t>
      </w:r>
      <w:r w:rsidR="002E60C6" w:rsidRPr="00225D10">
        <w:t>ptions paper</w:t>
      </w:r>
      <w:r w:rsidR="007E751B" w:rsidRPr="00225D10">
        <w:t>,</w:t>
      </w:r>
      <w:r w:rsidR="002E60C6" w:rsidRPr="00225D10">
        <w:t xml:space="preserve"> </w:t>
      </w:r>
      <w:r w:rsidRPr="00225D10">
        <w:t>which identif</w:t>
      </w:r>
      <w:r w:rsidR="006A2EEF">
        <w:t xml:space="preserve">ies </w:t>
      </w:r>
      <w:r w:rsidR="002E60C6" w:rsidRPr="00225D10">
        <w:t xml:space="preserve">options for </w:t>
      </w:r>
      <w:r w:rsidRPr="00225D10">
        <w:t xml:space="preserve">future </w:t>
      </w:r>
      <w:r w:rsidR="002E60C6" w:rsidRPr="00225D10">
        <w:t>residential development and land provisions for growth</w:t>
      </w:r>
      <w:r w:rsidRPr="00225D10">
        <w:t>. It also look</w:t>
      </w:r>
      <w:r w:rsidR="006A2EEF">
        <w:t>s</w:t>
      </w:r>
      <w:r w:rsidRPr="00225D10">
        <w:t xml:space="preserve"> at strategies to deliver housing options to meet identified needs.</w:t>
      </w:r>
    </w:p>
    <w:p w:rsidR="008A4BC9" w:rsidRPr="001475ED" w:rsidRDefault="008A4BC9" w:rsidP="00D34F87">
      <w:pPr>
        <w:pStyle w:val="bt"/>
        <w:tabs>
          <w:tab w:val="left" w:pos="8931"/>
        </w:tabs>
        <w:rPr>
          <w:rStyle w:val="Strong"/>
        </w:rPr>
      </w:pPr>
      <w:r w:rsidRPr="001475ED">
        <w:rPr>
          <w:rStyle w:val="Strong"/>
        </w:rPr>
        <w:t>M</w:t>
      </w:r>
      <w:r w:rsidR="007E751B" w:rsidRPr="001475ED">
        <w:rPr>
          <w:rStyle w:val="Strong"/>
        </w:rPr>
        <w:t>oun</w:t>
      </w:r>
      <w:r w:rsidRPr="001475ED">
        <w:rPr>
          <w:rStyle w:val="Strong"/>
        </w:rPr>
        <w:t>t Alexander</w:t>
      </w:r>
    </w:p>
    <w:p w:rsidR="008A4BC9" w:rsidRPr="001475ED" w:rsidRDefault="007367E6" w:rsidP="00D34F87">
      <w:pPr>
        <w:pStyle w:val="ListParagraphSummary"/>
        <w:tabs>
          <w:tab w:val="left" w:pos="8931"/>
        </w:tabs>
      </w:pPr>
      <w:r w:rsidRPr="001475ED">
        <w:t xml:space="preserve">According to the </w:t>
      </w:r>
      <w:r w:rsidR="00FB02AA" w:rsidRPr="001475ED">
        <w:t>unpublished</w:t>
      </w:r>
      <w:r w:rsidR="006A2EEF">
        <w:t>,</w:t>
      </w:r>
      <w:r w:rsidR="00FB02AA" w:rsidRPr="001475ED">
        <w:t xml:space="preserve"> Urban Development Program data </w:t>
      </w:r>
      <w:r w:rsidR="00C75B01">
        <w:t>(</w:t>
      </w:r>
      <w:r w:rsidR="00C75B01" w:rsidRPr="001475ED">
        <w:t>D</w:t>
      </w:r>
      <w:r w:rsidR="00C75B01">
        <w:t>epartment of Transport, Planning and Local Infrastructure)</w:t>
      </w:r>
      <w:r w:rsidR="00C75B01" w:rsidRPr="001475ED">
        <w:t xml:space="preserve"> </w:t>
      </w:r>
      <w:r w:rsidR="00FB02AA" w:rsidRPr="001475ED">
        <w:t>relating to Mount Alexander Shire</w:t>
      </w:r>
      <w:r w:rsidRPr="001475ED">
        <w:t>, t</w:t>
      </w:r>
      <w:r w:rsidR="008A4BC9" w:rsidRPr="001475ED">
        <w:t>he majority (66</w:t>
      </w:r>
      <w:r w:rsidR="00997C90" w:rsidRPr="001475ED">
        <w:t xml:space="preserve"> per cent </w:t>
      </w:r>
      <w:r w:rsidR="008A4BC9" w:rsidRPr="001475ED">
        <w:t>or 75 per annum) of building approval</w:t>
      </w:r>
      <w:r w:rsidR="006A2EEF">
        <w:t>s</w:t>
      </w:r>
      <w:r w:rsidR="008A4BC9" w:rsidRPr="001475ED">
        <w:t xml:space="preserve"> since </w:t>
      </w:r>
      <w:r w:rsidR="00D96A6B" w:rsidRPr="001475ED">
        <w:t>July 200</w:t>
      </w:r>
      <w:r w:rsidR="008A4BC9" w:rsidRPr="001475ED">
        <w:t xml:space="preserve">6 </w:t>
      </w:r>
      <w:r w:rsidR="00D96A6B" w:rsidRPr="001475ED">
        <w:t xml:space="preserve">within the Statistical Local Area of Mount Alexander </w:t>
      </w:r>
      <w:r w:rsidR="008A4BC9" w:rsidRPr="001475ED">
        <w:t>ha</w:t>
      </w:r>
      <w:r w:rsidR="006A2EEF">
        <w:t>ve</w:t>
      </w:r>
      <w:r w:rsidR="008A4BC9" w:rsidRPr="001475ED">
        <w:t xml:space="preserve"> been located within the urban centres of </w:t>
      </w:r>
      <w:proofErr w:type="spellStart"/>
      <w:r w:rsidR="008A4BC9" w:rsidRPr="001475ED">
        <w:t>Campbells</w:t>
      </w:r>
      <w:proofErr w:type="spellEnd"/>
      <w:r w:rsidR="008A4BC9" w:rsidRPr="001475ED">
        <w:t xml:space="preserve"> Creek, Chewton, Maldon, Newstead and Harcourt.</w:t>
      </w:r>
    </w:p>
    <w:p w:rsidR="001E6C39" w:rsidRPr="001475ED" w:rsidRDefault="008A4BC9" w:rsidP="00D34F87">
      <w:pPr>
        <w:pStyle w:val="ListParagraphSummary"/>
        <w:tabs>
          <w:tab w:val="left" w:pos="8931"/>
        </w:tabs>
      </w:pPr>
      <w:r w:rsidRPr="001475ED">
        <w:t>The majority (30</w:t>
      </w:r>
      <w:r w:rsidR="00997C90" w:rsidRPr="001475ED">
        <w:t xml:space="preserve"> per cent) </w:t>
      </w:r>
      <w:r w:rsidRPr="001475ED">
        <w:t xml:space="preserve">of residential lot construction activity was located within </w:t>
      </w:r>
      <w:proofErr w:type="spellStart"/>
      <w:r w:rsidRPr="001475ED">
        <w:t>Campbells</w:t>
      </w:r>
      <w:proofErr w:type="spellEnd"/>
      <w:r w:rsidRPr="001475ED">
        <w:t xml:space="preserve"> Creek, followed by Castlemaine (28</w:t>
      </w:r>
      <w:r w:rsidR="00997C90" w:rsidRPr="001475ED">
        <w:t xml:space="preserve"> per cent) </w:t>
      </w:r>
      <w:r w:rsidRPr="001475ED">
        <w:t>and 8</w:t>
      </w:r>
      <w:r w:rsidR="00997C90" w:rsidRPr="001475ED">
        <w:t xml:space="preserve"> per cent </w:t>
      </w:r>
      <w:r w:rsidR="007367E6" w:rsidRPr="001475ED">
        <w:t xml:space="preserve">in </w:t>
      </w:r>
      <w:r w:rsidR="009B155F" w:rsidRPr="001475ED">
        <w:t xml:space="preserve">both </w:t>
      </w:r>
      <w:r w:rsidRPr="001475ED">
        <w:t>Maldon and Newstead.</w:t>
      </w:r>
    </w:p>
    <w:p w:rsidR="008A4BC9" w:rsidRPr="001475ED" w:rsidRDefault="008A4BC9" w:rsidP="00D34F87">
      <w:pPr>
        <w:pStyle w:val="bt"/>
        <w:tabs>
          <w:tab w:val="left" w:pos="8931"/>
        </w:tabs>
        <w:rPr>
          <w:rStyle w:val="Strong"/>
        </w:rPr>
      </w:pPr>
      <w:r w:rsidRPr="001475ED">
        <w:rPr>
          <w:rStyle w:val="Strong"/>
        </w:rPr>
        <w:t>Macedon Ranges</w:t>
      </w:r>
    </w:p>
    <w:p w:rsidR="008A4BC9" w:rsidRPr="00225D10" w:rsidRDefault="00B5345F" w:rsidP="00D34F87">
      <w:pPr>
        <w:pStyle w:val="ListParagraphSummary"/>
        <w:tabs>
          <w:tab w:val="left" w:pos="8931"/>
        </w:tabs>
        <w:rPr>
          <w:lang w:val="en-US"/>
        </w:rPr>
      </w:pPr>
      <w:r w:rsidRPr="00225D10">
        <w:t xml:space="preserve">According to unpublished Urban Development Program data relating to Macedon Ranges </w:t>
      </w:r>
      <w:r>
        <w:t>S</w:t>
      </w:r>
      <w:r w:rsidRPr="00225D10">
        <w:t>hire, the</w:t>
      </w:r>
      <w:r w:rsidRPr="00225D10">
        <w:rPr>
          <w:lang w:val="en-US"/>
        </w:rPr>
        <w:t xml:space="preserve"> vast majority of building approvals (97</w:t>
      </w:r>
      <w:r w:rsidR="00997C90">
        <w:rPr>
          <w:lang w:val="en-US"/>
        </w:rPr>
        <w:t xml:space="preserve"> per cent</w:t>
      </w:r>
      <w:r w:rsidR="00997C90" w:rsidRPr="00225D10">
        <w:rPr>
          <w:lang w:val="en-US"/>
        </w:rPr>
        <w:t xml:space="preserve">) </w:t>
      </w:r>
      <w:r w:rsidRPr="00225D10">
        <w:rPr>
          <w:lang w:val="en-US"/>
        </w:rPr>
        <w:t>since July 2006 have been separate houses, 3</w:t>
      </w:r>
      <w:r w:rsidR="00997C90">
        <w:rPr>
          <w:lang w:val="en-US"/>
        </w:rPr>
        <w:t xml:space="preserve"> per cent</w:t>
      </w:r>
      <w:r w:rsidR="00997C90" w:rsidRPr="00225D10">
        <w:rPr>
          <w:lang w:val="en-US"/>
        </w:rPr>
        <w:t xml:space="preserve"> </w:t>
      </w:r>
      <w:r w:rsidRPr="00225D10">
        <w:rPr>
          <w:lang w:val="en-US"/>
        </w:rPr>
        <w:t>semi-detached dwellings and 0</w:t>
      </w:r>
      <w:r w:rsidR="00997C90">
        <w:rPr>
          <w:lang w:val="en-US"/>
        </w:rPr>
        <w:t xml:space="preserve"> per cent</w:t>
      </w:r>
      <w:r w:rsidR="00997C90" w:rsidRPr="00225D10">
        <w:rPr>
          <w:lang w:val="en-US"/>
        </w:rPr>
        <w:t xml:space="preserve"> </w:t>
      </w:r>
      <w:r w:rsidRPr="00225D10">
        <w:rPr>
          <w:lang w:val="en-US"/>
        </w:rPr>
        <w:t>for units/apartments.</w:t>
      </w:r>
    </w:p>
    <w:p w:rsidR="008A4BC9" w:rsidRPr="00225D10" w:rsidRDefault="008A4BC9" w:rsidP="00D34F87">
      <w:pPr>
        <w:pStyle w:val="ListParagraphSummary"/>
        <w:tabs>
          <w:tab w:val="left" w:pos="8931"/>
        </w:tabs>
        <w:rPr>
          <w:lang w:val="en-US"/>
        </w:rPr>
      </w:pPr>
      <w:r w:rsidRPr="00225D10">
        <w:rPr>
          <w:lang w:val="en-US"/>
        </w:rPr>
        <w:t>The majority (53</w:t>
      </w:r>
      <w:r w:rsidR="00997C90">
        <w:rPr>
          <w:lang w:val="en-US"/>
        </w:rPr>
        <w:t xml:space="preserve"> per cent</w:t>
      </w:r>
      <w:r w:rsidR="00997C90" w:rsidRPr="00225D10">
        <w:rPr>
          <w:lang w:val="en-US"/>
        </w:rPr>
        <w:t xml:space="preserve"> </w:t>
      </w:r>
      <w:r w:rsidRPr="00225D10">
        <w:rPr>
          <w:lang w:val="en-US"/>
        </w:rPr>
        <w:t xml:space="preserve">or 177 per annum) of building approval activity </w:t>
      </w:r>
      <w:r w:rsidR="007367E6" w:rsidRPr="00225D10">
        <w:rPr>
          <w:lang w:val="en-US"/>
        </w:rPr>
        <w:t xml:space="preserve">within the Statistical Local Area of Macedon Ranges </w:t>
      </w:r>
      <w:r w:rsidRPr="00225D10">
        <w:rPr>
          <w:lang w:val="en-US"/>
        </w:rPr>
        <w:t>since July 2006 has been located</w:t>
      </w:r>
      <w:r w:rsidR="00D96A6B" w:rsidRPr="00225D10">
        <w:rPr>
          <w:lang w:val="en-US"/>
        </w:rPr>
        <w:t xml:space="preserve"> in </w:t>
      </w:r>
      <w:r w:rsidRPr="00225D10">
        <w:rPr>
          <w:lang w:val="en-US"/>
        </w:rPr>
        <w:t>the urban areas of Gisborne, Gisborne South, New Gisborne, Woodend and Macedon.</w:t>
      </w:r>
    </w:p>
    <w:p w:rsidR="008A4BC9" w:rsidRPr="00225D10" w:rsidRDefault="008A4BC9" w:rsidP="00D34F87">
      <w:pPr>
        <w:pStyle w:val="ListParagraphSummary"/>
        <w:tabs>
          <w:tab w:val="left" w:pos="8931"/>
        </w:tabs>
        <w:rPr>
          <w:lang w:val="en-US"/>
        </w:rPr>
      </w:pPr>
      <w:r w:rsidRPr="00225D10">
        <w:rPr>
          <w:lang w:val="en-US"/>
        </w:rPr>
        <w:t>The majority (32</w:t>
      </w:r>
      <w:r w:rsidR="00997C90">
        <w:rPr>
          <w:lang w:val="en-US"/>
        </w:rPr>
        <w:t xml:space="preserve"> per cent</w:t>
      </w:r>
      <w:r w:rsidR="00997C90" w:rsidRPr="00225D10">
        <w:rPr>
          <w:lang w:val="en-US"/>
        </w:rPr>
        <w:t xml:space="preserve">) </w:t>
      </w:r>
      <w:r w:rsidRPr="00225D10">
        <w:rPr>
          <w:lang w:val="en-US"/>
        </w:rPr>
        <w:t>of residential lot construction activity was located within Gisborne, followed by Kyneton (17</w:t>
      </w:r>
      <w:r w:rsidR="00997C90">
        <w:rPr>
          <w:lang w:val="en-US"/>
        </w:rPr>
        <w:t xml:space="preserve"> per cent</w:t>
      </w:r>
      <w:r w:rsidR="00997C90" w:rsidRPr="00225D10">
        <w:rPr>
          <w:lang w:val="en-US"/>
        </w:rPr>
        <w:t xml:space="preserve">), </w:t>
      </w:r>
      <w:r w:rsidRPr="00225D10">
        <w:rPr>
          <w:lang w:val="en-US"/>
        </w:rPr>
        <w:t>Riddells Creek (10</w:t>
      </w:r>
      <w:r w:rsidR="00997C90">
        <w:rPr>
          <w:lang w:val="en-US"/>
        </w:rPr>
        <w:t xml:space="preserve"> per cent</w:t>
      </w:r>
      <w:r w:rsidR="00997C90" w:rsidRPr="00225D10">
        <w:rPr>
          <w:lang w:val="en-US"/>
        </w:rPr>
        <w:t xml:space="preserve">) </w:t>
      </w:r>
      <w:r w:rsidRPr="00225D10">
        <w:rPr>
          <w:lang w:val="en-US"/>
        </w:rPr>
        <w:t>and Romsey (9</w:t>
      </w:r>
      <w:r w:rsidR="00997C90">
        <w:rPr>
          <w:lang w:val="en-US"/>
        </w:rPr>
        <w:t xml:space="preserve"> </w:t>
      </w:r>
      <w:r w:rsidR="00817DF4">
        <w:rPr>
          <w:lang w:val="en-US"/>
        </w:rPr>
        <w:t>p</w:t>
      </w:r>
      <w:r w:rsidR="00997C90">
        <w:rPr>
          <w:lang w:val="en-US"/>
        </w:rPr>
        <w:t>er cent</w:t>
      </w:r>
      <w:r w:rsidR="00997C90" w:rsidRPr="00225D10">
        <w:rPr>
          <w:lang w:val="en-US"/>
        </w:rPr>
        <w:t>).</w:t>
      </w:r>
    </w:p>
    <w:p w:rsidR="008A4BC9" w:rsidRPr="001475ED" w:rsidRDefault="008A4BC9" w:rsidP="00D34F87">
      <w:pPr>
        <w:pStyle w:val="bt"/>
        <w:tabs>
          <w:tab w:val="left" w:pos="8931"/>
        </w:tabs>
        <w:rPr>
          <w:rStyle w:val="Strong"/>
        </w:rPr>
      </w:pPr>
      <w:r w:rsidRPr="001475ED">
        <w:rPr>
          <w:rStyle w:val="Strong"/>
        </w:rPr>
        <w:t>Central Goldfields</w:t>
      </w:r>
    </w:p>
    <w:p w:rsidR="0097724B" w:rsidRPr="00225D10" w:rsidRDefault="00414BD0" w:rsidP="00D34F87">
      <w:pPr>
        <w:pStyle w:val="ListParagraphSummary"/>
        <w:tabs>
          <w:tab w:val="left" w:pos="8931"/>
        </w:tabs>
      </w:pPr>
      <w:r w:rsidRPr="00225D10">
        <w:t xml:space="preserve">According to the </w:t>
      </w:r>
      <w:r w:rsidR="004A1CC7" w:rsidRPr="00225D10">
        <w:t>Review of the Central Goldfields Planning Scheme Draft, August 2012, the number of building permits issued for new dwellings in the Shire has fluctuated between 40 and 80 dwellings per annum, with recent strong levels of activity, particularly in Maryborough.</w:t>
      </w:r>
    </w:p>
    <w:p w:rsidR="004A1CC7" w:rsidRPr="00225D10" w:rsidRDefault="004A1CC7" w:rsidP="00D34F87">
      <w:pPr>
        <w:pStyle w:val="ListParagraphSummary"/>
        <w:tabs>
          <w:tab w:val="left" w:pos="8931"/>
        </w:tabs>
      </w:pPr>
      <w:r w:rsidRPr="00225D10">
        <w:lastRenderedPageBreak/>
        <w:t>The number of non-residential building permits issued in the Shire has fluctuated between 2002 and 2011, with a high number of permits issued in the mid 2000’s.</w:t>
      </w:r>
    </w:p>
    <w:p w:rsidR="004A1CC7" w:rsidRPr="00225D10" w:rsidRDefault="004A1CC7" w:rsidP="00D34F87">
      <w:pPr>
        <w:pStyle w:val="ListParagraphSummary"/>
        <w:tabs>
          <w:tab w:val="left" w:pos="8931"/>
        </w:tabs>
      </w:pPr>
      <w:r w:rsidRPr="00225D10">
        <w:t>The value of non-residential works has fluctuated significantly over the period, with an average just under $8 million</w:t>
      </w:r>
      <w:r w:rsidR="004B4815" w:rsidRPr="00225D10">
        <w:t xml:space="preserve"> per annum from 2002 to 2011.</w:t>
      </w:r>
    </w:p>
    <w:p w:rsidR="004B4815" w:rsidRPr="00225D10" w:rsidRDefault="004B4815" w:rsidP="00D34F87">
      <w:pPr>
        <w:pStyle w:val="ListParagraphSummary"/>
        <w:tabs>
          <w:tab w:val="left" w:pos="8931"/>
        </w:tabs>
      </w:pPr>
      <w:r w:rsidRPr="00225D10">
        <w:t xml:space="preserve">There were spikes in 2006 and 2008 </w:t>
      </w:r>
      <w:r w:rsidR="00E97DAB" w:rsidRPr="00225D10">
        <w:t>reflecting the commencement of large individual construction projects in these years.</w:t>
      </w:r>
    </w:p>
    <w:p w:rsidR="00E97DAB" w:rsidRPr="00225D10" w:rsidRDefault="00E97DAB" w:rsidP="00D34F87">
      <w:pPr>
        <w:pStyle w:val="ListParagraphSummary"/>
        <w:tabs>
          <w:tab w:val="left" w:pos="8931"/>
        </w:tabs>
      </w:pPr>
      <w:r w:rsidRPr="00225D10">
        <w:t>On average, approximately 90</w:t>
      </w:r>
      <w:r w:rsidR="00997C90">
        <w:t xml:space="preserve"> per cent</w:t>
      </w:r>
      <w:r w:rsidR="00997C90" w:rsidRPr="00225D10">
        <w:t xml:space="preserve"> </w:t>
      </w:r>
      <w:r w:rsidRPr="00225D10">
        <w:t>of non-residential building works have taken place in Maryborough.</w:t>
      </w:r>
    </w:p>
    <w:p w:rsidR="008A4BC9" w:rsidRPr="001475ED" w:rsidRDefault="008A4BC9" w:rsidP="00D34F87">
      <w:pPr>
        <w:pStyle w:val="bt"/>
        <w:tabs>
          <w:tab w:val="left" w:pos="8931"/>
        </w:tabs>
        <w:rPr>
          <w:rStyle w:val="Strong"/>
        </w:rPr>
      </w:pPr>
      <w:r w:rsidRPr="001475ED">
        <w:rPr>
          <w:rStyle w:val="Strong"/>
        </w:rPr>
        <w:t>Loddon</w:t>
      </w:r>
    </w:p>
    <w:p w:rsidR="00506E34" w:rsidRPr="00225D10" w:rsidRDefault="00506E34" w:rsidP="00D34F87">
      <w:pPr>
        <w:pStyle w:val="ListParagraphSummary"/>
        <w:tabs>
          <w:tab w:val="left" w:pos="8931"/>
        </w:tabs>
      </w:pPr>
      <w:r w:rsidRPr="00225D10">
        <w:t>According to the Loddon Shire Council Rural Zones Review April 2012, Loddon exhibits some significant differences in land use trends between the north and south of the shire. These differences are largely attributed to the different agricultural prospects of these two areas and their relative proximity to Melbourne and Bendigo. The main change in land use apparent in these areas relates to rural farmland being</w:t>
      </w:r>
      <w:r w:rsidR="00B5345F">
        <w:t xml:space="preserve"> converted to rural </w:t>
      </w:r>
      <w:r w:rsidRPr="00225D10">
        <w:t>living, with this trend being stronger in the south.</w:t>
      </w:r>
    </w:p>
    <w:p w:rsidR="00506E34" w:rsidRPr="00225D10" w:rsidRDefault="00B5345F" w:rsidP="00D34F87">
      <w:pPr>
        <w:pStyle w:val="ListParagraphSummary"/>
        <w:tabs>
          <w:tab w:val="left" w:pos="8931"/>
        </w:tabs>
      </w:pPr>
      <w:r>
        <w:t>In</w:t>
      </w:r>
      <w:r w:rsidR="00506E34" w:rsidRPr="00225D10">
        <w:t xml:space="preserve"> 2010/2011 a total of 77 new permit applications were made. </w:t>
      </w:r>
      <w:r>
        <w:t>In</w:t>
      </w:r>
      <w:r w:rsidR="00506E34" w:rsidRPr="00225D10">
        <w:t xml:space="preserve"> 2011/2012 this number increased to 108. Of the 108 permit decisions in 2011/2012, 37 were for a land use change. </w:t>
      </w:r>
    </w:p>
    <w:p w:rsidR="00506E34" w:rsidRPr="00225D10" w:rsidRDefault="00506E34" w:rsidP="00D34F87">
      <w:pPr>
        <w:pStyle w:val="ListParagraphSummary"/>
        <w:tabs>
          <w:tab w:val="left" w:pos="8931"/>
        </w:tabs>
      </w:pPr>
      <w:r w:rsidRPr="00225D10">
        <w:t>In 2011/12 there were 27 additional dwellings approved, and an estimated 21 lots created from subdivision approval.</w:t>
      </w:r>
    </w:p>
    <w:p w:rsidR="001E6C39" w:rsidRDefault="00F57E58" w:rsidP="00D34F87">
      <w:pPr>
        <w:pStyle w:val="bt"/>
        <w:tabs>
          <w:tab w:val="left" w:pos="8931"/>
        </w:tabs>
      </w:pPr>
      <w:r w:rsidRPr="00225D10">
        <w:t>With a high proportion of detached dwellings (both existing and under construction) across the region, intervention may be needed to change the housing mix in some municipalities to meet the needs of future populations.</w:t>
      </w:r>
    </w:p>
    <w:p w:rsidR="00875730" w:rsidRPr="00663F7F" w:rsidRDefault="00875730" w:rsidP="00D34F87">
      <w:pPr>
        <w:pStyle w:val="Heading2"/>
        <w:tabs>
          <w:tab w:val="left" w:pos="8931"/>
        </w:tabs>
        <w:rPr>
          <w:rFonts w:cs="Arial"/>
        </w:rPr>
      </w:pPr>
      <w:bookmarkStart w:id="50" w:name="_Toc374530853"/>
      <w:r w:rsidRPr="00663F7F">
        <w:rPr>
          <w:rFonts w:cs="Arial"/>
        </w:rPr>
        <w:t>Disadvantage</w:t>
      </w:r>
      <w:bookmarkEnd w:id="50"/>
    </w:p>
    <w:p w:rsidR="00875730" w:rsidRPr="00225D10" w:rsidRDefault="00875730" w:rsidP="00D34F87">
      <w:pPr>
        <w:pStyle w:val="bt"/>
        <w:tabs>
          <w:tab w:val="left" w:pos="8931"/>
        </w:tabs>
      </w:pPr>
      <w:r w:rsidRPr="00225D10">
        <w:t xml:space="preserve">The Australian Bureau of Statistics Index of Relative Socio-economic Disadvantage shows the </w:t>
      </w:r>
      <w:r w:rsidR="00556674">
        <w:t xml:space="preserve">Loddon Mallee South </w:t>
      </w:r>
      <w:r w:rsidRPr="00225D10">
        <w:t>region has a number of areas with high level</w:t>
      </w:r>
      <w:r w:rsidR="00D96A6B" w:rsidRPr="00225D10">
        <w:t>s</w:t>
      </w:r>
      <w:r w:rsidRPr="00225D10">
        <w:t xml:space="preserve"> of socio economic disadvantage, characterised by lower levels of income, lower educational attainment, high levels of unemployment and unskilled occupations.  </w:t>
      </w:r>
    </w:p>
    <w:p w:rsidR="00875730" w:rsidRPr="00225D10" w:rsidRDefault="00875730" w:rsidP="00D34F87">
      <w:pPr>
        <w:pStyle w:val="ListParagraphSummary"/>
        <w:tabs>
          <w:tab w:val="left" w:pos="8931"/>
        </w:tabs>
      </w:pPr>
      <w:r w:rsidRPr="00225D10">
        <w:t>Disadvantage is clustered in different localities across the region. Each appears to have a different mix of people. Some are predominantly ag</w:t>
      </w:r>
      <w:r w:rsidR="00D96A6B" w:rsidRPr="00225D10">
        <w:t>e</w:t>
      </w:r>
      <w:r w:rsidRPr="00225D10">
        <w:t>ing populations, some working populations and some concentrations of welfare recipients. Some areas have a significant multicultural mix, while others do not. These differences are the result of economic and demographic changes occurring across the region that are resulting in:</w:t>
      </w:r>
    </w:p>
    <w:p w:rsidR="00875730" w:rsidRPr="00225D10" w:rsidRDefault="00875730" w:rsidP="00D34F87">
      <w:pPr>
        <w:pStyle w:val="ListParagraphSummary"/>
        <w:numPr>
          <w:ilvl w:val="1"/>
          <w:numId w:val="10"/>
        </w:numPr>
        <w:tabs>
          <w:tab w:val="left" w:pos="8931"/>
        </w:tabs>
      </w:pPr>
      <w:r w:rsidRPr="00225D10">
        <w:t>a decrease of economic opportunities for residents in some areas</w:t>
      </w:r>
      <w:r w:rsidR="00D96A6B" w:rsidRPr="00225D10">
        <w:t>,</w:t>
      </w:r>
      <w:r w:rsidRPr="00225D10">
        <w:t xml:space="preserve"> particularly for unskilled workers (of which there is a greater proportion in Loddon Mallee </w:t>
      </w:r>
      <w:r w:rsidR="00D96A6B" w:rsidRPr="00225D10">
        <w:t xml:space="preserve">South </w:t>
      </w:r>
      <w:r w:rsidRPr="00225D10">
        <w:t>– a trend likely to perpetuate due to lower than state average educational outcomes across early years, secondary and tertiary education)</w:t>
      </w:r>
    </w:p>
    <w:p w:rsidR="00875730" w:rsidRPr="00225D10" w:rsidRDefault="00875730" w:rsidP="00D34F87">
      <w:pPr>
        <w:pStyle w:val="ListParagraphSummary"/>
        <w:numPr>
          <w:ilvl w:val="1"/>
          <w:numId w:val="10"/>
        </w:numPr>
        <w:tabs>
          <w:tab w:val="left" w:pos="8931"/>
        </w:tabs>
      </w:pPr>
      <w:r w:rsidRPr="00225D10">
        <w:t xml:space="preserve">population growth, </w:t>
      </w:r>
      <w:r w:rsidR="009B155F" w:rsidRPr="00225D10">
        <w:t xml:space="preserve">decrease </w:t>
      </w:r>
      <w:r w:rsidRPr="00225D10">
        <w:t xml:space="preserve">or change that is causing a need for the restructure of services (putting pressure </w:t>
      </w:r>
      <w:r w:rsidR="00D96A6B" w:rsidRPr="00225D10">
        <w:t xml:space="preserve">on </w:t>
      </w:r>
      <w:r w:rsidRPr="00225D10">
        <w:t>services, creating a need for new services or making services in some areas not viable)</w:t>
      </w:r>
    </w:p>
    <w:p w:rsidR="00875730" w:rsidRPr="00225D10" w:rsidRDefault="00875730" w:rsidP="00D34F87">
      <w:pPr>
        <w:pStyle w:val="ListParagraphSummary"/>
        <w:numPr>
          <w:ilvl w:val="1"/>
          <w:numId w:val="10"/>
        </w:numPr>
        <w:tabs>
          <w:tab w:val="left" w:pos="8931"/>
        </w:tabs>
      </w:pPr>
      <w:r w:rsidRPr="00225D10">
        <w:t>the concentration of disadvantage in certain areas because of rising housing costs in some areas and falling housing prices (trapping residents) in others (</w:t>
      </w:r>
      <w:r w:rsidRPr="00F72376">
        <w:t>Change and disadvantage in the Loddon Mallee region, Victoria</w:t>
      </w:r>
      <w:r w:rsidR="00D96A6B" w:rsidRPr="00F72376">
        <w:t>,</w:t>
      </w:r>
      <w:r w:rsidRPr="00225D10">
        <w:t xml:space="preserve"> </w:t>
      </w:r>
      <w:r w:rsidR="00D96A6B" w:rsidRPr="00225D10">
        <w:t>D</w:t>
      </w:r>
      <w:r w:rsidR="00556674">
        <w:t>epartment of Planning and Community Development</w:t>
      </w:r>
      <w:r w:rsidR="00D96A6B" w:rsidRPr="00225D10">
        <w:rPr>
          <w:i/>
        </w:rPr>
        <w:t xml:space="preserve"> </w:t>
      </w:r>
      <w:r w:rsidR="00D96A6B" w:rsidRPr="00225D10">
        <w:t>2011</w:t>
      </w:r>
      <w:r w:rsidR="00D96A6B" w:rsidRPr="00225D10">
        <w:rPr>
          <w:i/>
        </w:rPr>
        <w:t xml:space="preserve"> </w:t>
      </w:r>
      <w:r w:rsidR="00F72376">
        <w:t xml:space="preserve">page </w:t>
      </w:r>
      <w:r w:rsidRPr="00225D10">
        <w:t>40).</w:t>
      </w:r>
    </w:p>
    <w:p w:rsidR="00877CB8" w:rsidRDefault="00875730" w:rsidP="00D34F87">
      <w:pPr>
        <w:pStyle w:val="bt"/>
        <w:tabs>
          <w:tab w:val="left" w:pos="8931"/>
        </w:tabs>
        <w:rPr>
          <w:lang w:val="en-US"/>
        </w:rPr>
      </w:pPr>
      <w:r w:rsidRPr="00225D10">
        <w:rPr>
          <w:lang w:val="en-US"/>
        </w:rPr>
        <w:t>There are 40 towns or suburbs in the Loddon Mallee South region which are classified as disadvantaged</w:t>
      </w:r>
      <w:r w:rsidR="001F1DA5">
        <w:rPr>
          <w:lang w:val="en-US"/>
        </w:rPr>
        <w:t xml:space="preserve"> (Figure 12)</w:t>
      </w:r>
      <w:r w:rsidRPr="00225D10">
        <w:rPr>
          <w:lang w:val="en-US"/>
        </w:rPr>
        <w:t xml:space="preserve">. </w:t>
      </w:r>
      <w:r w:rsidR="00263F07" w:rsidRPr="00225D10">
        <w:rPr>
          <w:lang w:val="en-US"/>
        </w:rPr>
        <w:t xml:space="preserve">Areas of disadvantage can generally be divided along </w:t>
      </w:r>
      <w:r w:rsidR="00EB5288" w:rsidRPr="00225D10">
        <w:rPr>
          <w:lang w:val="en-US"/>
        </w:rPr>
        <w:t>the Melbourne</w:t>
      </w:r>
      <w:r w:rsidR="00D96A6B" w:rsidRPr="00225D10">
        <w:rPr>
          <w:lang w:val="en-US"/>
        </w:rPr>
        <w:t xml:space="preserve"> to</w:t>
      </w:r>
      <w:r w:rsidR="00EB5288" w:rsidRPr="00225D10">
        <w:rPr>
          <w:lang w:val="en-US"/>
        </w:rPr>
        <w:t xml:space="preserve"> Bendigo </w:t>
      </w:r>
      <w:r w:rsidR="00263F07" w:rsidRPr="00225D10">
        <w:rPr>
          <w:lang w:val="en-US"/>
        </w:rPr>
        <w:t xml:space="preserve">corridor and non-corridor lines with much of the disadvantage located in areas away from the corridor. Disadvantage in the region also coincides with areas </w:t>
      </w:r>
      <w:r w:rsidR="00D96A6B" w:rsidRPr="00225D10">
        <w:rPr>
          <w:lang w:val="en-US"/>
        </w:rPr>
        <w:t>of</w:t>
      </w:r>
      <w:r w:rsidR="00263F07" w:rsidRPr="00225D10">
        <w:rPr>
          <w:lang w:val="en-US"/>
        </w:rPr>
        <w:t xml:space="preserve"> lower population growth. However, t</w:t>
      </w:r>
      <w:r w:rsidRPr="00225D10">
        <w:rPr>
          <w:lang w:val="en-US"/>
        </w:rPr>
        <w:t>here are significant areas of disadvantage in the southern and western suburbs of Bendigo as well as in Heath</w:t>
      </w:r>
      <w:r w:rsidR="00404D01" w:rsidRPr="00225D10">
        <w:rPr>
          <w:lang w:val="en-US"/>
        </w:rPr>
        <w:t>cote, Castlemaine and Kyneton</w:t>
      </w:r>
      <w:r w:rsidR="00660EBD">
        <w:rPr>
          <w:lang w:val="en-US"/>
        </w:rPr>
        <w:t>.</w:t>
      </w:r>
    </w:p>
    <w:p w:rsidR="00404D01" w:rsidRDefault="00877CB8" w:rsidP="00877CB8">
      <w:pPr>
        <w:pStyle w:val="Caption"/>
      </w:pPr>
      <w:bookmarkStart w:id="51" w:name="_Toc374530807"/>
      <w:r>
        <w:rPr>
          <w:noProof/>
        </w:rPr>
        <w:lastRenderedPageBreak/>
        <w:drawing>
          <wp:anchor distT="0" distB="0" distL="114300" distR="114300" simplePos="0" relativeHeight="251685888" behindDoc="0" locked="0" layoutInCell="1" allowOverlap="1">
            <wp:simplePos x="0" y="0"/>
            <wp:positionH relativeFrom="column">
              <wp:posOffset>-131445</wp:posOffset>
            </wp:positionH>
            <wp:positionV relativeFrom="paragraph">
              <wp:posOffset>339725</wp:posOffset>
            </wp:positionV>
            <wp:extent cx="6000750" cy="8483600"/>
            <wp:effectExtent l="19050" t="0" r="0" b="0"/>
            <wp:wrapTopAndBottom/>
            <wp:docPr id="12" name="Picture 1" descr="Map showing Loddon Mallee South Index of Relative Socio-Economic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DPCD Permanent All Staff\Regional Growth Plans\Phase 5 LMS RGP Products\LMS Background Report\Replacement maps\Map12_Pg17 LMS SocioEconomicIndex2006_21November2013.jpg"/>
                    <pic:cNvPicPr>
                      <a:picLocks noChangeAspect="1" noChangeArrowheads="1"/>
                    </pic:cNvPicPr>
                  </pic:nvPicPr>
                  <pic:blipFill>
                    <a:blip r:embed="rId21" cstate="email"/>
                    <a:srcRect/>
                    <a:stretch>
                      <a:fillRect/>
                    </a:stretch>
                  </pic:blipFill>
                  <pic:spPr bwMode="auto">
                    <a:xfrm>
                      <a:off x="0" y="0"/>
                      <a:ext cx="6000750" cy="8483600"/>
                    </a:xfrm>
                    <a:prstGeom prst="rect">
                      <a:avLst/>
                    </a:prstGeom>
                    <a:noFill/>
                    <a:ln w="9525">
                      <a:noFill/>
                      <a:miter lim="800000"/>
                      <a:headEnd/>
                      <a:tailEnd/>
                    </a:ln>
                  </pic:spPr>
                </pic:pic>
              </a:graphicData>
            </a:graphic>
          </wp:anchor>
        </w:drawing>
      </w:r>
      <w:r w:rsidR="00404D01" w:rsidRPr="00225D10">
        <w:t xml:space="preserve">Figure </w:t>
      </w:r>
      <w:r w:rsidR="00162534">
        <w:fldChar w:fldCharType="begin"/>
      </w:r>
      <w:r w:rsidR="00154847">
        <w:instrText xml:space="preserve"> SEQ Figure \* ARABIC </w:instrText>
      </w:r>
      <w:r w:rsidR="00162534">
        <w:fldChar w:fldCharType="separate"/>
      </w:r>
      <w:r w:rsidR="00EF1401">
        <w:rPr>
          <w:noProof/>
        </w:rPr>
        <w:t>12</w:t>
      </w:r>
      <w:r w:rsidR="00162534">
        <w:fldChar w:fldCharType="end"/>
      </w:r>
      <w:r w:rsidR="00377F5C">
        <w:t xml:space="preserve">: </w:t>
      </w:r>
      <w:r w:rsidR="00404D01" w:rsidRPr="00225D10">
        <w:t>Loddon Mallee South Index of Relative Socio-Economic Disadvantage</w:t>
      </w:r>
      <w:bookmarkEnd w:id="51"/>
    </w:p>
    <w:p w:rsidR="00877CB8" w:rsidRDefault="0046416B" w:rsidP="00877CB8">
      <w:pPr>
        <w:pStyle w:val="Source"/>
        <w:tabs>
          <w:tab w:val="left" w:pos="8931"/>
        </w:tabs>
        <w:rPr>
          <w:i w:val="0"/>
        </w:rPr>
      </w:pPr>
      <w:r>
        <w:t>Source: Department of Transport, Planning and Local Infrastructure</w:t>
      </w:r>
      <w:r w:rsidR="00877CB8">
        <w:br w:type="page"/>
      </w:r>
    </w:p>
    <w:p w:rsidR="00A91D0D" w:rsidRPr="00663F7F" w:rsidRDefault="00A91D0D" w:rsidP="00D34F87">
      <w:pPr>
        <w:pStyle w:val="Heading1"/>
        <w:tabs>
          <w:tab w:val="left" w:pos="8931"/>
        </w:tabs>
      </w:pPr>
      <w:bookmarkStart w:id="52" w:name="_Toc352154182"/>
      <w:bookmarkStart w:id="53" w:name="_Toc374530854"/>
      <w:bookmarkEnd w:id="52"/>
      <w:r w:rsidRPr="00663F7F">
        <w:lastRenderedPageBreak/>
        <w:t xml:space="preserve">Economic </w:t>
      </w:r>
      <w:r w:rsidR="007E751B" w:rsidRPr="00663F7F">
        <w:t>h</w:t>
      </w:r>
      <w:r w:rsidRPr="00663F7F">
        <w:t xml:space="preserve">ealth and </w:t>
      </w:r>
      <w:r w:rsidR="007E751B" w:rsidRPr="00663F7F">
        <w:t>g</w:t>
      </w:r>
      <w:r w:rsidRPr="00663F7F">
        <w:t>rowth</w:t>
      </w:r>
      <w:bookmarkEnd w:id="53"/>
    </w:p>
    <w:p w:rsidR="004A1FF9" w:rsidRDefault="00BD072D">
      <w:pPr>
        <w:pStyle w:val="Heading4"/>
      </w:pPr>
      <w:r>
        <w:t>Key findings – Economic health and growth</w:t>
      </w:r>
    </w:p>
    <w:p w:rsidR="00FF1D8F" w:rsidRDefault="00FF1D8F" w:rsidP="00D34F87">
      <w:pPr>
        <w:pStyle w:val="ListParagraphSummary"/>
        <w:shd w:val="clear" w:color="auto" w:fill="F5EEC3"/>
        <w:tabs>
          <w:tab w:val="left" w:pos="8931"/>
        </w:tabs>
      </w:pPr>
      <w:r>
        <w:t>The Loddon Mallee South region has a strong relationship with the Loddon Mallee North region, particularly via the Calder corridor, a significant transport route for freight and domestic travel within Victoria and beyond to New South Wales and South Australia. Ease of access to and from Melbourne provides a competitive advantage to the region.</w:t>
      </w:r>
    </w:p>
    <w:p w:rsidR="00FF1D8F" w:rsidRDefault="00FF1D8F" w:rsidP="00D34F87">
      <w:pPr>
        <w:pStyle w:val="ListParagraphSummary"/>
        <w:shd w:val="clear" w:color="auto" w:fill="F5EEC3"/>
        <w:tabs>
          <w:tab w:val="left" w:pos="8931"/>
        </w:tabs>
      </w:pPr>
      <w:r>
        <w:t>The region is undergoing economic change, with the structure of employment having changed significantly. Retail, health and manufacturing are now the dominant industry employment sectors.</w:t>
      </w:r>
    </w:p>
    <w:p w:rsidR="00FF1D8F" w:rsidRDefault="00FF1D8F" w:rsidP="00D34F87">
      <w:pPr>
        <w:pStyle w:val="ListParagraphSummary"/>
        <w:shd w:val="clear" w:color="auto" w:fill="F5EEC3"/>
        <w:tabs>
          <w:tab w:val="left" w:pos="8931"/>
        </w:tabs>
      </w:pPr>
      <w:r>
        <w:t>From 2011 to 2031, the regional employment profile is projected to be heavily concentrated in the services sector – the projected top five employment sectors for the region are healthcare, retail trade, accommodation and food services (including tourism), education and construction. By 2031, these top five sectors are projected to account for 59</w:t>
      </w:r>
      <w:r w:rsidR="00997C90">
        <w:t xml:space="preserve"> per cent </w:t>
      </w:r>
      <w:r>
        <w:t>of total employment in the region.</w:t>
      </w:r>
    </w:p>
    <w:p w:rsidR="00FF1D8F" w:rsidRDefault="00FF1D8F" w:rsidP="00D34F87">
      <w:pPr>
        <w:pStyle w:val="ListParagraphSummary"/>
        <w:shd w:val="clear" w:color="auto" w:fill="F5EEC3"/>
        <w:tabs>
          <w:tab w:val="left" w:pos="8931"/>
        </w:tabs>
      </w:pPr>
      <w:r>
        <w:t>Rural production is a significant contributor to the economy, although the nature of agriculture is changing. Climate change may impact on the agricultural sector, potentially changing the mix of agricultural enterprises in the region.</w:t>
      </w:r>
    </w:p>
    <w:p w:rsidR="00FF1D8F" w:rsidRDefault="00FF1D8F" w:rsidP="00D34F87">
      <w:pPr>
        <w:pStyle w:val="ListParagraphSummary"/>
        <w:shd w:val="clear" w:color="auto" w:fill="F5EEC3"/>
        <w:tabs>
          <w:tab w:val="left" w:pos="8931"/>
        </w:tabs>
      </w:pPr>
      <w:r>
        <w:t>There is a high rate of commuting to work outside of Macedon Ranges.</w:t>
      </w:r>
    </w:p>
    <w:p w:rsidR="00FF1D8F" w:rsidRDefault="00FF1D8F" w:rsidP="00D34F87">
      <w:pPr>
        <w:pStyle w:val="ListParagraphSummary"/>
        <w:shd w:val="clear" w:color="auto" w:fill="F5EEC3"/>
        <w:tabs>
          <w:tab w:val="left" w:pos="8931"/>
        </w:tabs>
      </w:pPr>
      <w:r>
        <w:t xml:space="preserve">Growth of the region’s population by 120,000 people will mean approximately 48,000 extra jobs will be required across the region. </w:t>
      </w:r>
    </w:p>
    <w:p w:rsidR="00FF1D8F" w:rsidRDefault="00FF1D8F" w:rsidP="00D34F87">
      <w:pPr>
        <w:pStyle w:val="ListParagraphSummary"/>
        <w:shd w:val="clear" w:color="auto" w:fill="F5EEC3"/>
        <w:tabs>
          <w:tab w:val="left" w:pos="8931"/>
        </w:tabs>
      </w:pPr>
      <w:r>
        <w:t>Most of the output and employment growth is expected to be in Bendigo and Macedon Ranges, leaving other municipalities such as Loddon and Central Goldfields economically vulnerable in the medium</w:t>
      </w:r>
      <w:r w:rsidR="0051171F">
        <w:t>-</w:t>
      </w:r>
      <w:r>
        <w:t>to long</w:t>
      </w:r>
      <w:r w:rsidR="00556674">
        <w:t>-</w:t>
      </w:r>
      <w:r>
        <w:t>term.</w:t>
      </w:r>
    </w:p>
    <w:p w:rsidR="00FF1D8F" w:rsidRDefault="00FF1D8F" w:rsidP="00D34F87">
      <w:pPr>
        <w:pStyle w:val="ListParagraphSummary"/>
        <w:shd w:val="clear" w:color="auto" w:fill="F5EEC3"/>
        <w:tabs>
          <w:tab w:val="left" w:pos="8931"/>
        </w:tabs>
      </w:pPr>
      <w:r>
        <w:t>The comparative affordability of housing to Melbourne is a population attractor.</w:t>
      </w:r>
    </w:p>
    <w:p w:rsidR="00FF1D8F" w:rsidRDefault="00FF1D8F" w:rsidP="00D34F87">
      <w:pPr>
        <w:pStyle w:val="ListParagraphSummary"/>
        <w:shd w:val="clear" w:color="auto" w:fill="F5EEC3"/>
        <w:tabs>
          <w:tab w:val="left" w:pos="8931"/>
        </w:tabs>
      </w:pPr>
      <w:r>
        <w:t>Due to its environmental and heritage assets, including landscapes and lifestyle opportunities, the region is a key tourist destination and recreation area for metropolitan residents.</w:t>
      </w:r>
    </w:p>
    <w:p w:rsidR="00FF1D8F" w:rsidRDefault="00FF1D8F" w:rsidP="00D34F87">
      <w:pPr>
        <w:pStyle w:val="ListParagraphSummary"/>
        <w:shd w:val="clear" w:color="auto" w:fill="F5EEC3"/>
        <w:tabs>
          <w:tab w:val="left" w:pos="8931"/>
        </w:tabs>
      </w:pPr>
      <w:r>
        <w:t>Large capital projects create jobs within the region while also bringing an economic benefit to local communities. Future capital projects within the region will strengthen infrastructure and services while boosting local economies.</w:t>
      </w:r>
    </w:p>
    <w:p w:rsidR="00523480" w:rsidRPr="00200DF9" w:rsidRDefault="00FF1D8F" w:rsidP="00D34F87">
      <w:pPr>
        <w:shd w:val="clear" w:color="auto" w:fill="F5EEC3"/>
        <w:tabs>
          <w:tab w:val="left" w:pos="8931"/>
        </w:tabs>
        <w:rPr>
          <w:rFonts w:cstheme="minorHAnsi"/>
          <w:szCs w:val="20"/>
        </w:rPr>
      </w:pPr>
      <w:r w:rsidRPr="00200DF9">
        <w:rPr>
          <w:rFonts w:cstheme="minorHAnsi"/>
          <w:szCs w:val="20"/>
        </w:rPr>
        <w:t>Note: Compelling Economics is undertaking a propulsive economic study within the Loddon Mallee South region. As the name suggests the study will identify new and fast growing industries across a variety of sectors.</w:t>
      </w:r>
    </w:p>
    <w:p w:rsidR="004A1FF9" w:rsidRDefault="00BD072D">
      <w:pPr>
        <w:pStyle w:val="Heading4"/>
        <w:rPr>
          <w:sz w:val="20"/>
        </w:rPr>
      </w:pPr>
      <w:r w:rsidRPr="00BD072D">
        <w:rPr>
          <w:sz w:val="20"/>
        </w:rPr>
        <w:t>Key implications</w:t>
      </w:r>
    </w:p>
    <w:p w:rsidR="00DE415E" w:rsidRDefault="00DE415E" w:rsidP="00D34F87">
      <w:pPr>
        <w:pStyle w:val="ListParagraphSummary"/>
        <w:shd w:val="clear" w:color="auto" w:fill="F5EEC3"/>
        <w:tabs>
          <w:tab w:val="left" w:pos="8931"/>
        </w:tabs>
      </w:pPr>
      <w:r>
        <w:t>Growth pressures on towns may result in some towns not being able to accommodate the anticipated amount of population growth.</w:t>
      </w:r>
    </w:p>
    <w:p w:rsidR="00DE415E" w:rsidRDefault="00DE415E" w:rsidP="00D34F87">
      <w:pPr>
        <w:pStyle w:val="ListParagraphSummary"/>
        <w:shd w:val="clear" w:color="auto" w:fill="F5EEC3"/>
        <w:tabs>
          <w:tab w:val="left" w:pos="8931"/>
        </w:tabs>
      </w:pPr>
      <w:r>
        <w:t>There could be an insufficient labour force to support the ageing population, as there is likely to be a high dependency ratio</w:t>
      </w:r>
      <w:r w:rsidR="00817DF4">
        <w:t>,</w:t>
      </w:r>
      <w:r>
        <w:t xml:space="preserve"> the ratio of young children and post-retirement age adults to working age residents. </w:t>
      </w:r>
    </w:p>
    <w:p w:rsidR="00DE415E" w:rsidRDefault="00DE415E" w:rsidP="00D34F87">
      <w:pPr>
        <w:pStyle w:val="ListParagraphSummary"/>
        <w:shd w:val="clear" w:color="auto" w:fill="F5EEC3"/>
        <w:tabs>
          <w:tab w:val="left" w:pos="8931"/>
        </w:tabs>
      </w:pPr>
      <w:r>
        <w:t>There may be opportunities to further capitalise on the benefits provided by strong transport links throughout the region.</w:t>
      </w:r>
    </w:p>
    <w:p w:rsidR="00DE415E" w:rsidRDefault="00DE415E" w:rsidP="00D34F87">
      <w:pPr>
        <w:pStyle w:val="ListParagraphSummary"/>
        <w:shd w:val="clear" w:color="auto" w:fill="F5EEC3"/>
        <w:tabs>
          <w:tab w:val="left" w:pos="8931"/>
        </w:tabs>
      </w:pPr>
      <w:r>
        <w:t>Increased economic activity and a diversity of jobs within the region would create further opportunities to live and work within the region as an alternative to Melbourne.</w:t>
      </w:r>
    </w:p>
    <w:p w:rsidR="00DE415E" w:rsidRDefault="00DE415E" w:rsidP="00D34F87">
      <w:pPr>
        <w:pStyle w:val="ListParagraphSummary"/>
        <w:shd w:val="clear" w:color="auto" w:fill="F5EEC3"/>
        <w:tabs>
          <w:tab w:val="left" w:pos="8931"/>
        </w:tabs>
      </w:pPr>
      <w:r>
        <w:t>Further supplies of industrial, commercial and retail land will be needed to service a population increase of 120,000 people.</w:t>
      </w:r>
    </w:p>
    <w:p w:rsidR="002F3DF2" w:rsidRDefault="00DE415E" w:rsidP="00D34F87">
      <w:pPr>
        <w:pStyle w:val="ListParagraphSummary"/>
        <w:shd w:val="clear" w:color="auto" w:fill="F5EEC3"/>
        <w:tabs>
          <w:tab w:val="left" w:pos="8931"/>
        </w:tabs>
      </w:pPr>
      <w:r>
        <w:t>The siting, form and management of future urban and rural living settlement growth should consider the impacts to existing (and potential future) industries and environmental assets</w:t>
      </w:r>
      <w:r w:rsidR="0066264C">
        <w:t xml:space="preserve"> and the risks from natural hazards, especially bushfire and flood,</w:t>
      </w:r>
      <w:r>
        <w:t xml:space="preserve"> in both planning and implementation.</w:t>
      </w:r>
    </w:p>
    <w:p w:rsidR="004A1FF9" w:rsidRDefault="00BD072D">
      <w:pPr>
        <w:pStyle w:val="Heading4"/>
      </w:pPr>
      <w:r>
        <w:t>Key challenges</w:t>
      </w:r>
    </w:p>
    <w:p w:rsidR="00BB412E" w:rsidRDefault="00BB412E" w:rsidP="00D34F87">
      <w:pPr>
        <w:pStyle w:val="ListParagraphSummary"/>
        <w:shd w:val="clear" w:color="auto" w:fill="F5EEC3"/>
        <w:tabs>
          <w:tab w:val="left" w:pos="8931"/>
        </w:tabs>
      </w:pPr>
      <w:r>
        <w:t>Creating new economic activity and diversifying the economy such as expanding the tourism industry.</w:t>
      </w:r>
    </w:p>
    <w:p w:rsidR="00BB412E" w:rsidRDefault="00BB412E" w:rsidP="00D34F87">
      <w:pPr>
        <w:pStyle w:val="ListParagraphSummary"/>
        <w:shd w:val="clear" w:color="auto" w:fill="F5EEC3"/>
        <w:tabs>
          <w:tab w:val="left" w:pos="8931"/>
        </w:tabs>
      </w:pPr>
      <w:r>
        <w:t>Providing new local jobs to keep pace with population growth, to reduce the level of commuting to Melbourne, and to ensure communities are economically, socially and environmentally sustainable.</w:t>
      </w:r>
    </w:p>
    <w:p w:rsidR="00BB412E" w:rsidRDefault="00BB412E" w:rsidP="00D34F87">
      <w:pPr>
        <w:pStyle w:val="ListParagraphSummary"/>
        <w:shd w:val="clear" w:color="auto" w:fill="F5EEC3"/>
        <w:tabs>
          <w:tab w:val="left" w:pos="8931"/>
        </w:tabs>
      </w:pPr>
      <w:r>
        <w:t>Leveraging from and expanding the health, education and professional services sectors, and further developing the tourism sector.</w:t>
      </w:r>
    </w:p>
    <w:p w:rsidR="00BB412E" w:rsidRDefault="00BB412E" w:rsidP="00D34F87">
      <w:pPr>
        <w:pStyle w:val="ListParagraphSummary"/>
        <w:shd w:val="clear" w:color="auto" w:fill="F5EEC3"/>
        <w:tabs>
          <w:tab w:val="left" w:pos="8931"/>
        </w:tabs>
      </w:pPr>
      <w:r>
        <w:t>Attracting and retaining a skilled workforce.</w:t>
      </w:r>
    </w:p>
    <w:p w:rsidR="00BB412E" w:rsidRDefault="00BB412E" w:rsidP="00D34F87">
      <w:pPr>
        <w:pStyle w:val="ListParagraphSummary"/>
        <w:shd w:val="clear" w:color="auto" w:fill="F5EEC3"/>
        <w:tabs>
          <w:tab w:val="left" w:pos="8931"/>
        </w:tabs>
      </w:pPr>
      <w:r>
        <w:t>Planning for land supply and potential locations for industry, especially new and fast growing industries, and protecting existing industry from population and land use changes.</w:t>
      </w:r>
    </w:p>
    <w:p w:rsidR="00BB412E" w:rsidRDefault="00BB412E" w:rsidP="00D34F87">
      <w:pPr>
        <w:pStyle w:val="ListParagraphSummary"/>
        <w:shd w:val="clear" w:color="auto" w:fill="F5EEC3"/>
        <w:tabs>
          <w:tab w:val="left" w:pos="8931"/>
        </w:tabs>
      </w:pPr>
      <w:r>
        <w:lastRenderedPageBreak/>
        <w:t>Identifying additional well-sited commercial and retail land.</w:t>
      </w:r>
    </w:p>
    <w:p w:rsidR="00BB412E" w:rsidRDefault="00BB412E" w:rsidP="00D34F87">
      <w:pPr>
        <w:pStyle w:val="ListParagraphSummary"/>
        <w:shd w:val="clear" w:color="auto" w:fill="F5EEC3"/>
        <w:tabs>
          <w:tab w:val="left" w:pos="8931"/>
        </w:tabs>
      </w:pPr>
      <w:r>
        <w:t xml:space="preserve">Maintaining prosperous and sustainable </w:t>
      </w:r>
      <w:r w:rsidR="006E7E28">
        <w:t>agriculture</w:t>
      </w:r>
      <w:r>
        <w:t xml:space="preserve"> and ensuring zones support agricultural practices and can enable adaptation</w:t>
      </w:r>
      <w:r w:rsidR="00817DF4">
        <w:t>,</w:t>
      </w:r>
      <w:r>
        <w:t xml:space="preserve"> </w:t>
      </w:r>
      <w:r w:rsidR="00C9727F">
        <w:t>for example,</w:t>
      </w:r>
      <w:r>
        <w:t xml:space="preserve"> to climate change.</w:t>
      </w:r>
    </w:p>
    <w:p w:rsidR="00BB412E" w:rsidRDefault="00BB412E" w:rsidP="00D34F87">
      <w:pPr>
        <w:pStyle w:val="ListParagraphSummary"/>
        <w:shd w:val="clear" w:color="auto" w:fill="F5EEC3"/>
        <w:tabs>
          <w:tab w:val="left" w:pos="8931"/>
        </w:tabs>
      </w:pPr>
      <w:r>
        <w:t xml:space="preserve">Limiting the impacts of population growth and land fragmentation on rural production areas. </w:t>
      </w:r>
    </w:p>
    <w:p w:rsidR="00BB412E" w:rsidRDefault="00BB412E" w:rsidP="00D34F87">
      <w:pPr>
        <w:pStyle w:val="ListParagraphSummary"/>
        <w:shd w:val="clear" w:color="auto" w:fill="F5EEC3"/>
        <w:tabs>
          <w:tab w:val="left" w:pos="8931"/>
        </w:tabs>
      </w:pPr>
      <w:r>
        <w:t>Limiting the impacts of population growth and land fragmentation on environmentally sensitive areas</w:t>
      </w:r>
      <w:r w:rsidR="00C44BC8">
        <w:t>.</w:t>
      </w:r>
    </w:p>
    <w:p w:rsidR="0066264C" w:rsidRDefault="0066264C" w:rsidP="00D34F87">
      <w:pPr>
        <w:pStyle w:val="ListParagraphSummary"/>
        <w:shd w:val="clear" w:color="auto" w:fill="F5EEC3"/>
        <w:tabs>
          <w:tab w:val="left" w:pos="8931"/>
        </w:tabs>
      </w:pPr>
      <w:r>
        <w:t>Managing the risks to settlements from natural hazards, especially bushfire and flood, whil</w:t>
      </w:r>
      <w:r w:rsidR="00556674">
        <w:t>e</w:t>
      </w:r>
      <w:r>
        <w:t xml:space="preserve"> enabling population growth</w:t>
      </w:r>
      <w:r w:rsidR="00C44BC8">
        <w:t>.</w:t>
      </w:r>
    </w:p>
    <w:p w:rsidR="00BB412E" w:rsidRDefault="00BB412E" w:rsidP="00D34F87">
      <w:pPr>
        <w:pStyle w:val="ListParagraphSummary"/>
        <w:shd w:val="clear" w:color="auto" w:fill="F5EEC3"/>
        <w:tabs>
          <w:tab w:val="left" w:pos="8931"/>
        </w:tabs>
      </w:pPr>
      <w:r>
        <w:t>Introducing flexibility and adaptation to support the ongoing viability of agriculture.</w:t>
      </w:r>
    </w:p>
    <w:p w:rsidR="00BB412E" w:rsidRDefault="00BB412E" w:rsidP="00D34F87">
      <w:pPr>
        <w:pStyle w:val="ListParagraphSummary"/>
        <w:shd w:val="clear" w:color="auto" w:fill="F5EEC3"/>
        <w:tabs>
          <w:tab w:val="left" w:pos="8931"/>
        </w:tabs>
      </w:pPr>
      <w:r>
        <w:t>Ensuring that land use planning aids rather than hinders economic development.</w:t>
      </w:r>
    </w:p>
    <w:p w:rsidR="00BB412E" w:rsidRDefault="00BB412E" w:rsidP="00D34F87">
      <w:pPr>
        <w:pStyle w:val="ListParagraphSummary"/>
        <w:shd w:val="clear" w:color="auto" w:fill="F5EEC3"/>
        <w:tabs>
          <w:tab w:val="left" w:pos="8931"/>
        </w:tabs>
      </w:pPr>
      <w:r>
        <w:t>Managing the uneven distribution of both population and economic growth across the region.</w:t>
      </w:r>
    </w:p>
    <w:p w:rsidR="002F3DF2" w:rsidRDefault="00BB412E" w:rsidP="00D34F87">
      <w:pPr>
        <w:pStyle w:val="ListParagraphSummary"/>
        <w:shd w:val="clear" w:color="auto" w:fill="F5EEC3"/>
        <w:tabs>
          <w:tab w:val="left" w:pos="8931"/>
        </w:tabs>
      </w:pPr>
      <w:r>
        <w:t>Identifying further tourism opportunities and niche markets by capitalising on the region’s strengths in heritage, agriculture and na</w:t>
      </w:r>
      <w:r w:rsidR="00523480">
        <w:t>tural environments</w:t>
      </w:r>
      <w:r w:rsidR="00C44BC8">
        <w:t>.</w:t>
      </w:r>
    </w:p>
    <w:p w:rsidR="00B079AE" w:rsidRPr="00663F7F" w:rsidRDefault="00B079AE" w:rsidP="00D34F87">
      <w:pPr>
        <w:pStyle w:val="Heading2"/>
        <w:tabs>
          <w:tab w:val="left" w:pos="8931"/>
        </w:tabs>
        <w:rPr>
          <w:rFonts w:cs="Arial"/>
        </w:rPr>
      </w:pPr>
      <w:bookmarkStart w:id="54" w:name="_Toc374530855"/>
      <w:r w:rsidRPr="00663F7F">
        <w:rPr>
          <w:rFonts w:cs="Arial"/>
        </w:rPr>
        <w:t xml:space="preserve">Economic </w:t>
      </w:r>
      <w:r w:rsidR="00736703" w:rsidRPr="00663F7F">
        <w:rPr>
          <w:rFonts w:cs="Arial"/>
        </w:rPr>
        <w:t>s</w:t>
      </w:r>
      <w:r w:rsidR="007B52D4" w:rsidRPr="00663F7F">
        <w:rPr>
          <w:rFonts w:cs="Arial"/>
        </w:rPr>
        <w:t>ectors</w:t>
      </w:r>
      <w:bookmarkEnd w:id="54"/>
    </w:p>
    <w:p w:rsidR="00E15D62" w:rsidRPr="00225D10" w:rsidRDefault="00D820B7" w:rsidP="00D34F87">
      <w:pPr>
        <w:pStyle w:val="bt"/>
        <w:tabs>
          <w:tab w:val="left" w:pos="8931"/>
        </w:tabs>
      </w:pPr>
      <w:r w:rsidRPr="00225D10">
        <w:t xml:space="preserve">Diversity and strength is a characteristic of the </w:t>
      </w:r>
      <w:r w:rsidR="000C5D32" w:rsidRPr="00225D10">
        <w:t xml:space="preserve">Loddon Mallee South regional </w:t>
      </w:r>
      <w:r w:rsidRPr="00225D10">
        <w:t xml:space="preserve">economy. </w:t>
      </w:r>
      <w:r w:rsidR="000C5D32" w:rsidRPr="00225D10">
        <w:t>Some of the region’s c</w:t>
      </w:r>
      <w:r w:rsidR="00E15D62" w:rsidRPr="00225D10">
        <w:t>ompetitive advantages when attracting businesses and industries include:</w:t>
      </w:r>
    </w:p>
    <w:p w:rsidR="00E15D62" w:rsidRPr="00225D10" w:rsidRDefault="005209B1" w:rsidP="00D34F87">
      <w:pPr>
        <w:pStyle w:val="ListParagraphSummary"/>
        <w:tabs>
          <w:tab w:val="left" w:pos="8931"/>
        </w:tabs>
      </w:pPr>
      <w:r w:rsidRPr="00225D10">
        <w:t>a</w:t>
      </w:r>
      <w:r w:rsidR="00E15D62" w:rsidRPr="00225D10">
        <w:t>ccess to raw materials</w:t>
      </w:r>
      <w:r w:rsidR="0066264C">
        <w:t xml:space="preserve"> (including mineral, sand and stone resources and timber)</w:t>
      </w:r>
    </w:p>
    <w:p w:rsidR="00E15D62" w:rsidRPr="00225D10" w:rsidRDefault="005209B1" w:rsidP="00D34F87">
      <w:pPr>
        <w:pStyle w:val="ListParagraphSummary"/>
        <w:tabs>
          <w:tab w:val="left" w:pos="8931"/>
        </w:tabs>
      </w:pPr>
      <w:r w:rsidRPr="00225D10">
        <w:t>u</w:t>
      </w:r>
      <w:r w:rsidR="00E15D62" w:rsidRPr="00225D10">
        <w:t>tilising the agricultural products of the region</w:t>
      </w:r>
      <w:r w:rsidR="007B4352" w:rsidRPr="00225D10">
        <w:t xml:space="preserve"> and nearby regions</w:t>
      </w:r>
    </w:p>
    <w:p w:rsidR="00E15D62" w:rsidRPr="00225D10" w:rsidRDefault="000C5D32" w:rsidP="00D34F87">
      <w:pPr>
        <w:pStyle w:val="ListParagraphSummary"/>
        <w:tabs>
          <w:tab w:val="left" w:pos="8931"/>
        </w:tabs>
      </w:pPr>
      <w:r w:rsidRPr="00225D10">
        <w:t>i</w:t>
      </w:r>
      <w:r w:rsidR="00E15D62" w:rsidRPr="00225D10">
        <w:t>nvestment security offered in the region</w:t>
      </w:r>
      <w:r w:rsidR="00F91E3F">
        <w:t>,</w:t>
      </w:r>
      <w:r w:rsidR="00E15D62" w:rsidRPr="00225D10">
        <w:t xml:space="preserve"> </w:t>
      </w:r>
      <w:r w:rsidR="00997C90">
        <w:t>for example,</w:t>
      </w:r>
      <w:r w:rsidRPr="00225D10">
        <w:t xml:space="preserve"> </w:t>
      </w:r>
      <w:r w:rsidR="00E15D62" w:rsidRPr="00225D10">
        <w:t>biosecurity, potential for growth and expansion, and access to support services</w:t>
      </w:r>
    </w:p>
    <w:p w:rsidR="00E15D62" w:rsidRPr="00225D10" w:rsidRDefault="000C5D32" w:rsidP="00D34F87">
      <w:pPr>
        <w:pStyle w:val="ListParagraphSummary"/>
        <w:tabs>
          <w:tab w:val="left" w:pos="8931"/>
        </w:tabs>
      </w:pPr>
      <w:r w:rsidRPr="00225D10">
        <w:t>s</w:t>
      </w:r>
      <w:r w:rsidR="00E15D62" w:rsidRPr="00225D10">
        <w:t xml:space="preserve">upply chain linkages </w:t>
      </w:r>
      <w:r w:rsidR="007B4352" w:rsidRPr="00225D10">
        <w:t>with</w:t>
      </w:r>
      <w:r w:rsidR="00E15D62" w:rsidRPr="00225D10">
        <w:t>in the region</w:t>
      </w:r>
      <w:r w:rsidR="007B4352" w:rsidRPr="00225D10">
        <w:t xml:space="preserve"> and to other regions and Melbourne</w:t>
      </w:r>
    </w:p>
    <w:p w:rsidR="00147B38" w:rsidRPr="00225D10" w:rsidRDefault="000C5D32" w:rsidP="00D34F87">
      <w:pPr>
        <w:pStyle w:val="ListParagraphSummary"/>
        <w:tabs>
          <w:tab w:val="left" w:pos="8931"/>
        </w:tabs>
      </w:pPr>
      <w:proofErr w:type="gramStart"/>
      <w:r w:rsidRPr="00225D10">
        <w:t>t</w:t>
      </w:r>
      <w:r w:rsidR="00147B38" w:rsidRPr="00225D10">
        <w:t>ourism</w:t>
      </w:r>
      <w:proofErr w:type="gramEnd"/>
      <w:r w:rsidR="00147B38" w:rsidRPr="00225D10">
        <w:t xml:space="preserve"> associated with history and heritage, arts, culture, food and wine</w:t>
      </w:r>
      <w:r w:rsidRPr="00225D10">
        <w:t>.</w:t>
      </w:r>
    </w:p>
    <w:p w:rsidR="00D820B7" w:rsidRPr="00225D10" w:rsidRDefault="00D820B7" w:rsidP="00D34F87">
      <w:pPr>
        <w:pStyle w:val="bt"/>
        <w:tabs>
          <w:tab w:val="left" w:pos="8931"/>
        </w:tabs>
      </w:pPr>
      <w:r w:rsidRPr="00225D10">
        <w:t xml:space="preserve">The key </w:t>
      </w:r>
      <w:r w:rsidR="00E86B85" w:rsidRPr="00225D10">
        <w:t xml:space="preserve">economic </w:t>
      </w:r>
      <w:r w:rsidRPr="00225D10">
        <w:t xml:space="preserve">sectors </w:t>
      </w:r>
      <w:r w:rsidR="00E86B85" w:rsidRPr="00225D10">
        <w:t xml:space="preserve">in the region </w:t>
      </w:r>
      <w:r w:rsidRPr="00225D10">
        <w:t>are:</w:t>
      </w:r>
    </w:p>
    <w:p w:rsidR="00D820B7" w:rsidRPr="00225D10" w:rsidRDefault="000C5D32" w:rsidP="00D34F87">
      <w:pPr>
        <w:pStyle w:val="ListParagraphSummary"/>
        <w:tabs>
          <w:tab w:val="left" w:pos="8931"/>
        </w:tabs>
      </w:pPr>
      <w:r w:rsidRPr="00225D10">
        <w:t>t</w:t>
      </w:r>
      <w:r w:rsidR="00D820B7" w:rsidRPr="00225D10">
        <w:t xml:space="preserve">ourism </w:t>
      </w:r>
      <w:r w:rsidRPr="00225D10">
        <w:t xml:space="preserve">– </w:t>
      </w:r>
      <w:r w:rsidR="00D820B7" w:rsidRPr="00225D10">
        <w:t xml:space="preserve">associated with goldfields heritage </w:t>
      </w:r>
    </w:p>
    <w:p w:rsidR="00D820B7" w:rsidRPr="00225D10" w:rsidRDefault="000C5D32" w:rsidP="00D34F87">
      <w:pPr>
        <w:pStyle w:val="ListParagraphSummary"/>
        <w:tabs>
          <w:tab w:val="left" w:pos="8931"/>
        </w:tabs>
      </w:pPr>
      <w:r w:rsidRPr="00225D10">
        <w:t>h</w:t>
      </w:r>
      <w:r w:rsidR="00D820B7" w:rsidRPr="00225D10">
        <w:t xml:space="preserve">igh value agriculture </w:t>
      </w:r>
      <w:r w:rsidRPr="00225D10">
        <w:t xml:space="preserve">– </w:t>
      </w:r>
      <w:r w:rsidR="00D820B7" w:rsidRPr="00225D10">
        <w:t>poultry and equine</w:t>
      </w:r>
    </w:p>
    <w:p w:rsidR="00D820B7" w:rsidRPr="00225D10" w:rsidRDefault="000C5D32" w:rsidP="00D34F87">
      <w:pPr>
        <w:pStyle w:val="ListParagraphSummary"/>
        <w:tabs>
          <w:tab w:val="left" w:pos="8931"/>
        </w:tabs>
      </w:pPr>
      <w:r w:rsidRPr="00225D10">
        <w:t>m</w:t>
      </w:r>
      <w:r w:rsidR="00D820B7" w:rsidRPr="00225D10">
        <w:t>anufacturing</w:t>
      </w:r>
      <w:r w:rsidRPr="00225D10">
        <w:t xml:space="preserve"> – </w:t>
      </w:r>
      <w:r w:rsidR="00D820B7" w:rsidRPr="00225D10">
        <w:t>metals and engineering, building products, food processing and transport</w:t>
      </w:r>
    </w:p>
    <w:p w:rsidR="00D820B7" w:rsidRPr="00225D10" w:rsidRDefault="000C5D32" w:rsidP="00D34F87">
      <w:pPr>
        <w:pStyle w:val="ListParagraphSummary"/>
        <w:tabs>
          <w:tab w:val="left" w:pos="8931"/>
        </w:tabs>
      </w:pPr>
      <w:r w:rsidRPr="00225D10">
        <w:t>b</w:t>
      </w:r>
      <w:r w:rsidR="00D820B7" w:rsidRPr="00225D10">
        <w:t>usiness and financial services</w:t>
      </w:r>
      <w:r w:rsidRPr="00225D10">
        <w:t xml:space="preserve"> – </w:t>
      </w:r>
      <w:r w:rsidR="00D820B7" w:rsidRPr="00225D10">
        <w:t>particularly in Bendigo</w:t>
      </w:r>
    </w:p>
    <w:p w:rsidR="002A5AB0" w:rsidRPr="001E6C39" w:rsidRDefault="000C5D32" w:rsidP="00D34F87">
      <w:pPr>
        <w:pStyle w:val="ListParagraphSummary"/>
        <w:tabs>
          <w:tab w:val="left" w:pos="8931"/>
        </w:tabs>
      </w:pPr>
      <w:proofErr w:type="gramStart"/>
      <w:r w:rsidRPr="00225D10">
        <w:t>h</w:t>
      </w:r>
      <w:r w:rsidR="00D820B7" w:rsidRPr="00225D10">
        <w:t>igh</w:t>
      </w:r>
      <w:proofErr w:type="gramEnd"/>
      <w:r w:rsidR="00D820B7" w:rsidRPr="00225D10">
        <w:t xml:space="preserve"> quality health and education services</w:t>
      </w:r>
      <w:r w:rsidRPr="00225D10">
        <w:t xml:space="preserve"> –</w:t>
      </w:r>
      <w:r w:rsidR="00D820B7" w:rsidRPr="00225D10">
        <w:t xml:space="preserve"> complex care, higher education and research.</w:t>
      </w:r>
      <w:r w:rsidR="00D820B7" w:rsidRPr="000D22C3">
        <w:rPr>
          <w:rStyle w:val="FootnoteReference"/>
          <w:rFonts w:asciiTheme="minorHAnsi" w:hAnsiTheme="minorHAnsi" w:cs="Arial"/>
          <w:szCs w:val="20"/>
        </w:rPr>
        <w:footnoteReference w:id="4"/>
      </w:r>
    </w:p>
    <w:p w:rsidR="00E02B95" w:rsidRPr="002E5A85" w:rsidRDefault="002E5A85" w:rsidP="00D34F87">
      <w:pPr>
        <w:pStyle w:val="Caption"/>
        <w:tabs>
          <w:tab w:val="left" w:pos="8931"/>
        </w:tabs>
        <w:rPr>
          <w:szCs w:val="48"/>
        </w:rPr>
      </w:pPr>
      <w:bookmarkStart w:id="55" w:name="_Toc352166556"/>
      <w:r w:rsidRPr="002E5A85">
        <w:rPr>
          <w:noProof/>
        </w:rPr>
        <w:lastRenderedPageBreak/>
        <w:drawing>
          <wp:anchor distT="0" distB="0" distL="114300" distR="114300" simplePos="0" relativeHeight="251663360" behindDoc="0" locked="0" layoutInCell="1" allowOverlap="1">
            <wp:simplePos x="0" y="0"/>
            <wp:positionH relativeFrom="column">
              <wp:posOffset>-42545</wp:posOffset>
            </wp:positionH>
            <wp:positionV relativeFrom="paragraph">
              <wp:posOffset>346075</wp:posOffset>
            </wp:positionV>
            <wp:extent cx="5886450" cy="4128770"/>
            <wp:effectExtent l="19050" t="19050" r="19050" b="24130"/>
            <wp:wrapTopAndBottom/>
            <wp:docPr id="6" name="Picture 6" descr="Graph showing Sectoral contribution to employment, Loddon Mallee South,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srcRect/>
                    <a:stretch>
                      <a:fillRect/>
                    </a:stretch>
                  </pic:blipFill>
                  <pic:spPr bwMode="auto">
                    <a:xfrm>
                      <a:off x="0" y="0"/>
                      <a:ext cx="5886450" cy="4128770"/>
                    </a:xfrm>
                    <a:prstGeom prst="rect">
                      <a:avLst/>
                    </a:prstGeom>
                    <a:noFill/>
                    <a:ln w="6350" cmpd="sng">
                      <a:solidFill>
                        <a:srgbClr val="000000"/>
                      </a:solidFill>
                      <a:miter lim="800000"/>
                      <a:headEnd/>
                      <a:tailEnd/>
                    </a:ln>
                    <a:effectLst/>
                  </pic:spPr>
                </pic:pic>
              </a:graphicData>
            </a:graphic>
          </wp:anchor>
        </w:drawing>
      </w:r>
      <w:bookmarkStart w:id="56" w:name="_Toc374530808"/>
      <w:r w:rsidR="00E02B95" w:rsidRPr="002E5A85">
        <w:t xml:space="preserve">Figure </w:t>
      </w:r>
      <w:r w:rsidR="00162534" w:rsidRPr="002E5A85">
        <w:fldChar w:fldCharType="begin"/>
      </w:r>
      <w:r w:rsidR="00154847" w:rsidRPr="002E5A85">
        <w:instrText xml:space="preserve"> SEQ Figure \* ARABIC </w:instrText>
      </w:r>
      <w:r w:rsidR="00162534" w:rsidRPr="002E5A85">
        <w:fldChar w:fldCharType="separate"/>
      </w:r>
      <w:r w:rsidR="00EF1401">
        <w:rPr>
          <w:noProof/>
        </w:rPr>
        <w:t>13</w:t>
      </w:r>
      <w:r w:rsidR="00162534" w:rsidRPr="002E5A85">
        <w:fldChar w:fldCharType="end"/>
      </w:r>
      <w:r w:rsidR="00377F5C">
        <w:t xml:space="preserve">: </w:t>
      </w:r>
      <w:r w:rsidR="00E02B95" w:rsidRPr="002E5A85">
        <w:t>Sectoral contribution to employment, Loddon Mallee South, 2011</w:t>
      </w:r>
      <w:bookmarkEnd w:id="55"/>
      <w:bookmarkEnd w:id="56"/>
    </w:p>
    <w:p w:rsidR="00BE6A59" w:rsidRPr="00225D10" w:rsidRDefault="00BE6A59" w:rsidP="00D34F87">
      <w:pPr>
        <w:pStyle w:val="Source"/>
        <w:tabs>
          <w:tab w:val="left" w:pos="8931"/>
        </w:tabs>
      </w:pPr>
      <w:r w:rsidRPr="00225D10">
        <w:t xml:space="preserve">Source: </w:t>
      </w:r>
      <w:r w:rsidR="000C5D32" w:rsidRPr="00225D10">
        <w:t>National Institute of Economic and Industry Research</w:t>
      </w:r>
    </w:p>
    <w:p w:rsidR="00D820B7" w:rsidRPr="00225D10" w:rsidRDefault="00C2194C" w:rsidP="00D34F87">
      <w:pPr>
        <w:pStyle w:val="bt"/>
        <w:tabs>
          <w:tab w:val="left" w:pos="8931"/>
        </w:tabs>
      </w:pPr>
      <w:r w:rsidRPr="00225D10">
        <w:t>While</w:t>
      </w:r>
      <w:r w:rsidR="00D820B7" w:rsidRPr="00225D10">
        <w:t xml:space="preserve"> </w:t>
      </w:r>
      <w:r w:rsidR="000C5D32" w:rsidRPr="00225D10">
        <w:t xml:space="preserve">the </w:t>
      </w:r>
      <w:r w:rsidR="00D820B7" w:rsidRPr="00225D10">
        <w:t xml:space="preserve">Loddon Mallee South </w:t>
      </w:r>
      <w:r w:rsidR="000C5D32" w:rsidRPr="00225D10">
        <w:t xml:space="preserve">region </w:t>
      </w:r>
      <w:r w:rsidR="00D820B7" w:rsidRPr="00225D10">
        <w:t>is less dependent on agriculture than other regions</w:t>
      </w:r>
      <w:r w:rsidR="000C5D32" w:rsidRPr="00225D10">
        <w:t xml:space="preserve"> of Victoria</w:t>
      </w:r>
      <w:r w:rsidR="007B4352" w:rsidRPr="00225D10">
        <w:t>,</w:t>
      </w:r>
      <w:r w:rsidR="00D820B7" w:rsidRPr="00225D10">
        <w:t xml:space="preserve"> with 6</w:t>
      </w:r>
      <w:r w:rsidR="00997C90">
        <w:t xml:space="preserve"> per cent</w:t>
      </w:r>
      <w:r w:rsidR="00997C90" w:rsidRPr="00225D10">
        <w:t xml:space="preserve"> </w:t>
      </w:r>
      <w:r w:rsidR="00D820B7" w:rsidRPr="00225D10">
        <w:t>of the agribusiness in the state</w:t>
      </w:r>
      <w:r w:rsidRPr="00225D10">
        <w:t>, agriculture is still an important part of the region</w:t>
      </w:r>
      <w:r w:rsidR="000C5D32" w:rsidRPr="00225D10">
        <w:t>al</w:t>
      </w:r>
      <w:r w:rsidRPr="00225D10">
        <w:t xml:space="preserve"> economy</w:t>
      </w:r>
      <w:r w:rsidR="001F1DA5">
        <w:t xml:space="preserve"> (Figure 13)</w:t>
      </w:r>
      <w:r w:rsidR="00D820B7" w:rsidRPr="00225D10">
        <w:t xml:space="preserve">. The gross value of </w:t>
      </w:r>
      <w:r w:rsidR="007B4352" w:rsidRPr="00225D10">
        <w:t xml:space="preserve">regional </w:t>
      </w:r>
      <w:r w:rsidR="00D820B7" w:rsidRPr="00225D10">
        <w:t>agricultural production (in 2006) was about $408 million, which was just 4.7</w:t>
      </w:r>
      <w:r w:rsidR="00997C90">
        <w:t xml:space="preserve"> per cent</w:t>
      </w:r>
      <w:r w:rsidR="00997C90" w:rsidRPr="00225D10">
        <w:t xml:space="preserve"> </w:t>
      </w:r>
      <w:r w:rsidR="00D820B7" w:rsidRPr="00225D10">
        <w:t>of the state’s total. Intensive animal production (chickens, eggs, pigs) accounted for over a quarter of the regional value of production and 18.5</w:t>
      </w:r>
      <w:r w:rsidR="00997C90">
        <w:t xml:space="preserve"> per cent</w:t>
      </w:r>
      <w:r w:rsidR="00997C90" w:rsidRPr="00225D10">
        <w:t xml:space="preserve"> </w:t>
      </w:r>
      <w:r w:rsidR="00D820B7" w:rsidRPr="00225D10">
        <w:t>of the stat</w:t>
      </w:r>
      <w:r w:rsidR="007B4352" w:rsidRPr="00225D10">
        <w:t>e</w:t>
      </w:r>
      <w:r w:rsidR="00D820B7" w:rsidRPr="00225D10">
        <w:t>’s production. Production from dry</w:t>
      </w:r>
      <w:r w:rsidR="00F91E3F">
        <w:t xml:space="preserve"> </w:t>
      </w:r>
      <w:r w:rsidR="00D820B7" w:rsidRPr="00225D10">
        <w:t>land farming areas accounted for alm</w:t>
      </w:r>
      <w:r w:rsidRPr="00225D10">
        <w:t>ost 50</w:t>
      </w:r>
      <w:r w:rsidR="00997C90">
        <w:t xml:space="preserve"> per cent</w:t>
      </w:r>
      <w:r w:rsidR="00997C90" w:rsidRPr="00225D10">
        <w:t xml:space="preserve"> </w:t>
      </w:r>
      <w:r w:rsidRPr="00225D10">
        <w:t>of the region’s output</w:t>
      </w:r>
      <w:r w:rsidR="000D22C3">
        <w:t>.</w:t>
      </w:r>
      <w:r w:rsidRPr="000D22C3">
        <w:rPr>
          <w:rStyle w:val="FootnoteReference"/>
          <w:rFonts w:asciiTheme="minorHAnsi" w:hAnsiTheme="minorHAnsi" w:cs="Arial"/>
          <w:szCs w:val="20"/>
        </w:rPr>
        <w:footnoteReference w:id="5"/>
      </w:r>
    </w:p>
    <w:p w:rsidR="00C2194C" w:rsidRPr="00225D10" w:rsidRDefault="00C2194C" w:rsidP="00D34F87">
      <w:pPr>
        <w:pStyle w:val="bt"/>
        <w:tabs>
          <w:tab w:val="left" w:pos="8931"/>
        </w:tabs>
      </w:pPr>
      <w:r w:rsidRPr="00225D10">
        <w:t xml:space="preserve">Bendigo is one of Victoria’s </w:t>
      </w:r>
      <w:r w:rsidR="000C5D32" w:rsidRPr="00225D10">
        <w:t xml:space="preserve">most </w:t>
      </w:r>
      <w:r w:rsidRPr="00225D10">
        <w:t xml:space="preserve">significant regional cities, and is a leading service centre for the region and beyond. The economy is driven by an expanding population and growth in the health and community services sectors, secondary, higher, vocational education and training, government services, finance, business and technical services.  </w:t>
      </w:r>
    </w:p>
    <w:p w:rsidR="00846A3A" w:rsidRPr="00663F7F" w:rsidRDefault="00846A3A" w:rsidP="00D34F87">
      <w:pPr>
        <w:pStyle w:val="Heading2"/>
        <w:tabs>
          <w:tab w:val="left" w:pos="8931"/>
        </w:tabs>
        <w:rPr>
          <w:rFonts w:cs="Arial"/>
        </w:rPr>
      </w:pPr>
      <w:bookmarkStart w:id="57" w:name="_Toc350173222"/>
      <w:bookmarkStart w:id="58" w:name="_Toc374530856"/>
      <w:bookmarkEnd w:id="57"/>
      <w:r w:rsidRPr="00663F7F">
        <w:rPr>
          <w:rFonts w:cs="Arial"/>
        </w:rPr>
        <w:t xml:space="preserve">Structural </w:t>
      </w:r>
      <w:r w:rsidR="00266E34" w:rsidRPr="00663F7F">
        <w:rPr>
          <w:rFonts w:cs="Arial"/>
        </w:rPr>
        <w:t>d</w:t>
      </w:r>
      <w:r w:rsidRPr="00663F7F">
        <w:rPr>
          <w:rFonts w:cs="Arial"/>
        </w:rPr>
        <w:t xml:space="preserve">rivers for </w:t>
      </w:r>
      <w:r w:rsidR="00266E34" w:rsidRPr="00663F7F">
        <w:rPr>
          <w:rFonts w:cs="Arial"/>
        </w:rPr>
        <w:t>r</w:t>
      </w:r>
      <w:r w:rsidRPr="00663F7F">
        <w:rPr>
          <w:rFonts w:cs="Arial"/>
        </w:rPr>
        <w:t xml:space="preserve">egional </w:t>
      </w:r>
      <w:r w:rsidR="00266E34" w:rsidRPr="00663F7F">
        <w:rPr>
          <w:rFonts w:cs="Arial"/>
        </w:rPr>
        <w:t>g</w:t>
      </w:r>
      <w:r w:rsidRPr="00663F7F">
        <w:rPr>
          <w:rFonts w:cs="Arial"/>
        </w:rPr>
        <w:t>rowth</w:t>
      </w:r>
      <w:bookmarkEnd w:id="58"/>
    </w:p>
    <w:p w:rsidR="0067454C" w:rsidRPr="00225D10" w:rsidRDefault="0067454C" w:rsidP="00D34F87">
      <w:pPr>
        <w:pStyle w:val="bt"/>
        <w:tabs>
          <w:tab w:val="left" w:pos="8931"/>
        </w:tabs>
      </w:pPr>
      <w:r w:rsidRPr="00225D10">
        <w:t>The Loddon Mallee</w:t>
      </w:r>
      <w:r w:rsidR="007B52D4" w:rsidRPr="00225D10">
        <w:t xml:space="preserve"> South</w:t>
      </w:r>
      <w:r w:rsidRPr="00225D10">
        <w:t xml:space="preserve"> region has a relatively strong and diverse economy</w:t>
      </w:r>
      <w:r w:rsidR="00846A3A" w:rsidRPr="00225D10">
        <w:t xml:space="preserve">, </w:t>
      </w:r>
      <w:r w:rsidR="00D6279E" w:rsidRPr="00225D10">
        <w:t xml:space="preserve">which has grown faster than the rest of Victoria </w:t>
      </w:r>
      <w:r w:rsidR="00846A3A" w:rsidRPr="00225D10">
        <w:t>over the past decade</w:t>
      </w:r>
      <w:r w:rsidR="000D22C3">
        <w:t>.</w:t>
      </w:r>
      <w:r w:rsidR="00846A3A" w:rsidRPr="000D22C3">
        <w:rPr>
          <w:rStyle w:val="FootnoteReference"/>
          <w:rFonts w:asciiTheme="minorHAnsi" w:hAnsiTheme="minorHAnsi" w:cs="Arial"/>
          <w:szCs w:val="20"/>
        </w:rPr>
        <w:footnoteReference w:id="6"/>
      </w:r>
      <w:r w:rsidRPr="00225D10">
        <w:t xml:space="preserve"> The three structural drivers of </w:t>
      </w:r>
      <w:r w:rsidR="001F546B" w:rsidRPr="00225D10">
        <w:t xml:space="preserve">this </w:t>
      </w:r>
      <w:r w:rsidRPr="00225D10">
        <w:t xml:space="preserve">growth </w:t>
      </w:r>
      <w:r w:rsidR="00D6279E" w:rsidRPr="00225D10">
        <w:t>are</w:t>
      </w:r>
      <w:r w:rsidRPr="00225D10">
        <w:t xml:space="preserve">: </w:t>
      </w:r>
    </w:p>
    <w:p w:rsidR="00E86B85" w:rsidRPr="00225D10" w:rsidRDefault="0067454C" w:rsidP="00D34F87">
      <w:pPr>
        <w:pStyle w:val="ListNumber"/>
        <w:tabs>
          <w:tab w:val="left" w:pos="8931"/>
        </w:tabs>
      </w:pPr>
      <w:r w:rsidRPr="00225D10">
        <w:t>Population</w:t>
      </w:r>
      <w:r w:rsidR="00364049">
        <w:t xml:space="preserve">: </w:t>
      </w:r>
      <w:r w:rsidR="00E86B85" w:rsidRPr="00225D10">
        <w:t>The region’s population growth rate over the past decade has been higher than other regional areas.</w:t>
      </w:r>
    </w:p>
    <w:p w:rsidR="00E86B85" w:rsidRPr="00225D10" w:rsidRDefault="00846A3A" w:rsidP="00D34F87">
      <w:pPr>
        <w:pStyle w:val="ListNumber"/>
        <w:tabs>
          <w:tab w:val="left" w:pos="8931"/>
        </w:tabs>
      </w:pPr>
      <w:r w:rsidRPr="00225D10">
        <w:t xml:space="preserve">Labour </w:t>
      </w:r>
      <w:r w:rsidR="00D6279E" w:rsidRPr="00225D10">
        <w:t>f</w:t>
      </w:r>
      <w:r w:rsidRPr="00225D10">
        <w:t xml:space="preserve">orce </w:t>
      </w:r>
      <w:r w:rsidR="00D6279E" w:rsidRPr="00225D10">
        <w:t>p</w:t>
      </w:r>
      <w:r w:rsidR="0067454C" w:rsidRPr="00225D10">
        <w:t>articipation</w:t>
      </w:r>
      <w:r w:rsidR="00364049">
        <w:t xml:space="preserve">: </w:t>
      </w:r>
      <w:r w:rsidR="00E86B85" w:rsidRPr="00225D10">
        <w:t xml:space="preserve">The region’s labour force participation rate, while below the </w:t>
      </w:r>
      <w:r w:rsidR="00D6279E" w:rsidRPr="00225D10">
        <w:t>s</w:t>
      </w:r>
      <w:r w:rsidR="00E86B85" w:rsidRPr="00225D10">
        <w:t xml:space="preserve">tate average, has been improving. The region’s latest unemployment figures were lower than the </w:t>
      </w:r>
      <w:r w:rsidR="00D6279E" w:rsidRPr="00225D10">
        <w:t>s</w:t>
      </w:r>
      <w:r w:rsidR="00E86B85" w:rsidRPr="00225D10">
        <w:t>tate average.</w:t>
      </w:r>
    </w:p>
    <w:p w:rsidR="001F546B" w:rsidRPr="00225D10" w:rsidRDefault="00846A3A" w:rsidP="00D34F87">
      <w:pPr>
        <w:pStyle w:val="ListNumber"/>
        <w:tabs>
          <w:tab w:val="left" w:pos="8931"/>
        </w:tabs>
      </w:pPr>
      <w:r w:rsidRPr="00225D10">
        <w:lastRenderedPageBreak/>
        <w:t>Productivity</w:t>
      </w:r>
      <w:r w:rsidR="00364049">
        <w:t xml:space="preserve">: </w:t>
      </w:r>
      <w:r w:rsidR="00E86B85" w:rsidRPr="00225D10">
        <w:t>The region has performed relatively well in terms of productivity growth, with G</w:t>
      </w:r>
      <w:r w:rsidR="00556674">
        <w:t>ross Domestic Product (GD</w:t>
      </w:r>
      <w:r w:rsidR="00E86B85" w:rsidRPr="00225D10">
        <w:t>P</w:t>
      </w:r>
      <w:r w:rsidR="00556674">
        <w:t>)</w:t>
      </w:r>
      <w:r w:rsidR="00E86B85" w:rsidRPr="00225D10">
        <w:t xml:space="preserve"> per worker higher than the </w:t>
      </w:r>
      <w:r w:rsidR="00D6279E" w:rsidRPr="00225D10">
        <w:t>s</w:t>
      </w:r>
      <w:r w:rsidR="00E86B85" w:rsidRPr="00225D10">
        <w:t xml:space="preserve">tate average. This suggests the region is more productive than other areas </w:t>
      </w:r>
      <w:r w:rsidR="00D6279E" w:rsidRPr="00225D10">
        <w:t xml:space="preserve">of </w:t>
      </w:r>
      <w:r w:rsidR="00E86B85" w:rsidRPr="00225D10">
        <w:t>the state.</w:t>
      </w:r>
    </w:p>
    <w:p w:rsidR="00846A3A" w:rsidRPr="00225D10" w:rsidRDefault="00846A3A" w:rsidP="00D34F87">
      <w:pPr>
        <w:pStyle w:val="bt"/>
        <w:tabs>
          <w:tab w:val="left" w:pos="8931"/>
        </w:tabs>
      </w:pPr>
      <w:r w:rsidRPr="00225D10">
        <w:t>However</w:t>
      </w:r>
      <w:r w:rsidR="00D6279E" w:rsidRPr="00225D10">
        <w:t>,</w:t>
      </w:r>
      <w:r w:rsidRPr="00225D10">
        <w:t xml:space="preserve"> there remains significant variability in socio</w:t>
      </w:r>
      <w:r w:rsidR="00556674">
        <w:t xml:space="preserve"> </w:t>
      </w:r>
      <w:r w:rsidRPr="00225D10">
        <w:t>economic conditions and employment across the region</w:t>
      </w:r>
      <w:r w:rsidR="007B52D4" w:rsidRPr="00225D10">
        <w:t xml:space="preserve">, with distinct differences in employment and participation rates between the municipalities, and various influences on productivity. </w:t>
      </w:r>
      <w:r w:rsidRPr="00225D10">
        <w:t xml:space="preserve">The growth of the region is dependent on a strong and diverse economy. With increased population, new jobs need to be created. Access to training and employment, and creating a diverse, adaptable and strong economy is essential for regional growth. </w:t>
      </w:r>
    </w:p>
    <w:p w:rsidR="00972DCF" w:rsidRPr="00663F7F" w:rsidRDefault="00972DCF" w:rsidP="00D34F87">
      <w:pPr>
        <w:pStyle w:val="Heading2"/>
        <w:tabs>
          <w:tab w:val="left" w:pos="8931"/>
        </w:tabs>
        <w:rPr>
          <w:rFonts w:cs="Arial"/>
        </w:rPr>
      </w:pPr>
      <w:bookmarkStart w:id="59" w:name="_Toc374530857"/>
      <w:r w:rsidRPr="00663F7F">
        <w:rPr>
          <w:rFonts w:cs="Arial"/>
        </w:rPr>
        <w:t>Exports</w:t>
      </w:r>
      <w:bookmarkEnd w:id="59"/>
    </w:p>
    <w:p w:rsidR="002E13D6" w:rsidRPr="00225D10" w:rsidRDefault="00203A6D" w:rsidP="00D34F87">
      <w:pPr>
        <w:pStyle w:val="bt"/>
        <w:tabs>
          <w:tab w:val="left" w:pos="8931"/>
        </w:tabs>
      </w:pPr>
      <w:r>
        <w:t xml:space="preserve">According to analysis </w:t>
      </w:r>
      <w:r w:rsidR="00CF420A">
        <w:t xml:space="preserve">undertaken </w:t>
      </w:r>
      <w:r>
        <w:t>by Regional Development Victoria (2012) t</w:t>
      </w:r>
      <w:r w:rsidR="002E13D6" w:rsidRPr="00225D10">
        <w:t>he main exporting sectors of the region are manufacturing, mining</w:t>
      </w:r>
      <w:r w:rsidR="0066264C">
        <w:t xml:space="preserve"> (includes minerals and extractive industries</w:t>
      </w:r>
      <w:r w:rsidR="006E7E28">
        <w:t>),</w:t>
      </w:r>
      <w:r w:rsidR="002E13D6" w:rsidRPr="00225D10">
        <w:t xml:space="preserve"> agriculture, finance and</w:t>
      </w:r>
      <w:r w:rsidR="00556674">
        <w:t xml:space="preserve"> information and communications technology</w:t>
      </w:r>
      <w:r w:rsidR="002E13D6" w:rsidRPr="00225D10">
        <w:t xml:space="preserve"> </w:t>
      </w:r>
      <w:r w:rsidR="00556674">
        <w:t>(</w:t>
      </w:r>
      <w:r w:rsidR="002E13D6" w:rsidRPr="00225D10">
        <w:t>ICT</w:t>
      </w:r>
      <w:r w:rsidR="00556674">
        <w:t>)</w:t>
      </w:r>
      <w:r w:rsidR="002E13D6" w:rsidRPr="00225D10">
        <w:t xml:space="preserve"> (</w:t>
      </w:r>
      <w:r w:rsidR="00680EEE">
        <w:fldChar w:fldCharType="begin"/>
      </w:r>
      <w:r w:rsidR="00680EEE">
        <w:instrText xml:space="preserve"> REF _Ref353353191 \h  \* MERGEFORMAT </w:instrText>
      </w:r>
      <w:r w:rsidR="00680EEE">
        <w:fldChar w:fldCharType="separate"/>
      </w:r>
      <w:r w:rsidR="00EF1401" w:rsidRPr="00225D10">
        <w:t xml:space="preserve">Figure </w:t>
      </w:r>
      <w:r w:rsidR="00EF1401">
        <w:rPr>
          <w:noProof/>
        </w:rPr>
        <w:t>14</w:t>
      </w:r>
      <w:r w:rsidR="00680EEE">
        <w:fldChar w:fldCharType="end"/>
      </w:r>
      <w:r w:rsidR="002E13D6" w:rsidRPr="00225D10">
        <w:t>). Most of the region’s exports are estimated to come from Greater Bendigo (approximately 63</w:t>
      </w:r>
      <w:r w:rsidR="00997C90">
        <w:t xml:space="preserve"> per cent</w:t>
      </w:r>
      <w:r w:rsidR="00997C90" w:rsidRPr="00225D10">
        <w:t xml:space="preserve"> </w:t>
      </w:r>
      <w:r w:rsidR="002E13D6" w:rsidRPr="00225D10">
        <w:t xml:space="preserve">of the region’s 2011 exports). </w:t>
      </w:r>
      <w:r w:rsidR="00F91E3F">
        <w:t xml:space="preserve">The </w:t>
      </w:r>
      <w:r w:rsidR="002E13D6" w:rsidRPr="00225D10">
        <w:t>Mount Alexander and Macedon Ranges</w:t>
      </w:r>
      <w:r w:rsidR="00F91E3F">
        <w:t xml:space="preserve"> shires</w:t>
      </w:r>
      <w:r w:rsidR="002E13D6" w:rsidRPr="00225D10">
        <w:t xml:space="preserve"> accounted for 13</w:t>
      </w:r>
      <w:r w:rsidR="00997C90">
        <w:t xml:space="preserve"> per cent</w:t>
      </w:r>
      <w:r w:rsidR="00997C90" w:rsidRPr="00225D10">
        <w:t xml:space="preserve"> </w:t>
      </w:r>
      <w:r w:rsidR="002E13D6" w:rsidRPr="00225D10">
        <w:t>and 10</w:t>
      </w:r>
      <w:r w:rsidR="00997C90">
        <w:t xml:space="preserve"> per cent</w:t>
      </w:r>
      <w:r w:rsidR="00997C90" w:rsidRPr="00225D10">
        <w:t xml:space="preserve"> </w:t>
      </w:r>
      <w:r w:rsidR="002E13D6" w:rsidRPr="00225D10">
        <w:t>of the region’s total 2011 exports, respectively. The region’s exports have grown at an average annual rate of 3.6</w:t>
      </w:r>
      <w:r w:rsidR="00997C90">
        <w:t xml:space="preserve"> per cent</w:t>
      </w:r>
      <w:r w:rsidR="00997C90" w:rsidRPr="00225D10">
        <w:t xml:space="preserve"> </w:t>
      </w:r>
      <w:r w:rsidR="002E13D6" w:rsidRPr="00225D10">
        <w:t xml:space="preserve">from 2001 to 2011 which is above the regional Victorian average. </w:t>
      </w:r>
      <w:bookmarkStart w:id="60" w:name="_Ref352165533"/>
      <w:bookmarkStart w:id="61" w:name="_Toc352166557"/>
    </w:p>
    <w:p w:rsidR="00E02B95" w:rsidRPr="00225D10" w:rsidRDefault="00E71368" w:rsidP="00D34F87">
      <w:pPr>
        <w:pStyle w:val="Caption"/>
        <w:tabs>
          <w:tab w:val="left" w:pos="8931"/>
        </w:tabs>
        <w:rPr>
          <w:u w:val="single"/>
        </w:rPr>
      </w:pPr>
      <w:bookmarkStart w:id="62" w:name="_Ref353353191"/>
      <w:bookmarkStart w:id="63" w:name="_Toc374530809"/>
      <w:r>
        <w:rPr>
          <w:noProof/>
        </w:rPr>
        <w:drawing>
          <wp:anchor distT="0" distB="0" distL="114300" distR="114300" simplePos="0" relativeHeight="251695104" behindDoc="0" locked="0" layoutInCell="1" allowOverlap="1">
            <wp:simplePos x="0" y="0"/>
            <wp:positionH relativeFrom="page">
              <wp:posOffset>709163</wp:posOffset>
            </wp:positionH>
            <wp:positionV relativeFrom="paragraph">
              <wp:posOffset>417447</wp:posOffset>
            </wp:positionV>
            <wp:extent cx="6179904" cy="3639927"/>
            <wp:effectExtent l="19050" t="19050" r="11346" b="17673"/>
            <wp:wrapTopAndBottom/>
            <wp:docPr id="7" name="Picture 14" descr="Figure 14 graph showing Exports, 2011 and annual average growth rate from 2001–2011 including fastest annual average growth rate (exports) and largest sectors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email"/>
                    <a:srcRect/>
                    <a:stretch>
                      <a:fillRect/>
                    </a:stretch>
                  </pic:blipFill>
                  <pic:spPr bwMode="auto">
                    <a:xfrm>
                      <a:off x="0" y="0"/>
                      <a:ext cx="6179904" cy="3639927"/>
                    </a:xfrm>
                    <a:prstGeom prst="rect">
                      <a:avLst/>
                    </a:prstGeom>
                    <a:noFill/>
                    <a:ln w="6350" cmpd="sng">
                      <a:solidFill>
                        <a:srgbClr val="000000"/>
                      </a:solidFill>
                      <a:miter lim="800000"/>
                      <a:headEnd/>
                      <a:tailEnd/>
                    </a:ln>
                    <a:effectLst/>
                  </pic:spPr>
                </pic:pic>
              </a:graphicData>
            </a:graphic>
          </wp:anchor>
        </w:drawing>
      </w:r>
      <w:r w:rsidR="00E02B95" w:rsidRPr="00225D10">
        <w:t xml:space="preserve">Figure </w:t>
      </w:r>
      <w:r w:rsidR="00162534">
        <w:fldChar w:fldCharType="begin"/>
      </w:r>
      <w:r w:rsidR="00154847">
        <w:instrText xml:space="preserve"> SEQ Figure \* ARABIC </w:instrText>
      </w:r>
      <w:r w:rsidR="00162534">
        <w:fldChar w:fldCharType="separate"/>
      </w:r>
      <w:r w:rsidR="00EF1401">
        <w:rPr>
          <w:noProof/>
        </w:rPr>
        <w:t>14</w:t>
      </w:r>
      <w:r w:rsidR="00162534">
        <w:fldChar w:fldCharType="end"/>
      </w:r>
      <w:bookmarkEnd w:id="60"/>
      <w:bookmarkEnd w:id="62"/>
      <w:r w:rsidR="00377F5C">
        <w:t xml:space="preserve">: </w:t>
      </w:r>
      <w:r w:rsidR="00E02B95" w:rsidRPr="00225D10">
        <w:t>Exports, 2011 and annual average growth rate from 2001–2011</w:t>
      </w:r>
      <w:bookmarkEnd w:id="61"/>
      <w:bookmarkEnd w:id="63"/>
    </w:p>
    <w:p w:rsidR="002631DE" w:rsidRDefault="002631DE" w:rsidP="00D34F87">
      <w:pPr>
        <w:pStyle w:val="Source"/>
        <w:tabs>
          <w:tab w:val="left" w:pos="8931"/>
        </w:tabs>
      </w:pPr>
    </w:p>
    <w:p w:rsidR="002A5AB0" w:rsidRDefault="00CD280E" w:rsidP="00D34F87">
      <w:pPr>
        <w:pStyle w:val="Source"/>
        <w:tabs>
          <w:tab w:val="left" w:pos="8931"/>
        </w:tabs>
      </w:pPr>
      <w:r w:rsidRPr="00225D10">
        <w:t>Source: National Economics</w:t>
      </w:r>
    </w:p>
    <w:p w:rsidR="00E02B95" w:rsidRDefault="001475ED" w:rsidP="00D34F87">
      <w:pPr>
        <w:pStyle w:val="Caption"/>
        <w:tabs>
          <w:tab w:val="left" w:pos="8931"/>
        </w:tabs>
      </w:pPr>
      <w:r>
        <w:rPr>
          <w:noProof/>
        </w:rPr>
        <w:lastRenderedPageBreak/>
        <w:drawing>
          <wp:anchor distT="0" distB="0" distL="114300" distR="114300" simplePos="0" relativeHeight="251658240" behindDoc="0" locked="0" layoutInCell="1" allowOverlap="1">
            <wp:simplePos x="0" y="0"/>
            <wp:positionH relativeFrom="column">
              <wp:posOffset>20955</wp:posOffset>
            </wp:positionH>
            <wp:positionV relativeFrom="paragraph">
              <wp:posOffset>371475</wp:posOffset>
            </wp:positionV>
            <wp:extent cx="5910580" cy="4489450"/>
            <wp:effectExtent l="19050" t="19050" r="13970" b="25400"/>
            <wp:wrapTopAndBottom/>
            <wp:docPr id="8" name="Picture 15" descr="Figure 15 graph showing Local Government Area exports, 2011 and annual average growth rate, 2001–2011 including Loddon (7%), Mount Alexander (13%), Macedon Ranges (10%), Central Goldfields (7%) and Greater Bendigo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srcRect/>
                    <a:stretch>
                      <a:fillRect/>
                    </a:stretch>
                  </pic:blipFill>
                  <pic:spPr bwMode="auto">
                    <a:xfrm>
                      <a:off x="0" y="0"/>
                      <a:ext cx="5910580" cy="4489450"/>
                    </a:xfrm>
                    <a:prstGeom prst="rect">
                      <a:avLst/>
                    </a:prstGeom>
                    <a:noFill/>
                    <a:ln w="6350" cmpd="sng">
                      <a:solidFill>
                        <a:srgbClr val="000000"/>
                      </a:solidFill>
                      <a:miter lim="800000"/>
                      <a:headEnd/>
                      <a:tailEnd/>
                    </a:ln>
                    <a:effectLst/>
                  </pic:spPr>
                </pic:pic>
              </a:graphicData>
            </a:graphic>
          </wp:anchor>
        </w:drawing>
      </w:r>
      <w:bookmarkStart w:id="64" w:name="_Toc374530810"/>
      <w:r w:rsidR="00E02B95" w:rsidRPr="00225D10">
        <w:t xml:space="preserve">Figure </w:t>
      </w:r>
      <w:r w:rsidR="00162534">
        <w:fldChar w:fldCharType="begin"/>
      </w:r>
      <w:r w:rsidR="00154847">
        <w:instrText xml:space="preserve"> SEQ Figure \* ARABIC </w:instrText>
      </w:r>
      <w:r w:rsidR="00162534">
        <w:fldChar w:fldCharType="separate"/>
      </w:r>
      <w:r w:rsidR="00EF1401">
        <w:rPr>
          <w:noProof/>
        </w:rPr>
        <w:t>15</w:t>
      </w:r>
      <w:r w:rsidR="00162534">
        <w:fldChar w:fldCharType="end"/>
      </w:r>
      <w:r w:rsidR="00377F5C">
        <w:t xml:space="preserve">: </w:t>
      </w:r>
      <w:r w:rsidR="00E02B95" w:rsidRPr="00225D10">
        <w:t>Local Government Area exports, 2011 and annual average growth rate, 2001–2011</w:t>
      </w:r>
      <w:bookmarkEnd w:id="64"/>
    </w:p>
    <w:p w:rsidR="00CD280E" w:rsidRPr="00225D10" w:rsidRDefault="00CD280E" w:rsidP="00D34F87">
      <w:pPr>
        <w:pStyle w:val="Source"/>
        <w:tabs>
          <w:tab w:val="left" w:pos="8931"/>
        </w:tabs>
      </w:pPr>
      <w:r w:rsidRPr="00225D10">
        <w:t>Source: National Economics</w:t>
      </w:r>
    </w:p>
    <w:p w:rsidR="00D6279E" w:rsidRPr="00225D10" w:rsidRDefault="00CD280E" w:rsidP="00D34F87">
      <w:pPr>
        <w:pStyle w:val="bt"/>
        <w:tabs>
          <w:tab w:val="left" w:pos="8931"/>
        </w:tabs>
      </w:pPr>
      <w:r w:rsidRPr="00225D10">
        <w:t>Loddon</w:t>
      </w:r>
      <w:r w:rsidR="00F91E3F">
        <w:t xml:space="preserve"> Shire</w:t>
      </w:r>
      <w:r w:rsidRPr="00225D10">
        <w:t xml:space="preserve"> is the only </w:t>
      </w:r>
      <w:r w:rsidR="00D6279E" w:rsidRPr="00225D10">
        <w:t xml:space="preserve">local government area </w:t>
      </w:r>
      <w:r w:rsidRPr="00225D10">
        <w:t xml:space="preserve">where </w:t>
      </w:r>
      <w:r w:rsidR="00D6279E" w:rsidRPr="00225D10">
        <w:t xml:space="preserve">the </w:t>
      </w:r>
      <w:r w:rsidRPr="00225D10">
        <w:t>majority of exports are from the agricultural sector</w:t>
      </w:r>
      <w:r w:rsidR="00D6279E" w:rsidRPr="00225D10">
        <w:t>. I</w:t>
      </w:r>
      <w:r w:rsidRPr="00225D10">
        <w:t>n 2011, 68</w:t>
      </w:r>
      <w:r w:rsidR="00997C90">
        <w:t xml:space="preserve"> per cent</w:t>
      </w:r>
      <w:r w:rsidR="00997C90" w:rsidRPr="00225D10">
        <w:t xml:space="preserve"> </w:t>
      </w:r>
      <w:r w:rsidRPr="00225D10">
        <w:t xml:space="preserve">of </w:t>
      </w:r>
      <w:r w:rsidR="00D6279E" w:rsidRPr="00225D10">
        <w:t>Loddon</w:t>
      </w:r>
      <w:r w:rsidR="00F91E3F">
        <w:t xml:space="preserve"> Shire’s</w:t>
      </w:r>
      <w:r w:rsidR="00D6279E" w:rsidRPr="00225D10">
        <w:t xml:space="preserve"> </w:t>
      </w:r>
      <w:r w:rsidRPr="00225D10">
        <w:t>exports were from the agriculture sector. In 2011, manufacturing was the top export sector for Macedon Ranges, Mount Alexander and Central Goldfields while mining was the major export sector for Bendigo</w:t>
      </w:r>
      <w:r w:rsidR="007C3439">
        <w:t xml:space="preserve"> (Figure 15)</w:t>
      </w:r>
      <w:r w:rsidRPr="00225D10">
        <w:t xml:space="preserve">. </w:t>
      </w:r>
    </w:p>
    <w:p w:rsidR="0067454C" w:rsidRPr="00663F7F" w:rsidRDefault="0067454C" w:rsidP="00D34F87">
      <w:pPr>
        <w:pStyle w:val="Heading2"/>
        <w:tabs>
          <w:tab w:val="left" w:pos="8931"/>
        </w:tabs>
        <w:rPr>
          <w:rFonts w:cs="Arial"/>
        </w:rPr>
      </w:pPr>
      <w:bookmarkStart w:id="65" w:name="_Toc350173225"/>
      <w:bookmarkStart w:id="66" w:name="_Toc374530858"/>
      <w:bookmarkEnd w:id="65"/>
      <w:r w:rsidRPr="00663F7F">
        <w:rPr>
          <w:rFonts w:cs="Arial"/>
        </w:rPr>
        <w:t>Employment change and growth</w:t>
      </w:r>
      <w:bookmarkEnd w:id="66"/>
    </w:p>
    <w:p w:rsidR="0067454C" w:rsidRPr="00225D10" w:rsidRDefault="0067454C" w:rsidP="00D34F87">
      <w:pPr>
        <w:pStyle w:val="bt"/>
        <w:tabs>
          <w:tab w:val="left" w:pos="8931"/>
        </w:tabs>
      </w:pPr>
      <w:r w:rsidRPr="00225D10">
        <w:t>The structure of employment in the region has ch</w:t>
      </w:r>
      <w:r w:rsidR="00A7457D" w:rsidRPr="00225D10">
        <w:t>anged significantly since 1996, with retail, health and manufacturing the dominant industry employment sectors.</w:t>
      </w:r>
      <w:r w:rsidR="00D52484" w:rsidRPr="00225D10">
        <w:t xml:space="preserve"> </w:t>
      </w:r>
      <w:r w:rsidRPr="00225D10">
        <w:t>Employment has grown by over 30</w:t>
      </w:r>
      <w:r w:rsidR="00997C90">
        <w:t xml:space="preserve"> per cent</w:t>
      </w:r>
      <w:r w:rsidR="00997C90" w:rsidRPr="00225D10">
        <w:t xml:space="preserve"> </w:t>
      </w:r>
      <w:r w:rsidRPr="00225D10">
        <w:t>in</w:t>
      </w:r>
      <w:r w:rsidR="00790C00" w:rsidRPr="00225D10">
        <w:t>:</w:t>
      </w:r>
      <w:r w:rsidRPr="00225D10">
        <w:t xml:space="preserve"> construction; retail trade; accommodation and food services; professional and technical services; public administration and safety; and healthcare and social assistance. </w:t>
      </w:r>
      <w:r w:rsidR="00CA7338" w:rsidRPr="00225D10">
        <w:t>Employment in mining</w:t>
      </w:r>
      <w:r w:rsidR="0066264C">
        <w:t xml:space="preserve"> (including minerals and extractive industries)</w:t>
      </w:r>
      <w:r w:rsidR="00CA7338" w:rsidRPr="00225D10">
        <w:t xml:space="preserve"> has experienced rapid growth over the past 10 years, with the workforce directly employed in the sector rising from 221 to 595 (a 270</w:t>
      </w:r>
      <w:r w:rsidR="00997C90">
        <w:t xml:space="preserve"> per cent</w:t>
      </w:r>
      <w:r w:rsidR="00997C90" w:rsidRPr="00225D10">
        <w:t xml:space="preserve"> </w:t>
      </w:r>
      <w:r w:rsidR="00CA7338" w:rsidRPr="00225D10">
        <w:t xml:space="preserve">increase) between 2001 and 2006. </w:t>
      </w:r>
      <w:r w:rsidR="00323F07" w:rsidRPr="00225D10">
        <w:t>In 2011, the industry employed 616 perso</w:t>
      </w:r>
      <w:r w:rsidR="00790C00" w:rsidRPr="00225D10">
        <w:t>ns</w:t>
      </w:r>
      <w:r w:rsidR="00323F07" w:rsidRPr="00225D10">
        <w:rPr>
          <w:rStyle w:val="FootnoteReference"/>
          <w:rFonts w:asciiTheme="minorHAnsi" w:hAnsiTheme="minorHAnsi"/>
        </w:rPr>
        <w:footnoteReference w:id="7"/>
      </w:r>
      <w:r w:rsidR="00323F07" w:rsidRPr="00225D10">
        <w:t xml:space="preserve">, </w:t>
      </w:r>
      <w:r w:rsidR="00CA7338" w:rsidRPr="00225D10">
        <w:t>represent</w:t>
      </w:r>
      <w:r w:rsidR="00323F07" w:rsidRPr="00225D10">
        <w:t>ing</w:t>
      </w:r>
      <w:r w:rsidR="00CA7338" w:rsidRPr="00225D10">
        <w:t xml:space="preserve"> less than </w:t>
      </w:r>
      <w:r w:rsidR="00433823">
        <w:t>one</w:t>
      </w:r>
      <w:r w:rsidR="00997C90">
        <w:t xml:space="preserve"> per cent</w:t>
      </w:r>
      <w:r w:rsidR="00997C90" w:rsidRPr="00225D10">
        <w:t xml:space="preserve"> </w:t>
      </w:r>
      <w:r w:rsidR="00CA7338" w:rsidRPr="00225D10">
        <w:t xml:space="preserve">of the total workforce in the Loddon Mallee </w:t>
      </w:r>
      <w:r w:rsidR="00790C00" w:rsidRPr="00225D10">
        <w:t xml:space="preserve">South </w:t>
      </w:r>
      <w:r w:rsidR="00CA7338" w:rsidRPr="00225D10">
        <w:t>region.</w:t>
      </w:r>
    </w:p>
    <w:p w:rsidR="00E11C41" w:rsidRDefault="00CA7338" w:rsidP="00D34F87">
      <w:pPr>
        <w:pStyle w:val="bt"/>
        <w:tabs>
          <w:tab w:val="left" w:pos="8931"/>
        </w:tabs>
      </w:pPr>
      <w:r w:rsidRPr="005930BE">
        <w:t xml:space="preserve">As would be expected, employment opportunities within the region are concentrated in and around the major centres, particularly Bendigo. The majority of employment growth is within </w:t>
      </w:r>
      <w:r w:rsidR="00F91E3F" w:rsidRPr="005930BE">
        <w:t xml:space="preserve">the City of </w:t>
      </w:r>
      <w:r w:rsidRPr="005930BE">
        <w:t>Greater Bend</w:t>
      </w:r>
      <w:r w:rsidR="00A87FD6" w:rsidRPr="005930BE">
        <w:t>igo and Macedon Ranges</w:t>
      </w:r>
      <w:r w:rsidR="00F91E3F" w:rsidRPr="005930BE">
        <w:t xml:space="preserve"> Shire</w:t>
      </w:r>
      <w:r w:rsidR="00A87FD6" w:rsidRPr="005930BE">
        <w:t xml:space="preserve"> (</w:t>
      </w:r>
      <w:r w:rsidR="00C26425">
        <w:t xml:space="preserve">Figures 16 </w:t>
      </w:r>
      <w:r w:rsidR="00206B29">
        <w:t>and 17</w:t>
      </w:r>
      <w:r w:rsidRPr="005930BE">
        <w:t xml:space="preserve">). Central Goldfields </w:t>
      </w:r>
      <w:r w:rsidR="00F91E3F" w:rsidRPr="005930BE">
        <w:t xml:space="preserve">Shire </w:t>
      </w:r>
      <w:r w:rsidRPr="005930BE">
        <w:t xml:space="preserve">relies more on employment in the manufacturing sector, whilst Loddon </w:t>
      </w:r>
      <w:r w:rsidR="00433823">
        <w:t xml:space="preserve">Shire </w:t>
      </w:r>
      <w:r w:rsidR="002A2DEF" w:rsidRPr="005930BE">
        <w:t xml:space="preserve">relies </w:t>
      </w:r>
      <w:r w:rsidRPr="005930BE">
        <w:t xml:space="preserve">on the agricultural sector, where employment is in decline. There are also large numbers of residents within the Calder corridor who travel outside the region </w:t>
      </w:r>
      <w:r w:rsidR="00790C00" w:rsidRPr="005930BE">
        <w:t xml:space="preserve">for </w:t>
      </w:r>
      <w:r w:rsidRPr="005930BE">
        <w:t>work.</w:t>
      </w:r>
    </w:p>
    <w:p w:rsidR="00E02B95" w:rsidRPr="00225D10" w:rsidRDefault="00E11C41" w:rsidP="00D34F87">
      <w:pPr>
        <w:pStyle w:val="Caption"/>
        <w:tabs>
          <w:tab w:val="left" w:pos="8931"/>
        </w:tabs>
      </w:pPr>
      <w:bookmarkStart w:id="67" w:name="_Ref352165548"/>
      <w:r>
        <w:rPr>
          <w:noProof/>
        </w:rPr>
        <w:lastRenderedPageBreak/>
        <w:drawing>
          <wp:anchor distT="0" distB="0" distL="114300" distR="114300" simplePos="0" relativeHeight="251659264" behindDoc="0" locked="0" layoutInCell="1" allowOverlap="1">
            <wp:simplePos x="0" y="0"/>
            <wp:positionH relativeFrom="column">
              <wp:posOffset>20955</wp:posOffset>
            </wp:positionH>
            <wp:positionV relativeFrom="paragraph">
              <wp:posOffset>365125</wp:posOffset>
            </wp:positionV>
            <wp:extent cx="6212840" cy="4413250"/>
            <wp:effectExtent l="19050" t="19050" r="16510" b="25400"/>
            <wp:wrapTopAndBottom/>
            <wp:docPr id="9" name="Picture 5" descr="Figure 16 Map of employment change, Loddon Mallee South local government areas, 2001–2011 including Employment Growth 2001-2011, Employed Persons for Greater Bendigo (2,000 to 10,000), Macedon Ranges (1,000 to 2,000), Central Goldfields (0 to 1,000), Mount Alexander (0 to 1,000) and Loddon (&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srcRect/>
                    <a:stretch>
                      <a:fillRect/>
                    </a:stretch>
                  </pic:blipFill>
                  <pic:spPr bwMode="auto">
                    <a:xfrm>
                      <a:off x="0" y="0"/>
                      <a:ext cx="6212840" cy="4413250"/>
                    </a:xfrm>
                    <a:prstGeom prst="rect">
                      <a:avLst/>
                    </a:prstGeom>
                    <a:noFill/>
                    <a:ln w="6350" cmpd="sng">
                      <a:solidFill>
                        <a:srgbClr val="000000"/>
                      </a:solidFill>
                      <a:miter lim="800000"/>
                      <a:headEnd/>
                      <a:tailEnd/>
                    </a:ln>
                    <a:effectLst/>
                  </pic:spPr>
                </pic:pic>
              </a:graphicData>
            </a:graphic>
          </wp:anchor>
        </w:drawing>
      </w:r>
      <w:bookmarkStart w:id="68" w:name="_Toc374530811"/>
      <w:r w:rsidR="00E02B95" w:rsidRPr="00225D10">
        <w:t xml:space="preserve">Figure </w:t>
      </w:r>
      <w:r w:rsidR="00162534">
        <w:fldChar w:fldCharType="begin"/>
      </w:r>
      <w:r w:rsidR="00154847">
        <w:instrText xml:space="preserve"> SEQ Figure \* ARABIC </w:instrText>
      </w:r>
      <w:r w:rsidR="00162534">
        <w:fldChar w:fldCharType="separate"/>
      </w:r>
      <w:r w:rsidR="00EF1401">
        <w:rPr>
          <w:noProof/>
        </w:rPr>
        <w:t>16</w:t>
      </w:r>
      <w:r w:rsidR="00162534">
        <w:fldChar w:fldCharType="end"/>
      </w:r>
      <w:bookmarkEnd w:id="67"/>
      <w:r w:rsidR="00377F5C">
        <w:t xml:space="preserve">: </w:t>
      </w:r>
      <w:r w:rsidR="00E02B95" w:rsidRPr="00225D10">
        <w:t>Map of employment change, Loddon Mallee South local government areas, 2001–2011</w:t>
      </w:r>
      <w:bookmarkEnd w:id="68"/>
    </w:p>
    <w:p w:rsidR="004E348F" w:rsidRDefault="0067454C" w:rsidP="00D34F87">
      <w:pPr>
        <w:pStyle w:val="Source"/>
        <w:tabs>
          <w:tab w:val="left" w:pos="8931"/>
        </w:tabs>
      </w:pPr>
      <w:r w:rsidRPr="00225D10">
        <w:t>Source: National Economics</w:t>
      </w:r>
      <w:r w:rsidR="003C23E6" w:rsidRPr="00225D10">
        <w:t>;</w:t>
      </w:r>
      <w:r w:rsidRPr="00225D10">
        <w:t xml:space="preserve"> D</w:t>
      </w:r>
      <w:r w:rsidR="00790C00" w:rsidRPr="00225D10">
        <w:t xml:space="preserve">epartment of Education, Employment and Workplace Relations </w:t>
      </w:r>
      <w:r w:rsidRPr="00225D10">
        <w:t>Small Area Labour Market Data</w:t>
      </w:r>
      <w:bookmarkStart w:id="69" w:name="_Toc352166558"/>
    </w:p>
    <w:p w:rsidR="00EC6C49" w:rsidRDefault="00E02B95">
      <w:pPr>
        <w:pStyle w:val="Caption"/>
      </w:pPr>
      <w:bookmarkStart w:id="70" w:name="_Toc374530812"/>
      <w:r w:rsidRPr="00225D10">
        <w:t xml:space="preserve">Figure </w:t>
      </w:r>
      <w:r w:rsidR="00162534">
        <w:fldChar w:fldCharType="begin"/>
      </w:r>
      <w:r w:rsidR="00154847">
        <w:instrText xml:space="preserve"> SEQ Figure \* ARABIC </w:instrText>
      </w:r>
      <w:r w:rsidR="00162534">
        <w:fldChar w:fldCharType="separate"/>
      </w:r>
      <w:r w:rsidR="00EF1401">
        <w:rPr>
          <w:noProof/>
        </w:rPr>
        <w:t>17</w:t>
      </w:r>
      <w:r w:rsidR="00162534">
        <w:fldChar w:fldCharType="end"/>
      </w:r>
      <w:r w:rsidR="00377F5C">
        <w:t xml:space="preserve">: </w:t>
      </w:r>
      <w:r w:rsidRPr="00225D10">
        <w:t>Ma</w:t>
      </w:r>
      <w:r w:rsidR="009F3590">
        <w:t>j</w:t>
      </w:r>
      <w:r w:rsidRPr="00225D10">
        <w:t>or regional employment sectors</w:t>
      </w:r>
      <w:r w:rsidRPr="000D22C3">
        <w:rPr>
          <w:rStyle w:val="FootnoteReference"/>
          <w:i w:val="0"/>
        </w:rPr>
        <w:footnoteReference w:id="8"/>
      </w:r>
      <w:bookmarkEnd w:id="69"/>
      <w:bookmarkEnd w:id="70"/>
    </w:p>
    <w:p w:rsidR="008D1A3E" w:rsidRDefault="008D1A3E" w:rsidP="007725D2">
      <w:pPr>
        <w:pStyle w:val="bt"/>
        <w:spacing w:before="60" w:after="0"/>
      </w:pPr>
      <w:r>
        <w:t>Central Goldfields</w:t>
      </w:r>
    </w:p>
    <w:p w:rsidR="007725D2" w:rsidRDefault="007725D2" w:rsidP="00BA2D96">
      <w:pPr>
        <w:pStyle w:val="bt"/>
        <w:numPr>
          <w:ilvl w:val="0"/>
          <w:numId w:val="45"/>
        </w:numPr>
        <w:spacing w:before="60" w:after="0"/>
      </w:pPr>
      <w:r>
        <w:t>Accommodation &amp; food services – 5.2% (8)</w:t>
      </w:r>
    </w:p>
    <w:p w:rsidR="007725D2" w:rsidRDefault="007725D2" w:rsidP="00BA2D96">
      <w:pPr>
        <w:pStyle w:val="bt"/>
        <w:numPr>
          <w:ilvl w:val="0"/>
          <w:numId w:val="45"/>
        </w:numPr>
        <w:spacing w:before="60" w:after="0"/>
      </w:pPr>
      <w:r>
        <w:t>Retail – 14.3% (2)</w:t>
      </w:r>
    </w:p>
    <w:p w:rsidR="007725D2" w:rsidRDefault="007725D2" w:rsidP="00BA2D96">
      <w:pPr>
        <w:pStyle w:val="bt"/>
        <w:numPr>
          <w:ilvl w:val="0"/>
          <w:numId w:val="45"/>
        </w:numPr>
        <w:spacing w:before="60" w:after="0"/>
      </w:pPr>
      <w:r>
        <w:t>Manufacturing – 21.0% (1)</w:t>
      </w:r>
    </w:p>
    <w:p w:rsidR="007725D2" w:rsidRDefault="007725D2" w:rsidP="00BA2D96">
      <w:pPr>
        <w:pStyle w:val="bt"/>
        <w:numPr>
          <w:ilvl w:val="0"/>
          <w:numId w:val="45"/>
        </w:numPr>
        <w:spacing w:before="60" w:after="0"/>
      </w:pPr>
      <w:r>
        <w:t>Health – 12.3% (3)</w:t>
      </w:r>
    </w:p>
    <w:p w:rsidR="008D1A3E" w:rsidRDefault="007725D2" w:rsidP="00BA2D96">
      <w:pPr>
        <w:pStyle w:val="bt"/>
        <w:numPr>
          <w:ilvl w:val="0"/>
          <w:numId w:val="45"/>
        </w:numPr>
        <w:spacing w:before="60" w:after="0"/>
      </w:pPr>
      <w:r>
        <w:t>Education – 9.0% (4)</w:t>
      </w:r>
    </w:p>
    <w:p w:rsidR="008D1A3E" w:rsidRDefault="007725D2" w:rsidP="00BA2D96">
      <w:pPr>
        <w:pStyle w:val="bt"/>
        <w:numPr>
          <w:ilvl w:val="0"/>
          <w:numId w:val="45"/>
        </w:numPr>
        <w:spacing w:before="60" w:after="0"/>
      </w:pPr>
      <w:r>
        <w:t>Construction – 6.2% (6)</w:t>
      </w:r>
    </w:p>
    <w:p w:rsidR="007725D2" w:rsidRDefault="007725D2" w:rsidP="007725D2">
      <w:pPr>
        <w:pStyle w:val="bt"/>
        <w:spacing w:before="60" w:after="0"/>
      </w:pPr>
      <w:r>
        <w:t>Greater Bendigo</w:t>
      </w:r>
    </w:p>
    <w:p w:rsidR="007725D2" w:rsidRDefault="007725D2" w:rsidP="00BA2D96">
      <w:pPr>
        <w:pStyle w:val="bt"/>
        <w:numPr>
          <w:ilvl w:val="0"/>
          <w:numId w:val="45"/>
        </w:numPr>
        <w:spacing w:before="60" w:after="0"/>
      </w:pPr>
      <w:r>
        <w:t>Accommodation &amp; food services – 5.7% (7)</w:t>
      </w:r>
    </w:p>
    <w:p w:rsidR="007725D2" w:rsidRDefault="007725D2" w:rsidP="00BA2D96">
      <w:pPr>
        <w:pStyle w:val="bt"/>
        <w:numPr>
          <w:ilvl w:val="0"/>
          <w:numId w:val="45"/>
        </w:numPr>
        <w:spacing w:before="60" w:after="0"/>
      </w:pPr>
      <w:r>
        <w:t>Retail – 13.7% (2)</w:t>
      </w:r>
    </w:p>
    <w:p w:rsidR="007725D2" w:rsidRDefault="007725D2" w:rsidP="00BA2D96">
      <w:pPr>
        <w:pStyle w:val="bt"/>
        <w:numPr>
          <w:ilvl w:val="0"/>
          <w:numId w:val="45"/>
        </w:numPr>
        <w:spacing w:before="60" w:after="0"/>
      </w:pPr>
      <w:r>
        <w:t>Manufacturing – 10.9% (3)</w:t>
      </w:r>
    </w:p>
    <w:p w:rsidR="007725D2" w:rsidRDefault="007725D2" w:rsidP="00BA2D96">
      <w:pPr>
        <w:pStyle w:val="bt"/>
        <w:numPr>
          <w:ilvl w:val="0"/>
          <w:numId w:val="45"/>
        </w:numPr>
        <w:spacing w:before="60" w:after="0"/>
      </w:pPr>
      <w:r>
        <w:t>Health – 13.9% (1)</w:t>
      </w:r>
    </w:p>
    <w:p w:rsidR="007725D2" w:rsidRDefault="007725D2" w:rsidP="00BA2D96">
      <w:pPr>
        <w:pStyle w:val="bt"/>
        <w:numPr>
          <w:ilvl w:val="0"/>
          <w:numId w:val="45"/>
        </w:numPr>
        <w:spacing w:before="60" w:after="0"/>
      </w:pPr>
      <w:r>
        <w:t>Education – 8.4% (5)</w:t>
      </w:r>
    </w:p>
    <w:p w:rsidR="007725D2" w:rsidRDefault="007725D2" w:rsidP="00BA2D96">
      <w:pPr>
        <w:pStyle w:val="bt"/>
        <w:numPr>
          <w:ilvl w:val="0"/>
          <w:numId w:val="45"/>
        </w:numPr>
        <w:spacing w:before="60" w:after="0"/>
      </w:pPr>
      <w:r>
        <w:t>Construction – 9.1%(4)</w:t>
      </w:r>
    </w:p>
    <w:p w:rsidR="007725D2" w:rsidRDefault="007725D2" w:rsidP="007725D2">
      <w:pPr>
        <w:pStyle w:val="bt"/>
        <w:spacing w:before="60" w:after="0"/>
      </w:pPr>
      <w:r>
        <w:t>Loddon</w:t>
      </w:r>
    </w:p>
    <w:p w:rsidR="007725D2" w:rsidRDefault="007725D2" w:rsidP="00BA2D96">
      <w:pPr>
        <w:pStyle w:val="bt"/>
        <w:numPr>
          <w:ilvl w:val="0"/>
          <w:numId w:val="45"/>
        </w:numPr>
        <w:spacing w:before="60" w:after="0"/>
      </w:pPr>
      <w:r>
        <w:lastRenderedPageBreak/>
        <w:t>Accommodation &amp; food services – 3.2% (10)</w:t>
      </w:r>
    </w:p>
    <w:p w:rsidR="007725D2" w:rsidRDefault="007725D2" w:rsidP="00BA2D96">
      <w:pPr>
        <w:pStyle w:val="bt"/>
        <w:numPr>
          <w:ilvl w:val="0"/>
          <w:numId w:val="45"/>
        </w:numPr>
        <w:spacing w:before="60" w:after="0"/>
      </w:pPr>
      <w:r>
        <w:t>Retail – 5.6% (5)</w:t>
      </w:r>
    </w:p>
    <w:p w:rsidR="007725D2" w:rsidRDefault="007725D2" w:rsidP="00BA2D96">
      <w:pPr>
        <w:pStyle w:val="bt"/>
        <w:numPr>
          <w:ilvl w:val="0"/>
          <w:numId w:val="45"/>
        </w:numPr>
        <w:spacing w:before="60" w:after="0"/>
      </w:pPr>
      <w:r>
        <w:t>Manufacturing –</w:t>
      </w:r>
      <w:r w:rsidR="00B351D9">
        <w:t xml:space="preserve"> </w:t>
      </w:r>
      <w:r>
        <w:t xml:space="preserve">9.2% (2) </w:t>
      </w:r>
    </w:p>
    <w:p w:rsidR="007725D2" w:rsidRDefault="007725D2" w:rsidP="00BA2D96">
      <w:pPr>
        <w:pStyle w:val="bt"/>
        <w:numPr>
          <w:ilvl w:val="0"/>
          <w:numId w:val="45"/>
        </w:numPr>
        <w:spacing w:before="60" w:after="0"/>
      </w:pPr>
      <w:r>
        <w:t>Health – 6.6% (4)</w:t>
      </w:r>
    </w:p>
    <w:p w:rsidR="007725D2" w:rsidRDefault="007725D2" w:rsidP="00BA2D96">
      <w:pPr>
        <w:pStyle w:val="bt"/>
        <w:numPr>
          <w:ilvl w:val="0"/>
          <w:numId w:val="45"/>
        </w:numPr>
        <w:spacing w:before="60" w:after="0"/>
      </w:pPr>
      <w:r>
        <w:t>Education – 7.2% (3)</w:t>
      </w:r>
    </w:p>
    <w:p w:rsidR="007725D2" w:rsidRDefault="007725D2" w:rsidP="00BA2D96">
      <w:pPr>
        <w:pStyle w:val="bt"/>
        <w:numPr>
          <w:ilvl w:val="0"/>
          <w:numId w:val="45"/>
        </w:numPr>
        <w:spacing w:before="60" w:after="0"/>
      </w:pPr>
      <w:r>
        <w:t>Construction – 4.4% (6)</w:t>
      </w:r>
    </w:p>
    <w:p w:rsidR="007725D2" w:rsidRDefault="007725D2" w:rsidP="007725D2">
      <w:pPr>
        <w:pStyle w:val="bt"/>
        <w:spacing w:before="60" w:after="0"/>
      </w:pPr>
      <w:r>
        <w:t>Macedon Ranges</w:t>
      </w:r>
    </w:p>
    <w:p w:rsidR="007725D2" w:rsidRDefault="007725D2" w:rsidP="00BA2D96">
      <w:pPr>
        <w:pStyle w:val="bt"/>
        <w:numPr>
          <w:ilvl w:val="0"/>
          <w:numId w:val="45"/>
        </w:numPr>
        <w:spacing w:before="60" w:after="0"/>
      </w:pPr>
      <w:r>
        <w:t>Accommodation &amp; food services – 8.6% (6)</w:t>
      </w:r>
    </w:p>
    <w:p w:rsidR="007725D2" w:rsidRDefault="007725D2" w:rsidP="00BA2D96">
      <w:pPr>
        <w:pStyle w:val="bt"/>
        <w:numPr>
          <w:ilvl w:val="0"/>
          <w:numId w:val="45"/>
        </w:numPr>
        <w:spacing w:before="60" w:after="0"/>
      </w:pPr>
      <w:r>
        <w:t>Retail – 13.3% (1)</w:t>
      </w:r>
    </w:p>
    <w:p w:rsidR="007725D2" w:rsidRDefault="007725D2" w:rsidP="00BA2D96">
      <w:pPr>
        <w:pStyle w:val="bt"/>
        <w:numPr>
          <w:ilvl w:val="0"/>
          <w:numId w:val="45"/>
        </w:numPr>
        <w:spacing w:before="60" w:after="0"/>
      </w:pPr>
      <w:r>
        <w:t>Manufacturing – 10.1% (4)</w:t>
      </w:r>
    </w:p>
    <w:p w:rsidR="007725D2" w:rsidRDefault="007725D2" w:rsidP="00BA2D96">
      <w:pPr>
        <w:pStyle w:val="bt"/>
        <w:numPr>
          <w:ilvl w:val="0"/>
          <w:numId w:val="45"/>
        </w:numPr>
        <w:spacing w:before="60" w:after="0"/>
      </w:pPr>
      <w:r>
        <w:t>Health – 9.9% (5)</w:t>
      </w:r>
    </w:p>
    <w:p w:rsidR="007725D2" w:rsidRDefault="007725D2" w:rsidP="00BA2D96">
      <w:pPr>
        <w:pStyle w:val="bt"/>
        <w:numPr>
          <w:ilvl w:val="0"/>
          <w:numId w:val="45"/>
        </w:numPr>
        <w:spacing w:before="60" w:after="0"/>
      </w:pPr>
      <w:r>
        <w:t>Education – 10.4% (3)</w:t>
      </w:r>
    </w:p>
    <w:p w:rsidR="007725D2" w:rsidRDefault="007725D2" w:rsidP="00BA2D96">
      <w:pPr>
        <w:pStyle w:val="bt"/>
        <w:numPr>
          <w:ilvl w:val="0"/>
          <w:numId w:val="45"/>
        </w:numPr>
        <w:spacing w:before="60" w:after="0"/>
      </w:pPr>
      <w:r>
        <w:t>Construction – 11.0% (2)</w:t>
      </w:r>
    </w:p>
    <w:p w:rsidR="007725D2" w:rsidRDefault="007725D2" w:rsidP="007725D2">
      <w:pPr>
        <w:pStyle w:val="bt"/>
        <w:spacing w:before="60" w:after="0"/>
      </w:pPr>
      <w:r>
        <w:t>Mount Alexander</w:t>
      </w:r>
    </w:p>
    <w:p w:rsidR="007725D2" w:rsidRDefault="007725D2" w:rsidP="00BA2D96">
      <w:pPr>
        <w:pStyle w:val="bt"/>
        <w:numPr>
          <w:ilvl w:val="0"/>
          <w:numId w:val="45"/>
        </w:numPr>
        <w:spacing w:before="60" w:after="0"/>
      </w:pPr>
      <w:r>
        <w:t>Accommodation &amp; food services – 5.7% (6)</w:t>
      </w:r>
    </w:p>
    <w:p w:rsidR="007725D2" w:rsidRDefault="007725D2" w:rsidP="00BA2D96">
      <w:pPr>
        <w:pStyle w:val="bt"/>
        <w:numPr>
          <w:ilvl w:val="0"/>
          <w:numId w:val="45"/>
        </w:numPr>
        <w:spacing w:before="60" w:after="0"/>
      </w:pPr>
      <w:r>
        <w:t>Retail – 11.5% (3)</w:t>
      </w:r>
    </w:p>
    <w:p w:rsidR="007725D2" w:rsidRDefault="007725D2" w:rsidP="00BA2D96">
      <w:pPr>
        <w:pStyle w:val="bt"/>
        <w:numPr>
          <w:ilvl w:val="0"/>
          <w:numId w:val="45"/>
        </w:numPr>
        <w:spacing w:before="60" w:after="0"/>
      </w:pPr>
      <w:r>
        <w:t xml:space="preserve">Manufacturing – </w:t>
      </w:r>
      <w:r w:rsidR="00A97BF3">
        <w:t>23.4% (1)</w:t>
      </w:r>
    </w:p>
    <w:p w:rsidR="007725D2" w:rsidRDefault="007725D2" w:rsidP="00BA2D96">
      <w:pPr>
        <w:pStyle w:val="bt"/>
        <w:numPr>
          <w:ilvl w:val="0"/>
          <w:numId w:val="45"/>
        </w:numPr>
        <w:spacing w:before="60" w:after="0"/>
      </w:pPr>
      <w:r>
        <w:t xml:space="preserve">Health – </w:t>
      </w:r>
      <w:r w:rsidR="00A97BF3">
        <w:t>11.9% (2)</w:t>
      </w:r>
    </w:p>
    <w:p w:rsidR="007725D2" w:rsidRDefault="007725D2" w:rsidP="00BA2D96">
      <w:pPr>
        <w:pStyle w:val="bt"/>
        <w:numPr>
          <w:ilvl w:val="0"/>
          <w:numId w:val="45"/>
        </w:numPr>
        <w:spacing w:before="60" w:after="0"/>
      </w:pPr>
      <w:r>
        <w:t xml:space="preserve">Education – </w:t>
      </w:r>
      <w:r w:rsidR="00A97BF3">
        <w:t>7.0% (5)</w:t>
      </w:r>
    </w:p>
    <w:p w:rsidR="007725D2" w:rsidRDefault="007725D2" w:rsidP="00BA2D96">
      <w:pPr>
        <w:pStyle w:val="bt"/>
        <w:numPr>
          <w:ilvl w:val="0"/>
          <w:numId w:val="45"/>
        </w:numPr>
        <w:spacing w:before="60" w:after="0"/>
      </w:pPr>
      <w:r>
        <w:t xml:space="preserve">Construction – </w:t>
      </w:r>
      <w:r w:rsidR="00A97BF3">
        <w:t>7.3% (4)</w:t>
      </w:r>
    </w:p>
    <w:p w:rsidR="00A97BF3" w:rsidRDefault="00A97BF3" w:rsidP="00A97BF3">
      <w:pPr>
        <w:pStyle w:val="bt"/>
        <w:spacing w:before="60" w:after="0"/>
      </w:pPr>
      <w:r>
        <w:t>Southern region</w:t>
      </w:r>
    </w:p>
    <w:p w:rsidR="00A97BF3" w:rsidRDefault="00A97BF3" w:rsidP="00BA2D96">
      <w:pPr>
        <w:pStyle w:val="bt"/>
        <w:numPr>
          <w:ilvl w:val="0"/>
          <w:numId w:val="45"/>
        </w:numPr>
        <w:spacing w:before="60" w:after="0"/>
      </w:pPr>
      <w:r>
        <w:t>Accommodation &amp; food services – 6.1% (6)</w:t>
      </w:r>
    </w:p>
    <w:p w:rsidR="00A97BF3" w:rsidRDefault="00A97BF3" w:rsidP="00BA2D96">
      <w:pPr>
        <w:pStyle w:val="bt"/>
        <w:numPr>
          <w:ilvl w:val="0"/>
          <w:numId w:val="45"/>
        </w:numPr>
        <w:spacing w:before="60" w:after="0"/>
      </w:pPr>
      <w:r>
        <w:t>Retail – 13.0% (1)</w:t>
      </w:r>
    </w:p>
    <w:p w:rsidR="00A97BF3" w:rsidRDefault="00A97BF3" w:rsidP="00BA2D96">
      <w:pPr>
        <w:pStyle w:val="bt"/>
        <w:numPr>
          <w:ilvl w:val="0"/>
          <w:numId w:val="45"/>
        </w:numPr>
        <w:spacing w:before="60" w:after="0"/>
      </w:pPr>
      <w:r>
        <w:t>Manufacturing – 12.5% (3)</w:t>
      </w:r>
    </w:p>
    <w:p w:rsidR="00A97BF3" w:rsidRDefault="00A97BF3" w:rsidP="00BA2D96">
      <w:pPr>
        <w:pStyle w:val="bt"/>
        <w:numPr>
          <w:ilvl w:val="0"/>
          <w:numId w:val="45"/>
        </w:numPr>
        <w:spacing w:before="60" w:after="0"/>
      </w:pPr>
      <w:r>
        <w:t>Health – 12.6% (2)</w:t>
      </w:r>
    </w:p>
    <w:p w:rsidR="00A97BF3" w:rsidRDefault="00A97BF3" w:rsidP="00BA2D96">
      <w:pPr>
        <w:pStyle w:val="bt"/>
        <w:numPr>
          <w:ilvl w:val="0"/>
          <w:numId w:val="45"/>
        </w:numPr>
        <w:spacing w:before="60" w:after="0"/>
      </w:pPr>
      <w:r>
        <w:t>Education – 8.6% (5)</w:t>
      </w:r>
    </w:p>
    <w:p w:rsidR="007725D2" w:rsidRDefault="00A97BF3" w:rsidP="00BA2D96">
      <w:pPr>
        <w:pStyle w:val="bt"/>
        <w:numPr>
          <w:ilvl w:val="0"/>
          <w:numId w:val="45"/>
        </w:numPr>
        <w:spacing w:before="60" w:after="0"/>
      </w:pPr>
      <w:r>
        <w:t>Construction – 8.9% (4)</w:t>
      </w:r>
    </w:p>
    <w:p w:rsidR="00660EBD" w:rsidRDefault="0067454C">
      <w:pPr>
        <w:pStyle w:val="bt"/>
        <w:tabs>
          <w:tab w:val="left" w:pos="8931"/>
        </w:tabs>
      </w:pPr>
      <w:r w:rsidRPr="00225D10">
        <w:t xml:space="preserve">Unemployment rates in </w:t>
      </w:r>
      <w:r w:rsidR="00790C00" w:rsidRPr="00225D10">
        <w:t xml:space="preserve">the </w:t>
      </w:r>
      <w:r w:rsidRPr="00225D10">
        <w:t xml:space="preserve">Loddon Mallee South </w:t>
      </w:r>
      <w:r w:rsidR="00790C00" w:rsidRPr="00225D10">
        <w:t xml:space="preserve">region </w:t>
      </w:r>
      <w:r w:rsidRPr="00225D10">
        <w:t>have generally been steady over the past four years, but skills and availability has not necessarily been well matched to the needs of employment</w:t>
      </w:r>
      <w:r w:rsidR="00CA7338" w:rsidRPr="00225D10">
        <w:t>. L</w:t>
      </w:r>
      <w:r w:rsidRPr="00225D10">
        <w:t>abour and skills</w:t>
      </w:r>
      <w:r w:rsidR="00CA7338" w:rsidRPr="00225D10">
        <w:t xml:space="preserve"> shortages </w:t>
      </w:r>
      <w:r w:rsidR="00790C00" w:rsidRPr="00225D10">
        <w:t xml:space="preserve">are </w:t>
      </w:r>
      <w:r w:rsidR="00CA7338" w:rsidRPr="00225D10">
        <w:t>an issue</w:t>
      </w:r>
      <w:r w:rsidRPr="00225D10">
        <w:t xml:space="preserve"> of concern for futur</w:t>
      </w:r>
      <w:r w:rsidR="00CA7338" w:rsidRPr="00225D10">
        <w:t xml:space="preserve">e regional economic development. </w:t>
      </w:r>
      <w:r w:rsidRPr="00225D10">
        <w:t>Unemployment rates in 201</w:t>
      </w:r>
      <w:r w:rsidR="007A6612" w:rsidRPr="00225D10">
        <w:t>2 ranged</w:t>
      </w:r>
      <w:r w:rsidR="008D2A49" w:rsidRPr="00225D10">
        <w:t xml:space="preserve"> from 2.8</w:t>
      </w:r>
      <w:r w:rsidR="00997C90">
        <w:t xml:space="preserve"> per cent</w:t>
      </w:r>
      <w:r w:rsidR="00997C90" w:rsidRPr="00225D10">
        <w:t xml:space="preserve"> </w:t>
      </w:r>
      <w:r w:rsidR="007A6612" w:rsidRPr="00225D10">
        <w:t xml:space="preserve">in Macedon Ranges Shire to </w:t>
      </w:r>
      <w:r w:rsidR="008D2A49" w:rsidRPr="00225D10">
        <w:t>9.1</w:t>
      </w:r>
      <w:r w:rsidR="00997C90">
        <w:t xml:space="preserve"> per cent</w:t>
      </w:r>
      <w:r w:rsidR="00997C90" w:rsidRPr="00225D10">
        <w:t xml:space="preserve"> </w:t>
      </w:r>
      <w:r w:rsidRPr="00225D10">
        <w:t>in Central Goldfields</w:t>
      </w:r>
      <w:r w:rsidR="007D6F85">
        <w:t xml:space="preserve"> Shire</w:t>
      </w:r>
      <w:r w:rsidRPr="00225D10">
        <w:t xml:space="preserve">. </w:t>
      </w:r>
    </w:p>
    <w:p w:rsidR="0066264C" w:rsidRDefault="00E02B95" w:rsidP="00D34F87">
      <w:pPr>
        <w:pStyle w:val="Caption"/>
        <w:tabs>
          <w:tab w:val="left" w:pos="8931"/>
        </w:tabs>
        <w:spacing w:before="120"/>
      </w:pPr>
      <w:bookmarkStart w:id="71" w:name="_Toc352166559"/>
      <w:bookmarkStart w:id="72" w:name="_Toc374530813"/>
      <w:r w:rsidRPr="00225D10">
        <w:t xml:space="preserve">Figure </w:t>
      </w:r>
      <w:r w:rsidR="00162534">
        <w:fldChar w:fldCharType="begin"/>
      </w:r>
      <w:r w:rsidR="00154847">
        <w:instrText xml:space="preserve"> SEQ Figure \* ARABIC </w:instrText>
      </w:r>
      <w:r w:rsidR="00162534">
        <w:fldChar w:fldCharType="separate"/>
      </w:r>
      <w:r w:rsidR="00EF1401">
        <w:rPr>
          <w:noProof/>
        </w:rPr>
        <w:t>18</w:t>
      </w:r>
      <w:r w:rsidR="00162534">
        <w:fldChar w:fldCharType="end"/>
      </w:r>
      <w:r w:rsidR="00377F5C">
        <w:t xml:space="preserve">: </w:t>
      </w:r>
      <w:r w:rsidRPr="00225D10">
        <w:t>Loddon Mallee South unemployment rate, September Quarter 2012</w:t>
      </w:r>
      <w:bookmarkEnd w:id="71"/>
      <w:bookmarkEnd w:id="72"/>
    </w:p>
    <w:p w:rsidR="00A97BF3" w:rsidRDefault="00A97BF3" w:rsidP="00A97BF3">
      <w:pPr>
        <w:pStyle w:val="ListParagraphSummary"/>
      </w:pPr>
      <w:r w:rsidRPr="003C3D3A">
        <w:t>Municipality Greater Bendigo, unemployment rate: 5.1</w:t>
      </w:r>
    </w:p>
    <w:p w:rsidR="00A97BF3" w:rsidRDefault="00A97BF3" w:rsidP="00A97BF3">
      <w:pPr>
        <w:pStyle w:val="ListParagraphSummary"/>
      </w:pPr>
      <w:r w:rsidRPr="003C3D3A">
        <w:t>Municipality Central Goldfields, unemployment rate 9.1</w:t>
      </w:r>
    </w:p>
    <w:p w:rsidR="00A97BF3" w:rsidRDefault="00A97BF3" w:rsidP="00A97BF3">
      <w:pPr>
        <w:pStyle w:val="ListParagraphSummary"/>
      </w:pPr>
      <w:r w:rsidRPr="003C3D3A">
        <w:t>Municipality Macedon Ranges, unemployment rate 2.8</w:t>
      </w:r>
    </w:p>
    <w:p w:rsidR="00A97BF3" w:rsidRDefault="00A97BF3" w:rsidP="00A97BF3">
      <w:pPr>
        <w:pStyle w:val="ListParagraphSummary"/>
      </w:pPr>
      <w:r w:rsidRPr="003C3D3A">
        <w:t>Municipality Mount Alexander, unemployment rate 5.2</w:t>
      </w:r>
    </w:p>
    <w:p w:rsidR="00A97BF3" w:rsidRPr="003C3D3A" w:rsidRDefault="00A97BF3" w:rsidP="00A97BF3">
      <w:pPr>
        <w:pStyle w:val="ListParagraphSummary"/>
      </w:pPr>
      <w:r w:rsidRPr="003C3D3A">
        <w:t>Municipality</w:t>
      </w:r>
      <w:r w:rsidR="008E4CBD">
        <w:t xml:space="preserve"> Loddon, unemployment rate 4.3</w:t>
      </w:r>
    </w:p>
    <w:p w:rsidR="008D2A49" w:rsidRPr="00CD63EF" w:rsidRDefault="008D2A49" w:rsidP="00D34F87">
      <w:pPr>
        <w:pStyle w:val="Source"/>
        <w:tabs>
          <w:tab w:val="left" w:pos="8931"/>
        </w:tabs>
      </w:pPr>
      <w:r w:rsidRPr="00CD63EF">
        <w:t>Source: D</w:t>
      </w:r>
      <w:r w:rsidR="00790C00" w:rsidRPr="00CD63EF">
        <w:t>epartment of Education, Employment and Workplace Relations</w:t>
      </w:r>
      <w:r w:rsidRPr="00CD63EF">
        <w:t xml:space="preserve"> Small Area Labour</w:t>
      </w:r>
      <w:r w:rsidR="00956B78" w:rsidRPr="00CD63EF">
        <w:t xml:space="preserve"> Markets Statistics, September Q</w:t>
      </w:r>
      <w:r w:rsidRPr="00CD63EF">
        <w:t>uarter 2012. Smoothed Series.</w:t>
      </w:r>
    </w:p>
    <w:p w:rsidR="007200DE" w:rsidRDefault="00790C00" w:rsidP="00D34F87">
      <w:pPr>
        <w:pStyle w:val="bt"/>
        <w:tabs>
          <w:tab w:val="left" w:pos="8931"/>
        </w:tabs>
      </w:pPr>
      <w:r w:rsidRPr="00225D10">
        <w:t>S</w:t>
      </w:r>
      <w:r w:rsidR="00A7457D" w:rsidRPr="00225D10">
        <w:t xml:space="preserve">trong and growing service sectors are emerging </w:t>
      </w:r>
      <w:r w:rsidRPr="00225D10">
        <w:t xml:space="preserve">across </w:t>
      </w:r>
      <w:r w:rsidR="00A7457D" w:rsidRPr="00225D10">
        <w:t xml:space="preserve">the </w:t>
      </w:r>
      <w:r w:rsidRPr="00225D10">
        <w:t xml:space="preserve">Loddon Mallee South </w:t>
      </w:r>
      <w:r w:rsidR="00A7457D" w:rsidRPr="00225D10">
        <w:t xml:space="preserve">region, </w:t>
      </w:r>
      <w:r w:rsidRPr="00225D10">
        <w:t xml:space="preserve">which are </w:t>
      </w:r>
      <w:r w:rsidR="00A7457D" w:rsidRPr="00225D10">
        <w:t xml:space="preserve">diversifying the economy. </w:t>
      </w:r>
      <w:r w:rsidR="00147B38" w:rsidRPr="00225D10">
        <w:t>From 2011 to 2031, the regional employment profile is projected to be heavily concentrated in the services sector</w:t>
      </w:r>
      <w:r w:rsidRPr="00225D10">
        <w:t>. The</w:t>
      </w:r>
      <w:r w:rsidR="00147B38" w:rsidRPr="00225D10">
        <w:t xml:space="preserve"> projected top five employment sectors for the region are healthcare, retail trade, accommodation and food services (including </w:t>
      </w:r>
      <w:r w:rsidRPr="00225D10">
        <w:t>t</w:t>
      </w:r>
      <w:r w:rsidR="00147B38" w:rsidRPr="00225D10">
        <w:t>ourism), education and construction. The</w:t>
      </w:r>
      <w:r w:rsidR="00147B38" w:rsidRPr="00225D10">
        <w:rPr>
          <w:szCs w:val="22"/>
        </w:rPr>
        <w:t xml:space="preserve"> creative development of heritage assets</w:t>
      </w:r>
      <w:r w:rsidR="00147B38" w:rsidRPr="00225D10">
        <w:t xml:space="preserve"> leads to </w:t>
      </w:r>
      <w:r w:rsidR="00147B38" w:rsidRPr="00225D10">
        <w:rPr>
          <w:szCs w:val="22"/>
        </w:rPr>
        <w:t xml:space="preserve">increased </w:t>
      </w:r>
      <w:r w:rsidR="00147B38" w:rsidRPr="00225D10">
        <w:rPr>
          <w:szCs w:val="22"/>
        </w:rPr>
        <w:lastRenderedPageBreak/>
        <w:t>tourism and improved liveability.</w:t>
      </w:r>
      <w:r w:rsidR="00147B38" w:rsidRPr="00225D10">
        <w:t xml:space="preserve"> </w:t>
      </w:r>
      <w:r w:rsidR="001D1CF6" w:rsidRPr="00225D10">
        <w:t>By 2031, the</w:t>
      </w:r>
      <w:r w:rsidR="00496E0D" w:rsidRPr="00225D10">
        <w:t>se</w:t>
      </w:r>
      <w:r w:rsidR="001D1CF6" w:rsidRPr="00225D10">
        <w:t xml:space="preserve"> top five sectors are projected to account for 59</w:t>
      </w:r>
      <w:r w:rsidR="00997C90">
        <w:t xml:space="preserve"> per cent</w:t>
      </w:r>
      <w:r w:rsidR="00997C90" w:rsidRPr="00225D10">
        <w:t xml:space="preserve"> </w:t>
      </w:r>
      <w:r w:rsidR="001D1CF6" w:rsidRPr="00225D10">
        <w:t>of total employment in the region (R</w:t>
      </w:r>
      <w:r w:rsidRPr="00225D10">
        <w:t xml:space="preserve">egional Development Victoria </w:t>
      </w:r>
      <w:r w:rsidR="001D1CF6" w:rsidRPr="00225D10">
        <w:t>2012</w:t>
      </w:r>
      <w:r w:rsidRPr="00225D10">
        <w:t>,</w:t>
      </w:r>
      <w:r w:rsidR="001D1CF6" w:rsidRPr="00225D10">
        <w:t xml:space="preserve"> unpublished analysis).</w:t>
      </w:r>
      <w:r w:rsidR="00E15D62" w:rsidRPr="00225D10">
        <w:t xml:space="preserve"> Manufacturing is projected to decline over </w:t>
      </w:r>
      <w:r w:rsidR="00A01040" w:rsidRPr="00225D10">
        <w:t xml:space="preserve">this </w:t>
      </w:r>
      <w:r w:rsidR="00E15D62" w:rsidRPr="00225D10">
        <w:t xml:space="preserve">period, </w:t>
      </w:r>
      <w:r w:rsidR="00A01040" w:rsidRPr="00225D10">
        <w:t xml:space="preserve">although it </w:t>
      </w:r>
      <w:r w:rsidR="00E15D62" w:rsidRPr="00225D10">
        <w:t>will remain important to the regional economy. Agriculture is projected to grow at a relatively faster rate of 1.3</w:t>
      </w:r>
      <w:r w:rsidR="000A28FC">
        <w:t xml:space="preserve"> </w:t>
      </w:r>
      <w:r w:rsidR="00997C90">
        <w:t>per cent</w:t>
      </w:r>
      <w:r w:rsidR="00997C90" w:rsidRPr="00225D10">
        <w:t xml:space="preserve"> </w:t>
      </w:r>
      <w:r w:rsidR="00E15D62" w:rsidRPr="00225D10">
        <w:t xml:space="preserve">over the </w:t>
      </w:r>
      <w:r w:rsidR="00A01040" w:rsidRPr="00225D10">
        <w:t xml:space="preserve">same </w:t>
      </w:r>
      <w:r w:rsidR="00E15D62" w:rsidRPr="00225D10">
        <w:t xml:space="preserve">time period. </w:t>
      </w:r>
      <w:r w:rsidR="00496E0D" w:rsidRPr="00225D10">
        <w:t>Economic g</w:t>
      </w:r>
      <w:r w:rsidR="00E15D62" w:rsidRPr="00225D10">
        <w:t>rowth is expected to be distributed unevenly, with the bulk of the output and employment growth expected in Bendigo and Macedon Ranges</w:t>
      </w:r>
      <w:r w:rsidR="000D22C3">
        <w:t>.</w:t>
      </w:r>
      <w:r w:rsidR="00E15D62" w:rsidRPr="000D22C3">
        <w:rPr>
          <w:rStyle w:val="FootnoteReference"/>
          <w:rFonts w:asciiTheme="minorHAnsi" w:hAnsiTheme="minorHAnsi" w:cs="Arial"/>
          <w:szCs w:val="20"/>
        </w:rPr>
        <w:footnoteReference w:id="9"/>
      </w:r>
    </w:p>
    <w:p w:rsidR="0067454C" w:rsidRPr="00225D10" w:rsidRDefault="0067454C" w:rsidP="00D34F87">
      <w:pPr>
        <w:pStyle w:val="bt"/>
        <w:tabs>
          <w:tab w:val="left" w:pos="8931"/>
        </w:tabs>
      </w:pPr>
      <w:r w:rsidRPr="00225D10">
        <w:t>Workforce skills gaps have been identified in key economic growth areas including construction, education, transport and logistics</w:t>
      </w:r>
      <w:r w:rsidR="00A01040" w:rsidRPr="00225D10">
        <w:t>,</w:t>
      </w:r>
      <w:r w:rsidRPr="00225D10">
        <w:t xml:space="preserve"> and health</w:t>
      </w:r>
      <w:r w:rsidR="00496E0D" w:rsidRPr="00225D10">
        <w:t>,</w:t>
      </w:r>
      <w:r w:rsidRPr="00225D10">
        <w:t xml:space="preserve"> suggest</w:t>
      </w:r>
      <w:r w:rsidR="00496E0D" w:rsidRPr="00225D10">
        <w:t>ing</w:t>
      </w:r>
      <w:r w:rsidRPr="00225D10">
        <w:t xml:space="preserve"> the region should better integrate secondary school and post</w:t>
      </w:r>
      <w:r w:rsidR="00790C00" w:rsidRPr="00225D10">
        <w:t>-</w:t>
      </w:r>
      <w:r w:rsidRPr="00225D10">
        <w:t xml:space="preserve">secondary education with regional economic development. Ongoing training </w:t>
      </w:r>
      <w:r w:rsidR="00A01040" w:rsidRPr="00225D10">
        <w:t xml:space="preserve">will </w:t>
      </w:r>
      <w:r w:rsidRPr="00225D10">
        <w:t xml:space="preserve">also </w:t>
      </w:r>
      <w:r w:rsidR="00A01040" w:rsidRPr="00225D10">
        <w:t xml:space="preserve">be </w:t>
      </w:r>
      <w:r w:rsidRPr="00225D10">
        <w:t>required to ensure workers</w:t>
      </w:r>
      <w:r w:rsidR="00A01040" w:rsidRPr="00225D10">
        <w:t>’</w:t>
      </w:r>
      <w:r w:rsidRPr="00225D10">
        <w:t xml:space="preserve"> skills continue to meet the changing needs of industry and are positioned to take advantage of any emerging industry opportunities.</w:t>
      </w:r>
    </w:p>
    <w:p w:rsidR="0067454C" w:rsidRPr="00225D10" w:rsidRDefault="0067454C" w:rsidP="00D34F87">
      <w:pPr>
        <w:pStyle w:val="bt"/>
        <w:tabs>
          <w:tab w:val="left" w:pos="8931"/>
        </w:tabs>
      </w:pPr>
      <w:r w:rsidRPr="00225D10">
        <w:t xml:space="preserve">Tertiary education facilities such as La Trobe and Monash </w:t>
      </w:r>
      <w:r w:rsidR="00A01040" w:rsidRPr="00225D10">
        <w:t>u</w:t>
      </w:r>
      <w:r w:rsidRPr="00225D10">
        <w:t xml:space="preserve">niversities in Bendigo offer an alternative to studying in Melbourne </w:t>
      </w:r>
      <w:r w:rsidR="00A01040" w:rsidRPr="00225D10">
        <w:t xml:space="preserve">and </w:t>
      </w:r>
      <w:r w:rsidRPr="00225D10">
        <w:t xml:space="preserve">other regions. Increasing tertiary enrolments will contribute to the region’s economy, attract new people, and potentially </w:t>
      </w:r>
      <w:r w:rsidR="00A01040" w:rsidRPr="00225D10">
        <w:t xml:space="preserve">encourage </w:t>
      </w:r>
      <w:r w:rsidRPr="00225D10">
        <w:t xml:space="preserve">a skilled workforce and younger people to </w:t>
      </w:r>
      <w:r w:rsidR="00A01040" w:rsidRPr="00225D10">
        <w:t xml:space="preserve">settle in </w:t>
      </w:r>
      <w:r w:rsidRPr="00225D10">
        <w:t xml:space="preserve">the region. A current inhibitor to increasing tertiary participation is the lack of student accommodation in Bendigo, the establishment of which is a key priority in the </w:t>
      </w:r>
      <w:r w:rsidR="007C5534">
        <w:t xml:space="preserve">Southern Loddon Mallee </w:t>
      </w:r>
      <w:r w:rsidR="00F91E3F">
        <w:t xml:space="preserve">Regional </w:t>
      </w:r>
      <w:r w:rsidR="007C5534">
        <w:t>Strategic Plan 2010</w:t>
      </w:r>
      <w:r w:rsidRPr="00225D10">
        <w:t>. Beyond this, further development and investment in university programs and facilities will be required to drive the growth and participation in tertiary education in the region.</w:t>
      </w:r>
    </w:p>
    <w:p w:rsidR="00B44462" w:rsidRPr="00225D10" w:rsidRDefault="0067454C" w:rsidP="00D34F87">
      <w:pPr>
        <w:pStyle w:val="bt"/>
        <w:tabs>
          <w:tab w:val="left" w:pos="8931"/>
        </w:tabs>
      </w:pPr>
      <w:r w:rsidRPr="00225D10">
        <w:t>Whole</w:t>
      </w:r>
      <w:r w:rsidR="00A01040" w:rsidRPr="00225D10">
        <w:t>-</w:t>
      </w:r>
      <w:r w:rsidRPr="00225D10">
        <w:t>of</w:t>
      </w:r>
      <w:r w:rsidR="00A01040" w:rsidRPr="00225D10">
        <w:t>-</w:t>
      </w:r>
      <w:r w:rsidRPr="00225D10">
        <w:t>life education and training is critical to overall health and wellbeing. Educational attainment brings personal, social and economic benefits to individuals and communities. It also creates opportunit</w:t>
      </w:r>
      <w:r w:rsidR="00A01040" w:rsidRPr="00225D10">
        <w:t>ies</w:t>
      </w:r>
      <w:r w:rsidRPr="00225D10">
        <w:t xml:space="preserve"> through increased access to employment for individuals and helps to address regional skill shortages and assist</w:t>
      </w:r>
      <w:r w:rsidR="007D6F85">
        <w:t>s</w:t>
      </w:r>
      <w:r w:rsidRPr="00225D10">
        <w:t xml:space="preserve"> in strengthening and diversifying the economy.</w:t>
      </w:r>
    </w:p>
    <w:p w:rsidR="00890E4D" w:rsidRPr="00663F7F" w:rsidRDefault="00890E4D" w:rsidP="00D34F87">
      <w:pPr>
        <w:pStyle w:val="Heading2"/>
        <w:tabs>
          <w:tab w:val="left" w:pos="8931"/>
        </w:tabs>
        <w:rPr>
          <w:rFonts w:cs="Arial"/>
        </w:rPr>
      </w:pPr>
      <w:bookmarkStart w:id="73" w:name="_Toc374530859"/>
      <w:r w:rsidRPr="00663F7F">
        <w:rPr>
          <w:rFonts w:cs="Arial"/>
        </w:rPr>
        <w:t>A changing regional economy</w:t>
      </w:r>
      <w:bookmarkEnd w:id="73"/>
      <w:r w:rsidRPr="00663F7F">
        <w:rPr>
          <w:rFonts w:cs="Arial"/>
        </w:rPr>
        <w:t xml:space="preserve"> </w:t>
      </w:r>
    </w:p>
    <w:p w:rsidR="00890E4D" w:rsidRPr="00225D10" w:rsidRDefault="00890E4D" w:rsidP="00D34F87">
      <w:pPr>
        <w:pStyle w:val="bt"/>
        <w:tabs>
          <w:tab w:val="left" w:pos="8931"/>
        </w:tabs>
      </w:pPr>
      <w:r w:rsidRPr="00225D10">
        <w:t>Historically</w:t>
      </w:r>
      <w:r w:rsidR="00A01040" w:rsidRPr="00225D10">
        <w:t>,</w:t>
      </w:r>
      <w:r w:rsidRPr="00225D10">
        <w:t xml:space="preserve"> the </w:t>
      </w:r>
      <w:r w:rsidR="00A01040" w:rsidRPr="00225D10">
        <w:t xml:space="preserve">Loddon Mallee South </w:t>
      </w:r>
      <w:r w:rsidRPr="00225D10">
        <w:t>region</w:t>
      </w:r>
      <w:r w:rsidR="002B6A3E" w:rsidRPr="00225D10">
        <w:t>al</w:t>
      </w:r>
      <w:r w:rsidRPr="00225D10">
        <w:t xml:space="preserve"> economy was strongly influenced by the agricultural, mining and manufacturing sectors. Over the past 30 years, </w:t>
      </w:r>
      <w:r w:rsidR="002B6A3E" w:rsidRPr="00225D10">
        <w:t xml:space="preserve">the </w:t>
      </w:r>
      <w:r w:rsidRPr="00225D10">
        <w:t>increased capitali</w:t>
      </w:r>
      <w:r w:rsidR="002B6A3E" w:rsidRPr="00225D10">
        <w:t>s</w:t>
      </w:r>
      <w:r w:rsidRPr="00225D10">
        <w:t xml:space="preserve">ation and scale of the agricultural sector has led to population losses in </w:t>
      </w:r>
      <w:r w:rsidR="002B6A3E" w:rsidRPr="00225D10">
        <w:t xml:space="preserve">some </w:t>
      </w:r>
      <w:r w:rsidRPr="00225D10">
        <w:t xml:space="preserve">rural areas, with </w:t>
      </w:r>
      <w:r w:rsidR="00A034E1" w:rsidRPr="00225D10">
        <w:t>severe</w:t>
      </w:r>
      <w:r w:rsidRPr="00225D10">
        <w:t xml:space="preserve"> weather events</w:t>
      </w:r>
      <w:r w:rsidR="00A034E1" w:rsidRPr="00225D10">
        <w:t>, drought</w:t>
      </w:r>
      <w:r w:rsidRPr="00225D10">
        <w:t xml:space="preserve"> and global economic factors impacting on the productivity of agriculture.  </w:t>
      </w:r>
    </w:p>
    <w:p w:rsidR="00890E4D" w:rsidRPr="00225D10" w:rsidRDefault="00890E4D" w:rsidP="00D34F87">
      <w:pPr>
        <w:pStyle w:val="bt"/>
        <w:tabs>
          <w:tab w:val="left" w:pos="8931"/>
        </w:tabs>
      </w:pPr>
      <w:r w:rsidRPr="00225D10">
        <w:t>Manufacturing such as food processing and printing</w:t>
      </w:r>
      <w:r w:rsidR="00790FE9">
        <w:t xml:space="preserve">, </w:t>
      </w:r>
      <w:r w:rsidRPr="00225D10">
        <w:t>KR Castlemaine</w:t>
      </w:r>
      <w:r w:rsidR="002B6A3E" w:rsidRPr="00225D10">
        <w:t xml:space="preserve"> and </w:t>
      </w:r>
      <w:r w:rsidRPr="00225D10">
        <w:t xml:space="preserve">MacPhersons </w:t>
      </w:r>
      <w:r w:rsidR="002B6A3E" w:rsidRPr="00225D10">
        <w:t>P</w:t>
      </w:r>
      <w:r w:rsidRPr="00225D10">
        <w:t xml:space="preserve">rinting </w:t>
      </w:r>
      <w:r w:rsidR="002B6A3E" w:rsidRPr="00225D10">
        <w:t>G</w:t>
      </w:r>
      <w:r w:rsidRPr="00225D10">
        <w:t>roup</w:t>
      </w:r>
      <w:r w:rsidR="00B47687" w:rsidRPr="00225D10">
        <w:t>,</w:t>
      </w:r>
      <w:r w:rsidRPr="00225D10">
        <w:t xml:space="preserve"> have been significant to the economy and employment, but are also changing. </w:t>
      </w:r>
      <w:r w:rsidR="002B6A3E" w:rsidRPr="00225D10">
        <w:t xml:space="preserve">While </w:t>
      </w:r>
      <w:r w:rsidRPr="00225D10">
        <w:t xml:space="preserve">manufacturing is still one of the </w:t>
      </w:r>
      <w:r w:rsidR="002B6A3E" w:rsidRPr="00225D10">
        <w:t xml:space="preserve">most </w:t>
      </w:r>
      <w:r w:rsidRPr="00225D10">
        <w:t>significant economic sectors of the region, it has remained subdued over the past decade.</w:t>
      </w:r>
      <w:r w:rsidR="002B6A3E" w:rsidRPr="00225D10">
        <w:t xml:space="preserve"> “</w:t>
      </w:r>
      <w:r w:rsidR="008D37E7" w:rsidRPr="00225D10">
        <w:t>In 2011, the sector contributed 11</w:t>
      </w:r>
      <w:r w:rsidR="00997C90">
        <w:t xml:space="preserve"> per cent</w:t>
      </w:r>
      <w:r w:rsidR="00997C90" w:rsidRPr="00225D10">
        <w:t xml:space="preserve"> </w:t>
      </w:r>
      <w:r w:rsidR="008D37E7" w:rsidRPr="00225D10">
        <w:t>to the regional output compared to the 15</w:t>
      </w:r>
      <w:r w:rsidR="00997C90">
        <w:t xml:space="preserve"> per cent</w:t>
      </w:r>
      <w:r w:rsidR="00997C90" w:rsidRPr="00225D10">
        <w:t xml:space="preserve"> </w:t>
      </w:r>
      <w:r w:rsidR="008D37E7" w:rsidRPr="00225D10">
        <w:t>contribution in 2001</w:t>
      </w:r>
      <w:r w:rsidR="002B6A3E" w:rsidRPr="00225D10">
        <w:t>.</w:t>
      </w:r>
      <w:r w:rsidR="008D37E7" w:rsidRPr="00225D10">
        <w:t xml:space="preserve">” </w:t>
      </w:r>
      <w:proofErr w:type="gramStart"/>
      <w:r w:rsidR="008D37E7" w:rsidRPr="00225D10">
        <w:t>(R</w:t>
      </w:r>
      <w:r w:rsidR="002B6A3E" w:rsidRPr="00225D10">
        <w:t>egional Development Victoria</w:t>
      </w:r>
      <w:r w:rsidR="008D37E7" w:rsidRPr="00225D10">
        <w:t xml:space="preserve"> 2012)</w:t>
      </w:r>
      <w:r w:rsidRPr="00225D10">
        <w:t>.</w:t>
      </w:r>
      <w:proofErr w:type="gramEnd"/>
      <w:r w:rsidRPr="00225D10">
        <w:t xml:space="preserve"> </w:t>
      </w:r>
      <w:r w:rsidR="002B6A3E" w:rsidRPr="00225D10">
        <w:t xml:space="preserve">Although </w:t>
      </w:r>
      <w:r w:rsidRPr="00225D10">
        <w:t>the decline in manufacturing is generally statewide, there</w:t>
      </w:r>
      <w:r w:rsidR="00BA7282">
        <w:t xml:space="preserve"> </w:t>
      </w:r>
      <w:r w:rsidRPr="00225D10">
        <w:t>are opportunities to attract new businesses to the region from metropolitan Melbourne due to lower costs and location</w:t>
      </w:r>
      <w:r w:rsidR="007D6F85">
        <w:t>al</w:t>
      </w:r>
      <w:r w:rsidRPr="00225D10">
        <w:t xml:space="preserve"> advantages. </w:t>
      </w:r>
      <w:r w:rsidR="002B6A3E" w:rsidRPr="00225D10">
        <w:t xml:space="preserve">One </w:t>
      </w:r>
      <w:r w:rsidRPr="00225D10">
        <w:t xml:space="preserve">example </w:t>
      </w:r>
      <w:r w:rsidR="002B6A3E" w:rsidRPr="00225D10">
        <w:t xml:space="preserve">is </w:t>
      </w:r>
      <w:r w:rsidRPr="00225D10">
        <w:t>the relocation of True Foods to Maryborough.</w:t>
      </w:r>
    </w:p>
    <w:p w:rsidR="00890E4D" w:rsidRPr="00225D10" w:rsidRDefault="00890E4D" w:rsidP="00D34F87">
      <w:pPr>
        <w:pStyle w:val="bt"/>
        <w:tabs>
          <w:tab w:val="left" w:pos="8931"/>
        </w:tabs>
      </w:pPr>
      <w:r w:rsidRPr="00225D10">
        <w:t>Compared to other regions, the Loddon Mallee South economic structure is relatively less dependent on the agriculture sector</w:t>
      </w:r>
      <w:r w:rsidR="00AC52CD" w:rsidRPr="00225D10">
        <w:t xml:space="preserve">. </w:t>
      </w:r>
      <w:r w:rsidR="002B6A3E" w:rsidRPr="00225D10">
        <w:t>However, t</w:t>
      </w:r>
      <w:r w:rsidRPr="00225D10">
        <w:t xml:space="preserve">his does not lessen the importance of agriculture in the region, in particular for Loddon Shire which </w:t>
      </w:r>
      <w:r w:rsidR="00763570">
        <w:t>h</w:t>
      </w:r>
      <w:r w:rsidRPr="00225D10">
        <w:t>as a long tradition of broadacre farming</w:t>
      </w:r>
      <w:r w:rsidR="00A034E1" w:rsidRPr="00225D10">
        <w:t xml:space="preserve"> along with irrigated agriculture in the north of the </w:t>
      </w:r>
      <w:r w:rsidR="002B6A3E" w:rsidRPr="00225D10">
        <w:t>s</w:t>
      </w:r>
      <w:r w:rsidR="00A034E1" w:rsidRPr="00225D10">
        <w:t>hire</w:t>
      </w:r>
      <w:r w:rsidRPr="00225D10">
        <w:t xml:space="preserve">. </w:t>
      </w:r>
      <w:r w:rsidR="00F031C7" w:rsidRPr="00225D10">
        <w:t>Dry</w:t>
      </w:r>
      <w:r w:rsidR="00F031C7">
        <w:t xml:space="preserve"> </w:t>
      </w:r>
      <w:r w:rsidR="00F031C7" w:rsidRPr="00225D10">
        <w:t>land</w:t>
      </w:r>
      <w:r w:rsidRPr="00225D10">
        <w:t xml:space="preserve"> areas support beef and sheep livestock enterprises, as well as the production of broadacre crops such as grain and oil seeds. Across the region, dairy, pork, and chicken (broiler and egg) and the equine industries are strong as is horticulture</w:t>
      </w:r>
      <w:r w:rsidR="00790FE9">
        <w:t>,</w:t>
      </w:r>
      <w:r w:rsidRPr="00225D10">
        <w:t xml:space="preserve"> including viticulture. Apples, olives, nuts and wine grapes are the dominant plant industries.</w:t>
      </w:r>
    </w:p>
    <w:p w:rsidR="00B44462" w:rsidRPr="00225D10" w:rsidRDefault="00890E4D" w:rsidP="00D34F87">
      <w:pPr>
        <w:pStyle w:val="bt"/>
        <w:tabs>
          <w:tab w:val="left" w:pos="8931"/>
        </w:tabs>
      </w:pPr>
      <w:r w:rsidRPr="00225D10">
        <w:t>Regions supported by more than one industry are less likely to be severely affected by external economic shocks.</w:t>
      </w:r>
    </w:p>
    <w:p w:rsidR="0067454C" w:rsidRPr="00663F7F" w:rsidRDefault="0067454C" w:rsidP="00D34F87">
      <w:pPr>
        <w:pStyle w:val="Heading2"/>
        <w:tabs>
          <w:tab w:val="left" w:pos="8931"/>
        </w:tabs>
        <w:rPr>
          <w:rFonts w:cs="Arial"/>
        </w:rPr>
      </w:pPr>
      <w:bookmarkStart w:id="74" w:name="_Toc374530860"/>
      <w:r w:rsidRPr="00663F7F">
        <w:rPr>
          <w:rFonts w:cs="Arial"/>
        </w:rPr>
        <w:lastRenderedPageBreak/>
        <w:t xml:space="preserve">Major and </w:t>
      </w:r>
      <w:r w:rsidR="00790C00" w:rsidRPr="00663F7F">
        <w:rPr>
          <w:rFonts w:cs="Arial"/>
        </w:rPr>
        <w:t>e</w:t>
      </w:r>
      <w:r w:rsidRPr="00663F7F">
        <w:rPr>
          <w:rFonts w:cs="Arial"/>
        </w:rPr>
        <w:t xml:space="preserve">merging </w:t>
      </w:r>
      <w:r w:rsidR="00790C00" w:rsidRPr="00663F7F">
        <w:rPr>
          <w:rFonts w:cs="Arial"/>
        </w:rPr>
        <w:t>b</w:t>
      </w:r>
      <w:r w:rsidRPr="00663F7F">
        <w:rPr>
          <w:rFonts w:cs="Arial"/>
        </w:rPr>
        <w:t>usinesses</w:t>
      </w:r>
      <w:bookmarkEnd w:id="74"/>
      <w:r w:rsidRPr="00663F7F">
        <w:rPr>
          <w:rFonts w:cs="Arial"/>
        </w:rPr>
        <w:t xml:space="preserve"> </w:t>
      </w:r>
    </w:p>
    <w:p w:rsidR="001B459D" w:rsidRDefault="0067454C" w:rsidP="00D34F87">
      <w:pPr>
        <w:pStyle w:val="bt"/>
        <w:tabs>
          <w:tab w:val="left" w:pos="8931"/>
        </w:tabs>
      </w:pPr>
      <w:r w:rsidRPr="00225D10">
        <w:t>Whil</w:t>
      </w:r>
      <w:r w:rsidR="007D6F85">
        <w:t>e</w:t>
      </w:r>
      <w:r w:rsidRPr="00225D10">
        <w:t xml:space="preserve"> the trends in economic sectors show a slow</w:t>
      </w:r>
      <w:r w:rsidR="002B6A3E" w:rsidRPr="00225D10">
        <w:t>down</w:t>
      </w:r>
      <w:r w:rsidRPr="00225D10">
        <w:t xml:space="preserve"> in manufacturing and agriculture in terms of economic output, there are opportunities to build exis</w:t>
      </w:r>
      <w:r w:rsidR="00AC52CD" w:rsidRPr="00225D10">
        <w:t>ting strengths in these sectors</w:t>
      </w:r>
      <w:r w:rsidR="007C3439">
        <w:t>. Figure 19</w:t>
      </w:r>
      <w:r w:rsidRPr="00225D10">
        <w:t xml:space="preserve"> shows that the majority of businesses listed take advantage of raw material produc</w:t>
      </w:r>
      <w:r w:rsidR="002B6A3E" w:rsidRPr="00225D10">
        <w:t xml:space="preserve">ed in </w:t>
      </w:r>
      <w:r w:rsidRPr="00225D10">
        <w:t xml:space="preserve">the region. </w:t>
      </w:r>
    </w:p>
    <w:p w:rsidR="00A958D2" w:rsidRDefault="00A958D2" w:rsidP="00D34F87">
      <w:pPr>
        <w:pStyle w:val="Caption"/>
        <w:tabs>
          <w:tab w:val="left" w:pos="8931"/>
        </w:tabs>
      </w:pPr>
      <w:bookmarkStart w:id="75" w:name="_Toc374530814"/>
      <w:r w:rsidRPr="00225D10">
        <w:t xml:space="preserve">Figure </w:t>
      </w:r>
      <w:r w:rsidR="00680EEE">
        <w:fldChar w:fldCharType="begin"/>
      </w:r>
      <w:r w:rsidR="00680EEE">
        <w:instrText xml:space="preserve"> SEQ Figure \* ARABIC </w:instrText>
      </w:r>
      <w:r w:rsidR="00680EEE">
        <w:fldChar w:fldCharType="separate"/>
      </w:r>
      <w:r w:rsidR="00EF1401">
        <w:rPr>
          <w:noProof/>
        </w:rPr>
        <w:t>19</w:t>
      </w:r>
      <w:r w:rsidR="00680EEE">
        <w:rPr>
          <w:noProof/>
        </w:rPr>
        <w:fldChar w:fldCharType="end"/>
      </w:r>
      <w:r w:rsidR="00377F5C">
        <w:t xml:space="preserve">: </w:t>
      </w:r>
      <w:r w:rsidRPr="00225D10">
        <w:t>Selection of major bu</w:t>
      </w:r>
      <w:r>
        <w:t>sinesses</w:t>
      </w:r>
      <w:r w:rsidR="007D6F85">
        <w:t xml:space="preserve"> and </w:t>
      </w:r>
      <w:r>
        <w:t>e</w:t>
      </w:r>
      <w:r w:rsidRPr="00225D10">
        <w:t>nterprises in Loddon Mallee South</w:t>
      </w:r>
      <w:bookmarkEnd w:id="75"/>
    </w:p>
    <w:p w:rsidR="00A97BF3" w:rsidRPr="00A97BF3" w:rsidRDefault="00A97BF3" w:rsidP="00A97BF3">
      <w:pPr>
        <w:pStyle w:val="bt"/>
        <w:spacing w:before="60" w:after="0"/>
        <w:rPr>
          <w:rFonts w:cstheme="minorHAnsi"/>
          <w:b/>
        </w:rPr>
      </w:pPr>
      <w:proofErr w:type="gramStart"/>
      <w:r w:rsidRPr="00A97BF3">
        <w:rPr>
          <w:rFonts w:cstheme="minorHAnsi"/>
          <w:b/>
        </w:rPr>
        <w:t>Greater  Bendigo</w:t>
      </w:r>
      <w:proofErr w:type="gramEnd"/>
    </w:p>
    <w:p w:rsidR="00A97BF3" w:rsidRDefault="00A97BF3" w:rsidP="00B351D9">
      <w:pPr>
        <w:pStyle w:val="ListBullet"/>
      </w:pPr>
      <w:r w:rsidRPr="00A97BF3">
        <w:t>Major businesses in key sectors</w:t>
      </w:r>
    </w:p>
    <w:p w:rsidR="00B351D9" w:rsidRPr="00A97BF3" w:rsidRDefault="00B351D9" w:rsidP="00B351D9">
      <w:pPr>
        <w:pStyle w:val="ListBullet2"/>
      </w:pPr>
      <w:r w:rsidRPr="00A97BF3">
        <w:t>Bendigo Health</w:t>
      </w:r>
    </w:p>
    <w:p w:rsidR="00B351D9" w:rsidRPr="00A97BF3" w:rsidRDefault="00B351D9" w:rsidP="00B351D9">
      <w:pPr>
        <w:pStyle w:val="ListBullet2"/>
      </w:pPr>
      <w:r w:rsidRPr="00A97BF3">
        <w:t>Bendigo and Adelaide Bank</w:t>
      </w:r>
    </w:p>
    <w:p w:rsidR="00B351D9" w:rsidRPr="00A97BF3" w:rsidRDefault="00B351D9" w:rsidP="00B351D9">
      <w:pPr>
        <w:pStyle w:val="ListBullet2"/>
      </w:pPr>
      <w:r w:rsidRPr="00A97BF3">
        <w:t>Hazeldene’s Chicken Farm</w:t>
      </w:r>
    </w:p>
    <w:p w:rsidR="00B351D9" w:rsidRPr="00A97BF3" w:rsidRDefault="00B351D9" w:rsidP="00B351D9">
      <w:pPr>
        <w:pStyle w:val="ListBullet2"/>
      </w:pPr>
      <w:r w:rsidRPr="00A97BF3">
        <w:t>Thales Australia (formerly Australian</w:t>
      </w:r>
    </w:p>
    <w:p w:rsidR="00B351D9" w:rsidRPr="00A97BF3" w:rsidRDefault="00B351D9" w:rsidP="00B351D9">
      <w:pPr>
        <w:pStyle w:val="ListBullet2"/>
      </w:pPr>
      <w:r w:rsidRPr="00A97BF3">
        <w:t>Defence Industries) Australian Defence</w:t>
      </w:r>
    </w:p>
    <w:p w:rsidR="00B351D9" w:rsidRPr="00A97BF3" w:rsidRDefault="00B351D9" w:rsidP="00B351D9">
      <w:pPr>
        <w:pStyle w:val="ListBullet2"/>
      </w:pPr>
      <w:r w:rsidRPr="00A97BF3">
        <w:t xml:space="preserve">Apparel </w:t>
      </w:r>
      <w:proofErr w:type="spellStart"/>
      <w:r w:rsidRPr="00A97BF3">
        <w:t>Keech</w:t>
      </w:r>
      <w:proofErr w:type="spellEnd"/>
      <w:r w:rsidRPr="00A97BF3">
        <w:t xml:space="preserve"> Australia</w:t>
      </w:r>
    </w:p>
    <w:p w:rsidR="00B351D9" w:rsidRPr="00A97BF3" w:rsidRDefault="00B351D9" w:rsidP="00B351D9">
      <w:pPr>
        <w:pStyle w:val="ListBullet2"/>
      </w:pPr>
      <w:r w:rsidRPr="00A97BF3">
        <w:t>La Trobe University</w:t>
      </w:r>
    </w:p>
    <w:p w:rsidR="00B351D9" w:rsidRPr="00A97BF3" w:rsidRDefault="00B351D9" w:rsidP="00B351D9">
      <w:pPr>
        <w:pStyle w:val="ListBullet2"/>
      </w:pPr>
      <w:proofErr w:type="spellStart"/>
      <w:r w:rsidRPr="00A97BF3">
        <w:t>Excelior</w:t>
      </w:r>
      <w:proofErr w:type="spellEnd"/>
      <w:r w:rsidRPr="00A97BF3">
        <w:t>/Serco</w:t>
      </w:r>
    </w:p>
    <w:p w:rsidR="00B351D9" w:rsidRPr="00A97BF3" w:rsidRDefault="00B351D9" w:rsidP="00B351D9">
      <w:pPr>
        <w:pStyle w:val="ListBullet2"/>
      </w:pPr>
      <w:proofErr w:type="spellStart"/>
      <w:r w:rsidRPr="00A97BF3">
        <w:t>Parmalat</w:t>
      </w:r>
      <w:proofErr w:type="spellEnd"/>
    </w:p>
    <w:p w:rsidR="00B351D9" w:rsidRPr="00A97BF3" w:rsidRDefault="00B351D9" w:rsidP="00B351D9">
      <w:pPr>
        <w:pStyle w:val="ListBullet2"/>
      </w:pPr>
      <w:r w:rsidRPr="00A97BF3">
        <w:t>Jimmy Possum Furniture</w:t>
      </w:r>
    </w:p>
    <w:p w:rsidR="00B351D9" w:rsidRPr="00A97BF3" w:rsidRDefault="00B351D9" w:rsidP="00B351D9">
      <w:pPr>
        <w:pStyle w:val="ListBullet2"/>
      </w:pPr>
      <w:r w:rsidRPr="00A97BF3">
        <w:t>Australian Turntable Company</w:t>
      </w:r>
    </w:p>
    <w:p w:rsidR="00B351D9" w:rsidRPr="00A97BF3" w:rsidRDefault="00B351D9" w:rsidP="00B351D9">
      <w:pPr>
        <w:pStyle w:val="ListBullet2"/>
      </w:pPr>
      <w:proofErr w:type="spellStart"/>
      <w:r w:rsidRPr="00A97BF3">
        <w:t>Hy</w:t>
      </w:r>
      <w:proofErr w:type="spellEnd"/>
      <w:r w:rsidRPr="00A97BF3">
        <w:t>‐Line Australia</w:t>
      </w:r>
    </w:p>
    <w:p w:rsidR="00A97BF3" w:rsidRPr="00A97BF3" w:rsidRDefault="00A97BF3" w:rsidP="00B351D9">
      <w:pPr>
        <w:pStyle w:val="ListBullet2"/>
      </w:pPr>
      <w:r w:rsidRPr="00200DF9">
        <w:t>BMS Retail Group</w:t>
      </w:r>
    </w:p>
    <w:p w:rsidR="00A97BF3" w:rsidRDefault="00A97BF3" w:rsidP="00B351D9">
      <w:pPr>
        <w:pStyle w:val="ListBullet"/>
      </w:pPr>
      <w:r w:rsidRPr="00A97BF3">
        <w:t>Industry sector</w:t>
      </w:r>
    </w:p>
    <w:p w:rsidR="00B351D9" w:rsidRPr="00A97BF3" w:rsidRDefault="00B351D9" w:rsidP="00B351D9">
      <w:pPr>
        <w:pStyle w:val="ListBullet2"/>
      </w:pPr>
      <w:r w:rsidRPr="00A97BF3">
        <w:t>Healthcare</w:t>
      </w:r>
    </w:p>
    <w:p w:rsidR="00B351D9" w:rsidRPr="00A97BF3" w:rsidRDefault="00B351D9" w:rsidP="00B351D9">
      <w:pPr>
        <w:pStyle w:val="ListBullet2"/>
      </w:pPr>
      <w:r w:rsidRPr="00A97BF3">
        <w:t>Financial services</w:t>
      </w:r>
    </w:p>
    <w:p w:rsidR="00B351D9" w:rsidRPr="00A97BF3" w:rsidRDefault="00B351D9" w:rsidP="00B351D9">
      <w:pPr>
        <w:pStyle w:val="ListBullet2"/>
      </w:pPr>
      <w:r w:rsidRPr="00A97BF3">
        <w:t>Poultry meat production and processing</w:t>
      </w:r>
    </w:p>
    <w:p w:rsidR="00B351D9" w:rsidRPr="00A97BF3" w:rsidRDefault="00B351D9" w:rsidP="00B351D9">
      <w:pPr>
        <w:pStyle w:val="ListBullet2"/>
      </w:pPr>
      <w:r w:rsidRPr="00A97BF3">
        <w:t xml:space="preserve">Defence </w:t>
      </w:r>
      <w:r>
        <w:t>and transport equipment/systems</w:t>
      </w:r>
    </w:p>
    <w:p w:rsidR="00B351D9" w:rsidRPr="00A97BF3" w:rsidRDefault="00B351D9" w:rsidP="00B351D9">
      <w:pPr>
        <w:pStyle w:val="ListBullet2"/>
      </w:pPr>
      <w:r w:rsidRPr="00A97BF3">
        <w:t>Clothing Metal fabrication and foundry manufacture</w:t>
      </w:r>
    </w:p>
    <w:p w:rsidR="00B351D9" w:rsidRPr="00A97BF3" w:rsidRDefault="00B351D9" w:rsidP="00B351D9">
      <w:pPr>
        <w:pStyle w:val="ListBullet2"/>
      </w:pPr>
      <w:r w:rsidRPr="00A97BF3">
        <w:t>Tertiary education</w:t>
      </w:r>
    </w:p>
    <w:p w:rsidR="00B351D9" w:rsidRPr="00A97BF3" w:rsidRDefault="00B351D9" w:rsidP="00B351D9">
      <w:pPr>
        <w:pStyle w:val="ListBullet2"/>
      </w:pPr>
      <w:r w:rsidRPr="00A97BF3">
        <w:t>Employment services</w:t>
      </w:r>
    </w:p>
    <w:p w:rsidR="00B351D9" w:rsidRPr="00A97BF3" w:rsidRDefault="00B351D9" w:rsidP="00B351D9">
      <w:pPr>
        <w:pStyle w:val="ListBullet2"/>
      </w:pPr>
      <w:r w:rsidRPr="00A97BF3">
        <w:t>Dairy products</w:t>
      </w:r>
    </w:p>
    <w:p w:rsidR="00B351D9" w:rsidRPr="00A97BF3" w:rsidRDefault="00B351D9" w:rsidP="00B351D9">
      <w:pPr>
        <w:pStyle w:val="ListBullet2"/>
      </w:pPr>
      <w:r w:rsidRPr="00A97BF3">
        <w:t>Wood products/furniture manufacture</w:t>
      </w:r>
    </w:p>
    <w:p w:rsidR="00B351D9" w:rsidRPr="00A97BF3" w:rsidRDefault="00B351D9" w:rsidP="00B351D9">
      <w:pPr>
        <w:pStyle w:val="ListBullet2"/>
      </w:pPr>
      <w:r w:rsidRPr="00A97BF3">
        <w:t>Equipment manufacturing</w:t>
      </w:r>
    </w:p>
    <w:p w:rsidR="00B351D9" w:rsidRPr="00A97BF3" w:rsidRDefault="00B351D9" w:rsidP="00B351D9">
      <w:pPr>
        <w:pStyle w:val="ListBullet2"/>
      </w:pPr>
      <w:r w:rsidRPr="00A97BF3">
        <w:t>Table egg poultry breeder production</w:t>
      </w:r>
    </w:p>
    <w:p w:rsidR="00A97BF3" w:rsidRPr="00A97BF3" w:rsidRDefault="00A97BF3" w:rsidP="00B351D9">
      <w:pPr>
        <w:pStyle w:val="ListBullet2"/>
      </w:pPr>
      <w:r w:rsidRPr="00200DF9">
        <w:t>Supermarket retailing</w:t>
      </w:r>
    </w:p>
    <w:p w:rsidR="00A97BF3" w:rsidRPr="00A97BF3" w:rsidRDefault="00A97BF3" w:rsidP="00A97BF3">
      <w:pPr>
        <w:pStyle w:val="bt"/>
        <w:spacing w:before="60" w:after="0"/>
        <w:rPr>
          <w:rFonts w:cstheme="minorHAnsi"/>
          <w:b/>
        </w:rPr>
      </w:pPr>
      <w:proofErr w:type="gramStart"/>
      <w:r w:rsidRPr="00A97BF3">
        <w:rPr>
          <w:rFonts w:cstheme="minorHAnsi"/>
          <w:b/>
        </w:rPr>
        <w:t>Mount  Alexander</w:t>
      </w:r>
      <w:proofErr w:type="gramEnd"/>
    </w:p>
    <w:p w:rsidR="00A97BF3" w:rsidRDefault="00A97BF3" w:rsidP="00B351D9">
      <w:pPr>
        <w:pStyle w:val="ListBullet"/>
      </w:pPr>
      <w:r w:rsidRPr="00A97BF3">
        <w:t>Major businesses in key sectors</w:t>
      </w:r>
    </w:p>
    <w:p w:rsidR="00B351D9" w:rsidRPr="00A97BF3" w:rsidRDefault="00B351D9" w:rsidP="00B351D9">
      <w:pPr>
        <w:pStyle w:val="ListBullet2"/>
      </w:pPr>
      <w:r w:rsidRPr="00A97BF3">
        <w:t>George Weston Foods (trading as Don KR Castlemaine Smallgoods)</w:t>
      </w:r>
    </w:p>
    <w:p w:rsidR="00B351D9" w:rsidRPr="00A97BF3" w:rsidRDefault="00B351D9" w:rsidP="00B351D9">
      <w:pPr>
        <w:pStyle w:val="ListBullet2"/>
      </w:pPr>
      <w:r w:rsidRPr="00A97BF3">
        <w:t>Flowserve Pty Ltd (formerly Thompson, Kelly and Lewis)</w:t>
      </w:r>
    </w:p>
    <w:p w:rsidR="00B351D9" w:rsidRPr="00A97BF3" w:rsidRDefault="00B351D9" w:rsidP="00B351D9">
      <w:pPr>
        <w:pStyle w:val="ListBullet2"/>
      </w:pPr>
      <w:r w:rsidRPr="00A97BF3">
        <w:t>Victoria Carpets</w:t>
      </w:r>
    </w:p>
    <w:p w:rsidR="00A97BF3" w:rsidRPr="00A97BF3" w:rsidRDefault="00A97BF3" w:rsidP="00B351D9">
      <w:pPr>
        <w:pStyle w:val="ListBullet2"/>
      </w:pPr>
      <w:r w:rsidRPr="00200DF9">
        <w:t xml:space="preserve">Harcourt </w:t>
      </w:r>
      <w:proofErr w:type="spellStart"/>
      <w:r w:rsidRPr="00200DF9">
        <w:t>Coolstores</w:t>
      </w:r>
      <w:proofErr w:type="spellEnd"/>
      <w:r w:rsidRPr="00200DF9">
        <w:t xml:space="preserve"> Cooperative</w:t>
      </w:r>
    </w:p>
    <w:p w:rsidR="00A97BF3" w:rsidRDefault="00A97BF3" w:rsidP="00B351D9">
      <w:pPr>
        <w:pStyle w:val="ListBullet"/>
      </w:pPr>
      <w:r w:rsidRPr="00A97BF3">
        <w:t>Industry sector</w:t>
      </w:r>
    </w:p>
    <w:p w:rsidR="00B351D9" w:rsidRPr="00B351D9" w:rsidRDefault="00B351D9" w:rsidP="00B351D9">
      <w:pPr>
        <w:pStyle w:val="ListBullet2"/>
      </w:pPr>
      <w:r w:rsidRPr="00A97BF3">
        <w:t>Smallgoods manufacture</w:t>
      </w:r>
    </w:p>
    <w:p w:rsidR="00B351D9" w:rsidRPr="00A97BF3" w:rsidRDefault="00B351D9" w:rsidP="00B351D9">
      <w:pPr>
        <w:pStyle w:val="ListBullet2"/>
      </w:pPr>
      <w:r w:rsidRPr="00A97BF3">
        <w:t>Pump and valve manufacture</w:t>
      </w:r>
    </w:p>
    <w:p w:rsidR="00B351D9" w:rsidRPr="00A97BF3" w:rsidRDefault="00B351D9" w:rsidP="00B351D9">
      <w:pPr>
        <w:pStyle w:val="ListBullet2"/>
      </w:pPr>
      <w:r w:rsidRPr="00A97BF3">
        <w:t>Floor covering manufacture</w:t>
      </w:r>
    </w:p>
    <w:p w:rsidR="00A97BF3" w:rsidRPr="00A97BF3" w:rsidRDefault="00A97BF3" w:rsidP="00B351D9">
      <w:pPr>
        <w:pStyle w:val="ListBullet2"/>
      </w:pPr>
      <w:r w:rsidRPr="00200DF9">
        <w:t>Fruit processing</w:t>
      </w:r>
    </w:p>
    <w:p w:rsidR="00A97BF3" w:rsidRPr="00A97BF3" w:rsidRDefault="00A97BF3" w:rsidP="00A97BF3">
      <w:pPr>
        <w:pStyle w:val="bt"/>
        <w:spacing w:before="60" w:after="0"/>
        <w:rPr>
          <w:rFonts w:cstheme="minorHAnsi"/>
          <w:b/>
        </w:rPr>
      </w:pPr>
      <w:proofErr w:type="gramStart"/>
      <w:r w:rsidRPr="00A97BF3">
        <w:rPr>
          <w:rFonts w:cstheme="minorHAnsi"/>
          <w:b/>
        </w:rPr>
        <w:t>Macedon  Ranges</w:t>
      </w:r>
      <w:proofErr w:type="gramEnd"/>
    </w:p>
    <w:p w:rsidR="00A97BF3" w:rsidRDefault="00A97BF3" w:rsidP="00B351D9">
      <w:pPr>
        <w:pStyle w:val="ListBullet"/>
      </w:pPr>
      <w:r w:rsidRPr="00A97BF3">
        <w:t>Major businesses in key sectors</w:t>
      </w:r>
    </w:p>
    <w:p w:rsidR="00B351D9" w:rsidRPr="00A97BF3" w:rsidRDefault="00B351D9" w:rsidP="00B351D9">
      <w:pPr>
        <w:pStyle w:val="ListBullet2"/>
      </w:pPr>
      <w:r w:rsidRPr="00A97BF3">
        <w:t xml:space="preserve">G.J. and </w:t>
      </w:r>
      <w:proofErr w:type="spellStart"/>
      <w:r w:rsidRPr="00A97BF3">
        <w:t>V.Hardwick</w:t>
      </w:r>
      <w:proofErr w:type="spellEnd"/>
    </w:p>
    <w:p w:rsidR="00B351D9" w:rsidRPr="00A97BF3" w:rsidRDefault="00B351D9" w:rsidP="00B351D9">
      <w:pPr>
        <w:pStyle w:val="ListBullet2"/>
      </w:pPr>
      <w:r w:rsidRPr="00A97BF3">
        <w:lastRenderedPageBreak/>
        <w:t>AAMI Insurance</w:t>
      </w:r>
    </w:p>
    <w:p w:rsidR="00B351D9" w:rsidRPr="00A97BF3" w:rsidRDefault="00B351D9" w:rsidP="00B351D9">
      <w:pPr>
        <w:pStyle w:val="ListBullet2"/>
      </w:pPr>
      <w:r w:rsidRPr="00A97BF3">
        <w:t>Barker Trailers</w:t>
      </w:r>
    </w:p>
    <w:p w:rsidR="00A97BF3" w:rsidRPr="00A97BF3" w:rsidRDefault="00A97BF3" w:rsidP="00B351D9">
      <w:pPr>
        <w:pStyle w:val="ListBullet2"/>
      </w:pPr>
      <w:proofErr w:type="spellStart"/>
      <w:r w:rsidRPr="00200DF9">
        <w:t>McKibbin</w:t>
      </w:r>
      <w:proofErr w:type="spellEnd"/>
      <w:r w:rsidRPr="00200DF9">
        <w:t xml:space="preserve"> Transport</w:t>
      </w:r>
    </w:p>
    <w:p w:rsidR="00A97BF3" w:rsidRPr="00B351D9" w:rsidRDefault="00A97BF3" w:rsidP="00B351D9">
      <w:pPr>
        <w:pStyle w:val="ListBullet"/>
      </w:pPr>
      <w:r w:rsidRPr="00B351D9">
        <w:t>Industry sector</w:t>
      </w:r>
    </w:p>
    <w:p w:rsidR="00B351D9" w:rsidRPr="00A97BF3" w:rsidRDefault="00B351D9" w:rsidP="00B351D9">
      <w:pPr>
        <w:pStyle w:val="ListBullet2"/>
      </w:pPr>
      <w:r w:rsidRPr="00A97BF3">
        <w:t>Meat processing</w:t>
      </w:r>
    </w:p>
    <w:p w:rsidR="00B351D9" w:rsidRPr="00A97BF3" w:rsidRDefault="00B351D9" w:rsidP="00B351D9">
      <w:pPr>
        <w:pStyle w:val="ListBullet2"/>
      </w:pPr>
      <w:r w:rsidRPr="00A97BF3">
        <w:t>Insurance services</w:t>
      </w:r>
    </w:p>
    <w:p w:rsidR="00B351D9" w:rsidRPr="00A97BF3" w:rsidRDefault="00B351D9" w:rsidP="00B351D9">
      <w:pPr>
        <w:pStyle w:val="ListBullet2"/>
      </w:pPr>
      <w:r w:rsidRPr="00A97BF3">
        <w:t>Automotive equipment manufacture</w:t>
      </w:r>
    </w:p>
    <w:p w:rsidR="00A97BF3" w:rsidRPr="00A97BF3" w:rsidRDefault="00A97BF3" w:rsidP="00B351D9">
      <w:pPr>
        <w:pStyle w:val="ListBullet2"/>
      </w:pPr>
      <w:r w:rsidRPr="00200DF9">
        <w:t>Road Transport</w:t>
      </w:r>
    </w:p>
    <w:p w:rsidR="00A97BF3" w:rsidRPr="00A97BF3" w:rsidRDefault="00A97BF3" w:rsidP="00A97BF3">
      <w:pPr>
        <w:pStyle w:val="bt"/>
        <w:spacing w:before="60" w:after="0"/>
        <w:rPr>
          <w:rFonts w:cstheme="minorHAnsi"/>
          <w:b/>
        </w:rPr>
      </w:pPr>
      <w:r w:rsidRPr="00A97BF3">
        <w:rPr>
          <w:rFonts w:cstheme="minorHAnsi"/>
          <w:b/>
        </w:rPr>
        <w:t>Loddon</w:t>
      </w:r>
    </w:p>
    <w:p w:rsidR="00A97BF3" w:rsidRPr="00B351D9" w:rsidRDefault="00A97BF3" w:rsidP="00B351D9">
      <w:pPr>
        <w:pStyle w:val="ListBullet"/>
      </w:pPr>
      <w:r w:rsidRPr="00B351D9">
        <w:t>Major businesses in key sectors</w:t>
      </w:r>
    </w:p>
    <w:p w:rsidR="00B351D9" w:rsidRPr="00A97BF3" w:rsidRDefault="00B351D9" w:rsidP="00B351D9">
      <w:pPr>
        <w:pStyle w:val="ListBullet2"/>
      </w:pPr>
      <w:r w:rsidRPr="00A97BF3">
        <w:t>Loddon Valley Eggs</w:t>
      </w:r>
    </w:p>
    <w:p w:rsidR="00B351D9" w:rsidRPr="00A97BF3" w:rsidRDefault="00B351D9" w:rsidP="00B351D9">
      <w:pPr>
        <w:pStyle w:val="ListBullet2"/>
      </w:pPr>
      <w:r w:rsidRPr="00A97BF3">
        <w:t>Solar Systems Pty Ltd</w:t>
      </w:r>
    </w:p>
    <w:p w:rsidR="00B351D9" w:rsidRPr="00A97BF3" w:rsidRDefault="00B351D9" w:rsidP="00B351D9">
      <w:pPr>
        <w:pStyle w:val="ListBullet2"/>
      </w:pPr>
      <w:proofErr w:type="spellStart"/>
      <w:r w:rsidRPr="00A97BF3">
        <w:t>Laucke</w:t>
      </w:r>
      <w:proofErr w:type="spellEnd"/>
      <w:r w:rsidRPr="00A97BF3">
        <w:t xml:space="preserve"> Flour Mills</w:t>
      </w:r>
    </w:p>
    <w:p w:rsidR="00B351D9" w:rsidRPr="00A97BF3" w:rsidRDefault="00B351D9" w:rsidP="00B351D9">
      <w:pPr>
        <w:pStyle w:val="ListBullet2"/>
      </w:pPr>
      <w:r w:rsidRPr="00A97BF3">
        <w:t>Southern Stock Feeds</w:t>
      </w:r>
    </w:p>
    <w:p w:rsidR="00A97BF3" w:rsidRPr="00A97BF3" w:rsidRDefault="00A97BF3" w:rsidP="00B351D9">
      <w:pPr>
        <w:pStyle w:val="ListBullet2"/>
      </w:pPr>
      <w:r w:rsidRPr="00200DF9">
        <w:t>Cobram Estate</w:t>
      </w:r>
    </w:p>
    <w:p w:rsidR="00A97BF3" w:rsidRPr="00A97BF3" w:rsidRDefault="00A97BF3" w:rsidP="00B351D9">
      <w:pPr>
        <w:pStyle w:val="ListBullet"/>
      </w:pPr>
      <w:r w:rsidRPr="00A97BF3">
        <w:t>Industry sector</w:t>
      </w:r>
    </w:p>
    <w:p w:rsidR="00B351D9" w:rsidRPr="00A97BF3" w:rsidRDefault="00B351D9" w:rsidP="00B351D9">
      <w:pPr>
        <w:pStyle w:val="ListBullet2"/>
      </w:pPr>
      <w:r w:rsidRPr="00A97BF3">
        <w:t>Poultry table egg products</w:t>
      </w:r>
    </w:p>
    <w:p w:rsidR="00B351D9" w:rsidRPr="00A97BF3" w:rsidRDefault="00B351D9" w:rsidP="00B351D9">
      <w:pPr>
        <w:pStyle w:val="ListBullet2"/>
      </w:pPr>
      <w:r w:rsidRPr="00A97BF3">
        <w:t>Electricity, gas and water</w:t>
      </w:r>
    </w:p>
    <w:p w:rsidR="00B351D9" w:rsidRPr="00A97BF3" w:rsidRDefault="00B351D9" w:rsidP="00B351D9">
      <w:pPr>
        <w:pStyle w:val="ListBullet2"/>
      </w:pPr>
      <w:r w:rsidRPr="00A97BF3">
        <w:t>Food manufacturing</w:t>
      </w:r>
    </w:p>
    <w:p w:rsidR="00B351D9" w:rsidRDefault="00B351D9" w:rsidP="00B351D9">
      <w:pPr>
        <w:pStyle w:val="ListBullet2"/>
      </w:pPr>
      <w:r w:rsidRPr="00A97BF3">
        <w:t>Stock feed manufacturing</w:t>
      </w:r>
    </w:p>
    <w:p w:rsidR="00B351D9" w:rsidRPr="00A97BF3" w:rsidRDefault="00B351D9" w:rsidP="00B351D9">
      <w:pPr>
        <w:pStyle w:val="ListBullet2"/>
      </w:pPr>
      <w:r w:rsidRPr="00A97BF3">
        <w:t>Olive horticulture</w:t>
      </w:r>
    </w:p>
    <w:p w:rsidR="00A97BF3" w:rsidRPr="00A97BF3" w:rsidRDefault="00A97BF3" w:rsidP="00A97BF3">
      <w:pPr>
        <w:pStyle w:val="bt"/>
        <w:spacing w:before="60" w:after="0"/>
        <w:rPr>
          <w:rFonts w:cstheme="minorHAnsi"/>
          <w:b/>
        </w:rPr>
      </w:pPr>
      <w:proofErr w:type="gramStart"/>
      <w:r w:rsidRPr="00A97BF3">
        <w:rPr>
          <w:rFonts w:cstheme="minorHAnsi"/>
          <w:b/>
        </w:rPr>
        <w:t>Central  Goldfields</w:t>
      </w:r>
      <w:proofErr w:type="gramEnd"/>
    </w:p>
    <w:p w:rsidR="00A97BF3" w:rsidRDefault="00A97BF3" w:rsidP="00B351D9">
      <w:pPr>
        <w:pStyle w:val="ListBullet"/>
      </w:pPr>
      <w:r w:rsidRPr="00A97BF3">
        <w:t>Major businesses in key sectors</w:t>
      </w:r>
    </w:p>
    <w:p w:rsidR="00B351D9" w:rsidRPr="00A97BF3" w:rsidRDefault="00B351D9" w:rsidP="00B351D9">
      <w:pPr>
        <w:pStyle w:val="ListBullet2"/>
      </w:pPr>
      <w:r w:rsidRPr="00A97BF3">
        <w:t>McPherson’s Printing Group</w:t>
      </w:r>
    </w:p>
    <w:p w:rsidR="00B351D9" w:rsidRPr="00A97BF3" w:rsidRDefault="00B351D9" w:rsidP="00B351D9">
      <w:pPr>
        <w:pStyle w:val="ListBullet2"/>
      </w:pPr>
      <w:r w:rsidRPr="00A97BF3">
        <w:t>True Foods</w:t>
      </w:r>
    </w:p>
    <w:p w:rsidR="00B351D9" w:rsidRPr="00A97BF3" w:rsidRDefault="00B351D9" w:rsidP="00B351D9">
      <w:pPr>
        <w:pStyle w:val="ListBullet2"/>
      </w:pPr>
      <w:r w:rsidRPr="00A97BF3">
        <w:t>Broad Poultry Group</w:t>
      </w:r>
    </w:p>
    <w:p w:rsidR="00A97BF3" w:rsidRPr="00A97BF3" w:rsidRDefault="00A97BF3" w:rsidP="00B351D9">
      <w:pPr>
        <w:pStyle w:val="ListBullet2"/>
      </w:pPr>
      <w:r w:rsidRPr="00200DF9">
        <w:t>Maryborough District Health</w:t>
      </w:r>
    </w:p>
    <w:p w:rsidR="00A97BF3" w:rsidRPr="00A97BF3" w:rsidRDefault="00A97BF3" w:rsidP="00B351D9">
      <w:pPr>
        <w:pStyle w:val="ListBullet"/>
      </w:pPr>
      <w:r w:rsidRPr="00A97BF3">
        <w:t>Industry sector</w:t>
      </w:r>
    </w:p>
    <w:p w:rsidR="00B351D9" w:rsidRPr="00A97BF3" w:rsidRDefault="00B351D9" w:rsidP="00B351D9">
      <w:pPr>
        <w:pStyle w:val="ListBullet2"/>
      </w:pPr>
      <w:r w:rsidRPr="00A97BF3">
        <w:t>Paper and printing products manufacture</w:t>
      </w:r>
    </w:p>
    <w:p w:rsidR="00B351D9" w:rsidRPr="00A97BF3" w:rsidRDefault="00B351D9" w:rsidP="00B351D9">
      <w:pPr>
        <w:pStyle w:val="ListBullet2"/>
      </w:pPr>
      <w:r w:rsidRPr="00A97BF3">
        <w:t>Bakery food products manufacturing</w:t>
      </w:r>
    </w:p>
    <w:p w:rsidR="00B351D9" w:rsidRPr="00A97BF3" w:rsidRDefault="00B351D9" w:rsidP="00B351D9">
      <w:pPr>
        <w:pStyle w:val="ListBullet2"/>
      </w:pPr>
      <w:r w:rsidRPr="00A97BF3">
        <w:t>Poultry processing</w:t>
      </w:r>
    </w:p>
    <w:p w:rsidR="00A97BF3" w:rsidRPr="00A97BF3" w:rsidRDefault="00A97BF3" w:rsidP="00B351D9">
      <w:pPr>
        <w:pStyle w:val="ListBullet2"/>
      </w:pPr>
      <w:r w:rsidRPr="00200DF9">
        <w:t>Healthcare and social assistance</w:t>
      </w:r>
    </w:p>
    <w:p w:rsidR="00A97BF3" w:rsidRPr="00A97BF3" w:rsidRDefault="00A958D2" w:rsidP="00A97BF3">
      <w:pPr>
        <w:pStyle w:val="Source"/>
        <w:tabs>
          <w:tab w:val="left" w:pos="8931"/>
        </w:tabs>
      </w:pPr>
      <w:r w:rsidRPr="00225D10">
        <w:t>Source: Street Ryan &amp; Associates 2012 p27</w:t>
      </w:r>
    </w:p>
    <w:p w:rsidR="005058F8" w:rsidRPr="00663F7F" w:rsidRDefault="00423EC9" w:rsidP="00D34F87">
      <w:pPr>
        <w:pStyle w:val="Heading2"/>
        <w:tabs>
          <w:tab w:val="left" w:pos="8931"/>
        </w:tabs>
        <w:rPr>
          <w:rFonts w:cs="Arial"/>
        </w:rPr>
      </w:pPr>
      <w:bookmarkStart w:id="76" w:name="_Toc374530861"/>
      <w:r w:rsidRPr="00663F7F">
        <w:rPr>
          <w:rFonts w:cs="Arial"/>
        </w:rPr>
        <w:t>A</w:t>
      </w:r>
      <w:r w:rsidR="005058F8" w:rsidRPr="00663F7F">
        <w:rPr>
          <w:rFonts w:cs="Arial"/>
        </w:rPr>
        <w:t>griculture</w:t>
      </w:r>
      <w:bookmarkEnd w:id="76"/>
      <w:r w:rsidR="005058F8" w:rsidRPr="00663F7F">
        <w:rPr>
          <w:rFonts w:cs="Arial"/>
        </w:rPr>
        <w:t xml:space="preserve"> </w:t>
      </w:r>
    </w:p>
    <w:p w:rsidR="007D6F85" w:rsidRDefault="00423EC9" w:rsidP="00D34F87">
      <w:pPr>
        <w:pStyle w:val="bt"/>
        <w:tabs>
          <w:tab w:val="left" w:pos="8931"/>
        </w:tabs>
        <w:sectPr w:rsidR="007D6F85" w:rsidSect="009D7284">
          <w:headerReference w:type="even" r:id="rId26"/>
          <w:footerReference w:type="even" r:id="rId27"/>
          <w:headerReference w:type="first" r:id="rId28"/>
          <w:footerReference w:type="first" r:id="rId29"/>
          <w:pgSz w:w="11907" w:h="16839" w:code="9"/>
          <w:pgMar w:top="425" w:right="851" w:bottom="851" w:left="1077" w:header="709" w:footer="709" w:gutter="0"/>
          <w:cols w:space="720"/>
          <w:docGrid w:linePitch="360"/>
        </w:sectPr>
      </w:pPr>
      <w:r w:rsidRPr="00225D10">
        <w:t xml:space="preserve">Agriculture is an important sector of the </w:t>
      </w:r>
      <w:r w:rsidR="002B6A3E" w:rsidRPr="00225D10">
        <w:t xml:space="preserve">Loddon Mallee South regional </w:t>
      </w:r>
      <w:r w:rsidRPr="00225D10">
        <w:t>economy.</w:t>
      </w:r>
      <w:r w:rsidR="00246AD4" w:rsidRPr="00225D10">
        <w:t xml:space="preserve"> </w:t>
      </w:r>
      <w:r w:rsidRPr="00225D10">
        <w:t>The</w:t>
      </w:r>
      <w:r w:rsidR="005058F8" w:rsidRPr="00225D10">
        <w:t xml:space="preserve"> region </w:t>
      </w:r>
      <w:r w:rsidRPr="00225D10">
        <w:t>has</w:t>
      </w:r>
      <w:r w:rsidR="005058F8" w:rsidRPr="00225D10">
        <w:t xml:space="preserve"> good soils, efficient flexible farming systems</w:t>
      </w:r>
      <w:r w:rsidR="004729B1" w:rsidRPr="00225D10">
        <w:t>, access to water</w:t>
      </w:r>
      <w:r w:rsidR="000D47A1" w:rsidRPr="00225D10">
        <w:t xml:space="preserve"> </w:t>
      </w:r>
      <w:r w:rsidR="008D37E7" w:rsidRPr="00225D10">
        <w:t>(provided rainfall and inflows are occurring at long term averages)</w:t>
      </w:r>
      <w:r w:rsidR="005058F8" w:rsidRPr="00225D10">
        <w:t xml:space="preserve"> and vast trac</w:t>
      </w:r>
      <w:r w:rsidR="004729B1" w:rsidRPr="00225D10">
        <w:t>t</w:t>
      </w:r>
      <w:r w:rsidR="005058F8" w:rsidRPr="00225D10">
        <w:t xml:space="preserve">s of land that deliver high value agriculture production and added value processing. </w:t>
      </w:r>
      <w:r w:rsidR="00740346" w:rsidRPr="00225D10">
        <w:t>The irrigation area in the north of the region produces livestock, grains, milk, fruit and vegetables</w:t>
      </w:r>
      <w:r w:rsidR="004729B1" w:rsidRPr="00225D10">
        <w:t xml:space="preserve">. </w:t>
      </w:r>
      <w:r w:rsidR="00F031C7" w:rsidRPr="00225D10">
        <w:t>Dry</w:t>
      </w:r>
      <w:r w:rsidR="00F031C7">
        <w:t xml:space="preserve"> </w:t>
      </w:r>
      <w:r w:rsidR="00F031C7" w:rsidRPr="00225D10">
        <w:t>land</w:t>
      </w:r>
      <w:r w:rsidR="004729B1" w:rsidRPr="00225D10">
        <w:t xml:space="preserve"> farming areas are generally used for</w:t>
      </w:r>
      <w:r w:rsidR="007D57FE" w:rsidRPr="00225D10">
        <w:t xml:space="preserve"> </w:t>
      </w:r>
      <w:r w:rsidR="00246AD4" w:rsidRPr="00225D10">
        <w:t xml:space="preserve">broadacre </w:t>
      </w:r>
      <w:r w:rsidR="004729B1" w:rsidRPr="00225D10">
        <w:t xml:space="preserve">cropping </w:t>
      </w:r>
      <w:r w:rsidR="007D57FE" w:rsidRPr="00225D10">
        <w:t>(</w:t>
      </w:r>
      <w:r w:rsidR="00246AD4" w:rsidRPr="00225D10">
        <w:t>grains and livestock</w:t>
      </w:r>
      <w:r w:rsidR="007D57FE" w:rsidRPr="00225D10">
        <w:t xml:space="preserve">) and mixed </w:t>
      </w:r>
      <w:r w:rsidR="0042342C" w:rsidRPr="00225D10">
        <w:t>farming (</w:t>
      </w:r>
      <w:r w:rsidR="00680EEE">
        <w:fldChar w:fldCharType="begin"/>
      </w:r>
      <w:r w:rsidR="00680EEE">
        <w:instrText xml:space="preserve"> REF _Ref353353293 \h  \* MERGEFORMAT </w:instrText>
      </w:r>
      <w:r w:rsidR="00680EEE">
        <w:fldChar w:fldCharType="separate"/>
      </w:r>
      <w:r w:rsidR="00EF1401" w:rsidRPr="00225D10">
        <w:t xml:space="preserve">Figure </w:t>
      </w:r>
      <w:r w:rsidR="00EF1401">
        <w:rPr>
          <w:noProof/>
        </w:rPr>
        <w:t>20</w:t>
      </w:r>
      <w:r w:rsidR="00680EEE">
        <w:fldChar w:fldCharType="end"/>
      </w:r>
      <w:r w:rsidR="001E6C39">
        <w:t>).</w:t>
      </w:r>
      <w:bookmarkStart w:id="77" w:name="_Ref352165575"/>
    </w:p>
    <w:p w:rsidR="000C7930" w:rsidRPr="00225D10" w:rsidRDefault="00E71368" w:rsidP="00D34F87">
      <w:pPr>
        <w:pStyle w:val="Caption"/>
        <w:tabs>
          <w:tab w:val="left" w:pos="8931"/>
        </w:tabs>
      </w:pPr>
      <w:bookmarkStart w:id="78" w:name="_Ref353353293"/>
      <w:bookmarkStart w:id="79" w:name="_Toc374530815"/>
      <w:r>
        <w:rPr>
          <w:noProof/>
        </w:rPr>
        <w:lastRenderedPageBreak/>
        <w:drawing>
          <wp:anchor distT="0" distB="0" distL="114300" distR="114300" simplePos="0" relativeHeight="251696128" behindDoc="0" locked="0" layoutInCell="1" allowOverlap="1">
            <wp:simplePos x="0" y="0"/>
            <wp:positionH relativeFrom="page">
              <wp:posOffset>734695</wp:posOffset>
            </wp:positionH>
            <wp:positionV relativeFrom="paragraph">
              <wp:posOffset>332105</wp:posOffset>
            </wp:positionV>
            <wp:extent cx="7491095" cy="5261610"/>
            <wp:effectExtent l="19050" t="0" r="0" b="0"/>
            <wp:wrapTopAndBottom/>
            <wp:docPr id="31" name="Picture 1" descr="Map showing Loddon Mallee South: Extractive Industries and Primary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stretch>
                      <a:fillRect/>
                    </a:stretch>
                  </pic:blipFill>
                  <pic:spPr bwMode="auto">
                    <a:xfrm>
                      <a:off x="0" y="0"/>
                      <a:ext cx="7491095" cy="5261610"/>
                    </a:xfrm>
                    <a:prstGeom prst="rect">
                      <a:avLst/>
                    </a:prstGeom>
                    <a:noFill/>
                    <a:ln w="9525">
                      <a:noFill/>
                      <a:miter lim="800000"/>
                      <a:headEnd/>
                      <a:tailEnd/>
                    </a:ln>
                  </pic:spPr>
                </pic:pic>
              </a:graphicData>
            </a:graphic>
          </wp:anchor>
        </w:drawing>
      </w:r>
      <w:r w:rsidR="00E02B95" w:rsidRPr="00225D10">
        <w:t xml:space="preserve">Figure </w:t>
      </w:r>
      <w:r w:rsidR="00162534">
        <w:fldChar w:fldCharType="begin"/>
      </w:r>
      <w:r w:rsidR="00154847">
        <w:instrText xml:space="preserve"> SEQ Figure \* ARABIC </w:instrText>
      </w:r>
      <w:r w:rsidR="00162534">
        <w:fldChar w:fldCharType="separate"/>
      </w:r>
      <w:r w:rsidR="00EF1401">
        <w:rPr>
          <w:noProof/>
        </w:rPr>
        <w:t>20</w:t>
      </w:r>
      <w:r w:rsidR="00162534">
        <w:fldChar w:fldCharType="end"/>
      </w:r>
      <w:bookmarkEnd w:id="77"/>
      <w:bookmarkEnd w:id="78"/>
      <w:r w:rsidR="00377F5C">
        <w:t xml:space="preserve">: </w:t>
      </w:r>
      <w:r w:rsidR="00E02B95" w:rsidRPr="00225D10">
        <w:t>Extractive industries and primary production</w:t>
      </w:r>
      <w:bookmarkEnd w:id="79"/>
    </w:p>
    <w:p w:rsidR="007D6F85" w:rsidRDefault="0046416B" w:rsidP="00D34F87">
      <w:pPr>
        <w:pStyle w:val="Source"/>
        <w:tabs>
          <w:tab w:val="left" w:pos="8931"/>
        </w:tabs>
        <w:sectPr w:rsidR="007D6F85" w:rsidSect="007D6F85">
          <w:pgSz w:w="16839" w:h="11907" w:orient="landscape" w:code="9"/>
          <w:pgMar w:top="1077" w:right="425" w:bottom="851" w:left="993" w:header="709" w:footer="709" w:gutter="0"/>
          <w:cols w:space="720"/>
          <w:docGrid w:linePitch="360"/>
        </w:sectPr>
      </w:pPr>
      <w:r>
        <w:t>Source: Department of Transport, Planning and Local Infrastructure</w:t>
      </w:r>
    </w:p>
    <w:p w:rsidR="00DB7A99" w:rsidRDefault="00246AD4" w:rsidP="00D34F87">
      <w:pPr>
        <w:pStyle w:val="bt"/>
        <w:tabs>
          <w:tab w:val="left" w:pos="8931"/>
        </w:tabs>
      </w:pPr>
      <w:r w:rsidRPr="00225D10">
        <w:lastRenderedPageBreak/>
        <w:t>Agriculture is particularly significant for the Loddon Shire, with 30.4</w:t>
      </w:r>
      <w:r w:rsidR="00997C90">
        <w:t xml:space="preserve"> per cent</w:t>
      </w:r>
      <w:r w:rsidR="00997C90" w:rsidRPr="00225D10">
        <w:t xml:space="preserve"> </w:t>
      </w:r>
      <w:r w:rsidRPr="00225D10">
        <w:t xml:space="preserve">of employed people aged 15 years and over being employed in the </w:t>
      </w:r>
      <w:r w:rsidR="004729B1" w:rsidRPr="00225D10">
        <w:t>s</w:t>
      </w:r>
      <w:r w:rsidRPr="00225D10">
        <w:t xml:space="preserve">heep, </w:t>
      </w:r>
      <w:r w:rsidR="004729B1" w:rsidRPr="00225D10">
        <w:t>b</w:t>
      </w:r>
      <w:r w:rsidRPr="00225D10">
        <w:t xml:space="preserve">eef </w:t>
      </w:r>
      <w:r w:rsidR="004729B1" w:rsidRPr="00225D10">
        <w:t>c</w:t>
      </w:r>
      <w:r w:rsidRPr="00225D10">
        <w:t xml:space="preserve">attle, </w:t>
      </w:r>
      <w:r w:rsidR="004729B1" w:rsidRPr="00225D10">
        <w:t>d</w:t>
      </w:r>
      <w:r w:rsidRPr="00225D10">
        <w:t xml:space="preserve">airy </w:t>
      </w:r>
      <w:r w:rsidR="004729B1" w:rsidRPr="00225D10">
        <w:t>c</w:t>
      </w:r>
      <w:r w:rsidRPr="00225D10">
        <w:t xml:space="preserve">attle and </w:t>
      </w:r>
      <w:r w:rsidR="004729B1" w:rsidRPr="00225D10">
        <w:t>g</w:t>
      </w:r>
      <w:r w:rsidRPr="00225D10">
        <w:t xml:space="preserve">rain </w:t>
      </w:r>
      <w:r w:rsidR="004729B1" w:rsidRPr="00225D10">
        <w:t>f</w:t>
      </w:r>
      <w:r w:rsidRPr="00225D10">
        <w:t>arming areas</w:t>
      </w:r>
      <w:r w:rsidR="00E52277">
        <w:t>.</w:t>
      </w:r>
      <w:r w:rsidRPr="00E52277">
        <w:rPr>
          <w:rStyle w:val="FootnoteReference"/>
          <w:rFonts w:asciiTheme="minorHAnsi" w:hAnsiTheme="minorHAnsi" w:cs="Arial"/>
          <w:szCs w:val="20"/>
        </w:rPr>
        <w:footnoteReference w:id="10"/>
      </w:r>
      <w:r w:rsidRPr="00225D10">
        <w:t xml:space="preserve"> The irrigation area in the north is being upgraded to </w:t>
      </w:r>
      <w:r w:rsidR="00E73E2B" w:rsidRPr="00225D10">
        <w:t>become</w:t>
      </w:r>
      <w:r w:rsidRPr="00225D10">
        <w:t xml:space="preserve"> more efficient</w:t>
      </w:r>
      <w:r w:rsidR="004729B1" w:rsidRPr="00225D10">
        <w:t>, which will result in some areas no longer being part of the irrigation district</w:t>
      </w:r>
      <w:r w:rsidRPr="00225D10">
        <w:t xml:space="preserve">. </w:t>
      </w:r>
      <w:r w:rsidR="0031713A" w:rsidRPr="00225D10">
        <w:t xml:space="preserve">For those areas retaining their irrigation, there will be a greater need to </w:t>
      </w:r>
      <w:r w:rsidR="00216501" w:rsidRPr="00225D10">
        <w:t>increase value</w:t>
      </w:r>
      <w:r w:rsidR="0031713A" w:rsidRPr="00225D10">
        <w:t xml:space="preserve"> and significance in terms of food production</w:t>
      </w:r>
      <w:r w:rsidR="00216501" w:rsidRPr="00225D10">
        <w:t>.</w:t>
      </w:r>
      <w:r w:rsidR="00E73E2B" w:rsidRPr="00225D10">
        <w:t xml:space="preserve"> </w:t>
      </w:r>
    </w:p>
    <w:p w:rsidR="00A958D2" w:rsidRDefault="00BD5B22" w:rsidP="00D34F87">
      <w:pPr>
        <w:pStyle w:val="bt"/>
        <w:tabs>
          <w:tab w:val="left" w:pos="8931"/>
        </w:tabs>
      </w:pPr>
      <w:r w:rsidRPr="00225D10">
        <w:t xml:space="preserve">The Loddon Shire </w:t>
      </w:r>
      <w:r w:rsidR="008D37E7" w:rsidRPr="00225D10">
        <w:t>Rural Zones Review</w:t>
      </w:r>
      <w:r w:rsidRPr="00225D10">
        <w:t xml:space="preserve"> 2012 identified that investment in intensive agriculture</w:t>
      </w:r>
      <w:r w:rsidR="00DB7A99">
        <w:t xml:space="preserve">, such as </w:t>
      </w:r>
      <w:r w:rsidRPr="00225D10">
        <w:t>poultry and egg production, piggeries, dairy farming and some types of horticulture</w:t>
      </w:r>
      <w:r w:rsidR="00DB7A99">
        <w:t>,</w:t>
      </w:r>
      <w:r w:rsidRPr="00225D10">
        <w:t xml:space="preserve"> is likely to increase in the future in response to increased demand</w:t>
      </w:r>
      <w:r w:rsidR="00DB7A99">
        <w:t xml:space="preserve">, </w:t>
      </w:r>
      <w:r w:rsidRPr="00225D10">
        <w:t xml:space="preserve">particularly for chicken meat and eggs. Increasing </w:t>
      </w:r>
      <w:r w:rsidR="004729B1" w:rsidRPr="00225D10">
        <w:t xml:space="preserve">residential </w:t>
      </w:r>
      <w:r w:rsidRPr="00225D10">
        <w:t>development pressures on traditional areas of intensive agriculture around Melbourne</w:t>
      </w:r>
      <w:r w:rsidR="00850547" w:rsidRPr="00225D10">
        <w:t>’s</w:t>
      </w:r>
      <w:r w:rsidRPr="00225D10">
        <w:t xml:space="preserve"> fringe may also drive development of intensive agriculture within the </w:t>
      </w:r>
      <w:r w:rsidR="00850547" w:rsidRPr="00225D10">
        <w:t>Loddon S</w:t>
      </w:r>
      <w:r w:rsidRPr="00225D10">
        <w:t xml:space="preserve">hire. Significant opportunities exist for future investment in intensive agriculture throughout the municipality. </w:t>
      </w:r>
    </w:p>
    <w:p w:rsidR="004D6DF4" w:rsidRPr="00225D10" w:rsidRDefault="004D6DF4" w:rsidP="00D34F87">
      <w:pPr>
        <w:pStyle w:val="bt"/>
        <w:tabs>
          <w:tab w:val="left" w:pos="8931"/>
        </w:tabs>
      </w:pPr>
      <w:r w:rsidRPr="00225D10">
        <w:t>The future of agriculture in Loddon Shire is likely to include:</w:t>
      </w:r>
    </w:p>
    <w:p w:rsidR="004D6DF4" w:rsidRPr="00225D10" w:rsidRDefault="00850547" w:rsidP="00D34F87">
      <w:pPr>
        <w:pStyle w:val="ListParagraphSummary"/>
        <w:tabs>
          <w:tab w:val="left" w:pos="8931"/>
        </w:tabs>
      </w:pPr>
      <w:r w:rsidRPr="00225D10">
        <w:t>a</w:t>
      </w:r>
      <w:r w:rsidR="004D6DF4" w:rsidRPr="00225D10">
        <w:t xml:space="preserve"> steady position within the dry</w:t>
      </w:r>
      <w:r w:rsidR="00DB7A99">
        <w:t xml:space="preserve"> </w:t>
      </w:r>
      <w:r w:rsidR="004D6DF4" w:rsidRPr="00225D10">
        <w:t>land sector with farms continuing to expand over time and possibly an adjustment in the production mix in response to climate change</w:t>
      </w:r>
    </w:p>
    <w:p w:rsidR="004D6DF4" w:rsidRPr="00225D10" w:rsidRDefault="00850547" w:rsidP="00D34F87">
      <w:pPr>
        <w:pStyle w:val="ListParagraphSummary"/>
        <w:tabs>
          <w:tab w:val="left" w:pos="8931"/>
        </w:tabs>
      </w:pPr>
      <w:r w:rsidRPr="00225D10">
        <w:t>a</w:t>
      </w:r>
      <w:r w:rsidR="004D6DF4" w:rsidRPr="00225D10">
        <w:t xml:space="preserve"> reduced irrigation footprint</w:t>
      </w:r>
    </w:p>
    <w:p w:rsidR="004D6DF4" w:rsidRPr="00225D10" w:rsidRDefault="00850547" w:rsidP="00D34F87">
      <w:pPr>
        <w:pStyle w:val="ListParagraphSummary"/>
        <w:tabs>
          <w:tab w:val="left" w:pos="8931"/>
        </w:tabs>
      </w:pPr>
      <w:r w:rsidRPr="00225D10">
        <w:t>a</w:t>
      </w:r>
      <w:r w:rsidR="004729B1" w:rsidRPr="00225D10">
        <w:t xml:space="preserve">reas no longer irrigated </w:t>
      </w:r>
      <w:r w:rsidR="004D6DF4" w:rsidRPr="00225D10">
        <w:t xml:space="preserve">will revert to some form of </w:t>
      </w:r>
      <w:r w:rsidR="00F031C7" w:rsidRPr="00225D10">
        <w:t>dry land</w:t>
      </w:r>
      <w:r w:rsidR="004D6DF4" w:rsidRPr="00225D10">
        <w:t xml:space="preserve"> agriculture</w:t>
      </w:r>
    </w:p>
    <w:p w:rsidR="004D6DF4" w:rsidRPr="00225D10" w:rsidRDefault="00850547" w:rsidP="00D34F87">
      <w:pPr>
        <w:pStyle w:val="ListParagraphSummary"/>
        <w:tabs>
          <w:tab w:val="left" w:pos="8931"/>
        </w:tabs>
      </w:pPr>
      <w:r w:rsidRPr="00225D10">
        <w:t>a</w:t>
      </w:r>
      <w:r w:rsidR="004D6DF4" w:rsidRPr="00225D10">
        <w:t xml:space="preserve"> shift to high value enterprises</w:t>
      </w:r>
      <w:r w:rsidR="00DB7A99">
        <w:t>, for example,</w:t>
      </w:r>
      <w:r w:rsidR="004D6DF4" w:rsidRPr="00225D10">
        <w:t xml:space="preserve"> more dairy and horticulture on better soil types</w:t>
      </w:r>
    </w:p>
    <w:p w:rsidR="004D6DF4" w:rsidRPr="00E52277" w:rsidRDefault="00850547" w:rsidP="00D34F87">
      <w:pPr>
        <w:pStyle w:val="ListParagraphSummary"/>
        <w:tabs>
          <w:tab w:val="left" w:pos="8931"/>
        </w:tabs>
        <w:rPr>
          <w:szCs w:val="20"/>
        </w:rPr>
      </w:pPr>
      <w:proofErr w:type="gramStart"/>
      <w:r w:rsidRPr="00225D10">
        <w:t>a</w:t>
      </w:r>
      <w:r w:rsidR="004D6DF4" w:rsidRPr="00225D10">
        <w:t>n</w:t>
      </w:r>
      <w:proofErr w:type="gramEnd"/>
      <w:r w:rsidR="004D6DF4" w:rsidRPr="00225D10">
        <w:t xml:space="preserve"> increase in intensive agriculture</w:t>
      </w:r>
      <w:r w:rsidR="00B351D9" w:rsidRPr="00E52277">
        <w:rPr>
          <w:szCs w:val="20"/>
        </w:rPr>
        <w:t>.</w:t>
      </w:r>
      <w:r w:rsidR="009F5AE5" w:rsidRPr="00E52277">
        <w:rPr>
          <w:rStyle w:val="FootnoteReference"/>
          <w:rFonts w:asciiTheme="minorHAnsi" w:hAnsiTheme="minorHAnsi" w:cs="Arial"/>
          <w:szCs w:val="20"/>
        </w:rPr>
        <w:footnoteReference w:id="11"/>
      </w:r>
    </w:p>
    <w:p w:rsidR="00594B2C" w:rsidRPr="00225D10" w:rsidRDefault="00594B2C" w:rsidP="00D34F87">
      <w:pPr>
        <w:pStyle w:val="bt"/>
        <w:tabs>
          <w:tab w:val="left" w:pos="8931"/>
        </w:tabs>
      </w:pPr>
      <w:r w:rsidRPr="00225D10">
        <w:t>The equine sector is of particular importance to the Macedon Ranges Shire, generating an economic impact of $140 million in the 2009</w:t>
      </w:r>
      <w:r w:rsidR="00850547" w:rsidRPr="00225D10">
        <w:t>–</w:t>
      </w:r>
      <w:r w:rsidRPr="00225D10">
        <w:t xml:space="preserve">10 financial </w:t>
      </w:r>
      <w:proofErr w:type="gramStart"/>
      <w:r w:rsidRPr="00225D10">
        <w:t>year</w:t>
      </w:r>
      <w:proofErr w:type="gramEnd"/>
      <w:r w:rsidRPr="00225D10">
        <w:t xml:space="preserve">. It is the </w:t>
      </w:r>
      <w:r w:rsidR="00850547" w:rsidRPr="00225D10">
        <w:t xml:space="preserve">seventh </w:t>
      </w:r>
      <w:r w:rsidRPr="00225D10">
        <w:t>largest industry in the Macedon Ranges Shire in terms of local jobs</w:t>
      </w:r>
      <w:r w:rsidR="00F72376">
        <w:t>.</w:t>
      </w:r>
      <w:r w:rsidRPr="00F72376">
        <w:rPr>
          <w:rStyle w:val="FootnoteReference"/>
          <w:rFonts w:asciiTheme="minorHAnsi" w:hAnsiTheme="minorHAnsi" w:cs="Arial"/>
          <w:szCs w:val="20"/>
        </w:rPr>
        <w:footnoteReference w:id="12"/>
      </w:r>
      <w:r w:rsidRPr="00F72376">
        <w:rPr>
          <w:szCs w:val="20"/>
        </w:rPr>
        <w:t xml:space="preserve"> </w:t>
      </w:r>
      <w:r w:rsidRPr="00225D10">
        <w:t>Macedon Ranges is experiencing substantial growth in requests for planning and building approvals for equine</w:t>
      </w:r>
      <w:r w:rsidR="00850547" w:rsidRPr="00225D10">
        <w:t>-</w:t>
      </w:r>
      <w:r w:rsidRPr="00225D10">
        <w:t xml:space="preserve">related infrastructure and facilities. Macedon Ranges </w:t>
      </w:r>
      <w:r w:rsidR="007D6F85">
        <w:t xml:space="preserve">Shire Council </w:t>
      </w:r>
      <w:r w:rsidRPr="00225D10">
        <w:t>aim</w:t>
      </w:r>
      <w:r w:rsidR="00850547" w:rsidRPr="00225D10">
        <w:t>s</w:t>
      </w:r>
      <w:r w:rsidRPr="00225D10">
        <w:t xml:space="preserve"> to grow the equine sector in a strategic and sustainable manner. </w:t>
      </w:r>
    </w:p>
    <w:p w:rsidR="00FA659B" w:rsidRPr="00DB7A99" w:rsidRDefault="008F61CA" w:rsidP="00D34F87">
      <w:pPr>
        <w:pStyle w:val="bt"/>
        <w:tabs>
          <w:tab w:val="left" w:pos="8931"/>
        </w:tabs>
      </w:pPr>
      <w:r w:rsidRPr="00A958D2">
        <w:t xml:space="preserve">Increasing productivity and competition pressures </w:t>
      </w:r>
      <w:r w:rsidR="00423EC9" w:rsidRPr="00A958D2">
        <w:t xml:space="preserve">on the agricultural sector and permanent trade </w:t>
      </w:r>
      <w:r w:rsidR="00850547" w:rsidRPr="00A958D2">
        <w:t xml:space="preserve">in </w:t>
      </w:r>
      <w:r w:rsidR="00423EC9" w:rsidRPr="00A958D2">
        <w:t>water share</w:t>
      </w:r>
      <w:r w:rsidR="007D631F" w:rsidRPr="00A958D2">
        <w:t>s</w:t>
      </w:r>
      <w:r w:rsidR="00AE690A" w:rsidRPr="00A958D2">
        <w:t xml:space="preserve"> is accelerating the consolidation of smaller dry land and irrigation farms in the north and west of the region into larger landholdings. The trend of farm </w:t>
      </w:r>
      <w:r w:rsidR="00EB6C89" w:rsidRPr="00A958D2">
        <w:t xml:space="preserve">consolidation and business </w:t>
      </w:r>
      <w:r w:rsidR="00AE690A" w:rsidRPr="00A958D2">
        <w:t xml:space="preserve">expansion is likely to continue into the future. The ability for farmers to acquire additional land will be </w:t>
      </w:r>
      <w:r w:rsidR="00EB6C89" w:rsidRPr="00A958D2">
        <w:t xml:space="preserve">a key factor </w:t>
      </w:r>
      <w:r w:rsidR="00AE690A" w:rsidRPr="00A958D2">
        <w:t>in terms of their ongoing viability, although high land prices in the south make it difficult to expand holdings to maintain a commercially viable scale</w:t>
      </w:r>
      <w:r w:rsidR="00EB6C89" w:rsidRPr="00A958D2">
        <w:rPr>
          <w:vertAlign w:val="superscript"/>
        </w:rPr>
        <w:footnoteReference w:id="13"/>
      </w:r>
      <w:r w:rsidR="00AE690A" w:rsidRPr="00A958D2">
        <w:t>. Demand for urban and rural</w:t>
      </w:r>
      <w:r w:rsidR="00AE690A" w:rsidRPr="00AE690A">
        <w:t xml:space="preserve"> residential development is putting pressure on agricultural land, particularly near major settlements and in the Calder corridor</w:t>
      </w:r>
      <w:r w:rsidR="007D6F85">
        <w:t>. T</w:t>
      </w:r>
      <w:r w:rsidR="00AE690A" w:rsidRPr="00AE690A">
        <w:t xml:space="preserve">his will only increase with population growth.  </w:t>
      </w:r>
    </w:p>
    <w:p w:rsidR="00DF24F6" w:rsidRPr="00225D10" w:rsidRDefault="0031713A" w:rsidP="00D34F87">
      <w:pPr>
        <w:pStyle w:val="bt"/>
        <w:tabs>
          <w:tab w:val="left" w:pos="8931"/>
        </w:tabs>
      </w:pPr>
      <w:r w:rsidRPr="00225D10">
        <w:t xml:space="preserve">Agricultural production </w:t>
      </w:r>
      <w:r w:rsidR="00216501" w:rsidRPr="00225D10">
        <w:t xml:space="preserve">continues </w:t>
      </w:r>
      <w:r w:rsidR="00216501" w:rsidRPr="00225D10" w:rsidDel="0031713A">
        <w:t>to</w:t>
      </w:r>
      <w:r w:rsidR="00DF24F6" w:rsidRPr="00225D10" w:rsidDel="006B0693">
        <w:t xml:space="preserve"> adapt and change to ensure increases </w:t>
      </w:r>
      <w:r w:rsidR="00850547" w:rsidRPr="00225D10">
        <w:t xml:space="preserve">in </w:t>
      </w:r>
      <w:r w:rsidR="00DF24F6" w:rsidRPr="00225D10" w:rsidDel="006B0693">
        <w:t>profitability</w:t>
      </w:r>
      <w:r w:rsidR="007D6F85">
        <w:t xml:space="preserve"> and </w:t>
      </w:r>
      <w:r w:rsidR="00DF24F6" w:rsidRPr="00225D10" w:rsidDel="006B0693">
        <w:t>productivity</w:t>
      </w:r>
      <w:r w:rsidR="00850547" w:rsidRPr="00225D10">
        <w:t xml:space="preserve"> through the </w:t>
      </w:r>
      <w:r w:rsidR="00DF24F6" w:rsidRPr="00225D10" w:rsidDel="006B0693">
        <w:t xml:space="preserve">development and uptake of emerging and new technologies, and </w:t>
      </w:r>
      <w:r w:rsidR="00850547" w:rsidRPr="00225D10">
        <w:t xml:space="preserve">the </w:t>
      </w:r>
      <w:r w:rsidR="00DF24F6" w:rsidRPr="00225D10" w:rsidDel="006B0693">
        <w:t>intensification of farming. At the same time the region is facing significant challenges and opportunities from growth and diversification to farming systems, geographic changes to industry</w:t>
      </w:r>
      <w:r w:rsidR="007D6F85">
        <w:t xml:space="preserve"> are occurring</w:t>
      </w:r>
      <w:r w:rsidR="00DF24F6" w:rsidRPr="00225D10" w:rsidDel="006B0693">
        <w:t xml:space="preserve"> </w:t>
      </w:r>
      <w:r w:rsidR="00C90E3B" w:rsidRPr="00225D10">
        <w:t xml:space="preserve">in order </w:t>
      </w:r>
      <w:r w:rsidR="00DF24F6" w:rsidRPr="00225D10" w:rsidDel="006B0693">
        <w:t xml:space="preserve">to mitigate risk. </w:t>
      </w:r>
      <w:r w:rsidR="00B44462" w:rsidRPr="00225D10">
        <w:t xml:space="preserve">Diversification opportunities are increasingly available for agricultural enterprises, particularly with the emergence of </w:t>
      </w:r>
      <w:r w:rsidR="00861E57" w:rsidRPr="00050045">
        <w:t>initiatives that support national and global action to reduce greenhouse gas emissions</w:t>
      </w:r>
      <w:r w:rsidR="00FA0859">
        <w:t>,</w:t>
      </w:r>
      <w:r w:rsidR="00861E57" w:rsidRPr="00050045">
        <w:t xml:space="preserve"> such as a price or a tax on carbon</w:t>
      </w:r>
      <w:r w:rsidR="00FA0859">
        <w:t xml:space="preserve">, </w:t>
      </w:r>
      <w:r w:rsidR="00B44462" w:rsidRPr="00225D10">
        <w:t>and market systems for paying landholders for protecting environmental assets and values.</w:t>
      </w:r>
      <w:r w:rsidR="00DF24F6" w:rsidRPr="00225D10" w:rsidDel="006B0693">
        <w:t xml:space="preserve"> There are numerous existing and emerging opportunities </w:t>
      </w:r>
      <w:r w:rsidR="007D6F85">
        <w:t xml:space="preserve">in the region </w:t>
      </w:r>
      <w:r w:rsidR="00DF24F6" w:rsidRPr="00225D10" w:rsidDel="006B0693">
        <w:t xml:space="preserve">for clusters of intensive agricultural </w:t>
      </w:r>
      <w:r w:rsidR="00F031C7" w:rsidRPr="00225D10" w:rsidDel="006B0693">
        <w:t>production</w:t>
      </w:r>
      <w:r w:rsidR="00F031C7">
        <w:t>, such</w:t>
      </w:r>
      <w:r w:rsidR="00997C90">
        <w:t xml:space="preserve"> as</w:t>
      </w:r>
      <w:r w:rsidR="00C90E3B" w:rsidRPr="00225D10">
        <w:t xml:space="preserve"> </w:t>
      </w:r>
      <w:r w:rsidR="00DF24F6" w:rsidRPr="00225D10" w:rsidDel="006B0693">
        <w:t>piggeries</w:t>
      </w:r>
      <w:bookmarkStart w:id="80" w:name="_Toc347321161"/>
      <w:bookmarkEnd w:id="80"/>
      <w:r w:rsidR="00DF24F6" w:rsidRPr="00225D10">
        <w:t>.</w:t>
      </w:r>
    </w:p>
    <w:p w:rsidR="00DF24F6" w:rsidRPr="00663F7F" w:rsidRDefault="00DF24F6" w:rsidP="00D34F87">
      <w:pPr>
        <w:pStyle w:val="Heading2"/>
        <w:tabs>
          <w:tab w:val="left" w:pos="8931"/>
        </w:tabs>
        <w:rPr>
          <w:rFonts w:cs="Arial"/>
        </w:rPr>
      </w:pPr>
      <w:bookmarkStart w:id="81" w:name="_Toc374530862"/>
      <w:r w:rsidRPr="00663F7F">
        <w:rPr>
          <w:rFonts w:cs="Arial"/>
        </w:rPr>
        <w:lastRenderedPageBreak/>
        <w:t xml:space="preserve">Natural </w:t>
      </w:r>
      <w:r w:rsidR="009A3287" w:rsidRPr="00663F7F">
        <w:rPr>
          <w:rFonts w:cs="Arial"/>
        </w:rPr>
        <w:t>r</w:t>
      </w:r>
      <w:r w:rsidRPr="00663F7F">
        <w:rPr>
          <w:rFonts w:cs="Arial"/>
        </w:rPr>
        <w:t>esources</w:t>
      </w:r>
      <w:bookmarkEnd w:id="81"/>
    </w:p>
    <w:p w:rsidR="00664453" w:rsidRPr="00225D10" w:rsidRDefault="00664453" w:rsidP="00D34F87">
      <w:pPr>
        <w:pStyle w:val="Heading4"/>
        <w:tabs>
          <w:tab w:val="left" w:pos="8931"/>
        </w:tabs>
      </w:pPr>
      <w:r w:rsidRPr="00225D10">
        <w:t xml:space="preserve">Mining and </w:t>
      </w:r>
      <w:r w:rsidR="00C90E3B" w:rsidRPr="00225D10">
        <w:t>e</w:t>
      </w:r>
      <w:r w:rsidRPr="00225D10">
        <w:t xml:space="preserve">xtractive </w:t>
      </w:r>
      <w:r w:rsidR="00C90E3B" w:rsidRPr="00225D10">
        <w:t>i</w:t>
      </w:r>
      <w:r w:rsidRPr="00225D10">
        <w:t>ndustr</w:t>
      </w:r>
      <w:r w:rsidR="00360CF3">
        <w:t>ies</w:t>
      </w:r>
    </w:p>
    <w:p w:rsidR="00CE7FD2" w:rsidRPr="00225D10" w:rsidRDefault="00CE7FD2" w:rsidP="00D34F87">
      <w:pPr>
        <w:pStyle w:val="bt"/>
        <w:tabs>
          <w:tab w:val="left" w:pos="8931"/>
        </w:tabs>
      </w:pPr>
      <w:r w:rsidRPr="00225D10">
        <w:t xml:space="preserve">Much of the history of the </w:t>
      </w:r>
      <w:r w:rsidR="007D0795" w:rsidRPr="00225D10">
        <w:t xml:space="preserve">Loddon Mallee South </w:t>
      </w:r>
      <w:r w:rsidRPr="00225D10">
        <w:t>region</w:t>
      </w:r>
      <w:r w:rsidR="007D0795" w:rsidRPr="00225D10">
        <w:t xml:space="preserve">, including its many </w:t>
      </w:r>
      <w:r w:rsidRPr="00225D10">
        <w:t>heritage buildings</w:t>
      </w:r>
      <w:r w:rsidR="007D0795" w:rsidRPr="00225D10">
        <w:t>,</w:t>
      </w:r>
      <w:r w:rsidRPr="00225D10">
        <w:t xml:space="preserve"> is based around the gold </w:t>
      </w:r>
      <w:r w:rsidR="009A1223" w:rsidRPr="00225D10">
        <w:t>rush of</w:t>
      </w:r>
      <w:r w:rsidRPr="00225D10">
        <w:t xml:space="preserve"> the 1800s. The discovery and exploitation of rich deep gold deposits in quartz reefs in the late </w:t>
      </w:r>
      <w:r w:rsidR="009A1223" w:rsidRPr="00225D10">
        <w:t>19th</w:t>
      </w:r>
      <w:r w:rsidRPr="00225D10">
        <w:t xml:space="preserve"> century led to large min</w:t>
      </w:r>
      <w:r w:rsidR="009A1223" w:rsidRPr="00225D10">
        <w:t xml:space="preserve">ing operations </w:t>
      </w:r>
      <w:r w:rsidRPr="00225D10">
        <w:t xml:space="preserve">which then gave rise to the development of the region’s manufacturing industry. Although not of the same scale today, the mining industry is still significant. Perseverance </w:t>
      </w:r>
      <w:r w:rsidR="007D6F85">
        <w:t>Mining P</w:t>
      </w:r>
      <w:r w:rsidR="00697BC7">
        <w:t>ty</w:t>
      </w:r>
      <w:r w:rsidR="007D6F85">
        <w:t xml:space="preserve"> Limited </w:t>
      </w:r>
      <w:r w:rsidRPr="00225D10">
        <w:t>operates a significant</w:t>
      </w:r>
      <w:r w:rsidR="00360CF3">
        <w:t xml:space="preserve"> gold</w:t>
      </w:r>
      <w:r w:rsidRPr="00225D10">
        <w:t xml:space="preserve"> mine</w:t>
      </w:r>
      <w:r w:rsidR="009A1223" w:rsidRPr="00225D10">
        <w:t xml:space="preserve"> in the region</w:t>
      </w:r>
      <w:r w:rsidRPr="00225D10">
        <w:t xml:space="preserve">. </w:t>
      </w:r>
      <w:r w:rsidR="009A1223" w:rsidRPr="00225D10">
        <w:t xml:space="preserve">New </w:t>
      </w:r>
      <w:r w:rsidRPr="00225D10">
        <w:t>technologies have improved yields and enabled some former mine sites to be re-mined. The region is still being actively explored for gold. Gold mining and prospecting continues to play an important industrial and tourism role for the region and represents an important link to the initial development of central Victoria.</w:t>
      </w:r>
    </w:p>
    <w:p w:rsidR="00E66364" w:rsidRDefault="002E13D6" w:rsidP="00D34F87">
      <w:pPr>
        <w:pStyle w:val="bt"/>
        <w:tabs>
          <w:tab w:val="left" w:pos="8931"/>
        </w:tabs>
        <w:sectPr w:rsidR="00E66364" w:rsidSect="001309E4">
          <w:pgSz w:w="11907" w:h="16839" w:code="9"/>
          <w:pgMar w:top="425" w:right="851" w:bottom="993" w:left="1077" w:header="709" w:footer="709" w:gutter="0"/>
          <w:cols w:space="720"/>
          <w:docGrid w:linePitch="360"/>
        </w:sectPr>
      </w:pPr>
      <w:r w:rsidRPr="00225D10">
        <w:t>There is a variety of different mineral and mining resources throughout the regio</w:t>
      </w:r>
      <w:r w:rsidR="00A55F0A">
        <w:t>n</w:t>
      </w:r>
      <w:r w:rsidRPr="00225D10">
        <w:t xml:space="preserve">, such as mineral sands in the north of the Loddon Shire. </w:t>
      </w:r>
      <w:r w:rsidR="00360CF3">
        <w:t>The region also contains significant extractive industries, espe</w:t>
      </w:r>
      <w:r w:rsidR="00081BE6">
        <w:t>cially sand and stone resources</w:t>
      </w:r>
      <w:r w:rsidR="00360CF3">
        <w:t xml:space="preserve">. </w:t>
      </w:r>
      <w:r w:rsidRPr="00225D10">
        <w:t xml:space="preserve">The protection of future extractive resources, </w:t>
      </w:r>
      <w:r w:rsidR="007D6F85">
        <w:t>such as</w:t>
      </w:r>
      <w:r w:rsidRPr="00225D10">
        <w:t xml:space="preserve"> potential clay and stone </w:t>
      </w:r>
      <w:r w:rsidR="00216501" w:rsidRPr="00225D10">
        <w:t>resources</w:t>
      </w:r>
      <w:r w:rsidRPr="00225D10">
        <w:t xml:space="preserve"> is significant to local industry and infrastructure</w:t>
      </w:r>
      <w:r w:rsidR="00081BE6">
        <w:t>, particularly as the availability of locally sourced sand and stone resources helps to manage construction costs</w:t>
      </w:r>
      <w:r w:rsidRPr="00225D10">
        <w:t>. Potential sites need to be managed to protect their use, and to prevent pressures from other land uses including residential development.</w:t>
      </w:r>
    </w:p>
    <w:p w:rsidR="0088511E" w:rsidRPr="00E11C41" w:rsidRDefault="0088511E" w:rsidP="00D34F87">
      <w:pPr>
        <w:pStyle w:val="Caption"/>
        <w:tabs>
          <w:tab w:val="left" w:pos="8931"/>
        </w:tabs>
      </w:pPr>
      <w:bookmarkStart w:id="82" w:name="_Ref366058448"/>
      <w:r>
        <w:rPr>
          <w:noProof/>
        </w:rPr>
        <w:lastRenderedPageBreak/>
        <w:drawing>
          <wp:anchor distT="0" distB="0" distL="114300" distR="114300" simplePos="0" relativeHeight="251683840" behindDoc="0" locked="0" layoutInCell="1" allowOverlap="1">
            <wp:simplePos x="0" y="0"/>
            <wp:positionH relativeFrom="column">
              <wp:posOffset>-27305</wp:posOffset>
            </wp:positionH>
            <wp:positionV relativeFrom="paragraph">
              <wp:posOffset>352425</wp:posOffset>
            </wp:positionV>
            <wp:extent cx="8848090" cy="5257800"/>
            <wp:effectExtent l="19050" t="0" r="0" b="0"/>
            <wp:wrapTopAndBottom/>
            <wp:docPr id="13" name="Picture 1" descr="Map of mining and extractive industries, tenements and lic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DPCD Permanent All Staff\_Project Support Transfer\RGP Extractive Industry Maps\LMS Extractive Industry  Licences and tenements 3Sep2013.jpg"/>
                    <pic:cNvPicPr>
                      <a:picLocks noChangeAspect="1" noChangeArrowheads="1"/>
                    </pic:cNvPicPr>
                  </pic:nvPicPr>
                  <pic:blipFill>
                    <a:blip r:embed="rId31" cstate="email"/>
                    <a:srcRect/>
                    <a:stretch>
                      <a:fillRect/>
                    </a:stretch>
                  </pic:blipFill>
                  <pic:spPr bwMode="auto">
                    <a:xfrm>
                      <a:off x="0" y="0"/>
                      <a:ext cx="8848090" cy="5257800"/>
                    </a:xfrm>
                    <a:prstGeom prst="rect">
                      <a:avLst/>
                    </a:prstGeom>
                    <a:noFill/>
                    <a:ln w="9525">
                      <a:noFill/>
                      <a:miter lim="800000"/>
                      <a:headEnd/>
                      <a:tailEnd/>
                    </a:ln>
                  </pic:spPr>
                </pic:pic>
              </a:graphicData>
            </a:graphic>
          </wp:anchor>
        </w:drawing>
      </w:r>
      <w:bookmarkStart w:id="83" w:name="_Toc374530816"/>
      <w:r w:rsidRPr="00E11C41">
        <w:t xml:space="preserve">Figure </w:t>
      </w:r>
      <w:r w:rsidR="00680EEE">
        <w:fldChar w:fldCharType="begin"/>
      </w:r>
      <w:r w:rsidR="00680EEE">
        <w:instrText xml:space="preserve"> SEQ Figure \* ARABIC </w:instrText>
      </w:r>
      <w:r w:rsidR="00680EEE">
        <w:fldChar w:fldCharType="separate"/>
      </w:r>
      <w:r w:rsidR="00EF1401">
        <w:rPr>
          <w:noProof/>
        </w:rPr>
        <w:t>21</w:t>
      </w:r>
      <w:r w:rsidR="00680EEE">
        <w:rPr>
          <w:noProof/>
        </w:rPr>
        <w:fldChar w:fldCharType="end"/>
      </w:r>
      <w:bookmarkEnd w:id="82"/>
      <w:r w:rsidR="00377F5C">
        <w:t xml:space="preserve">: </w:t>
      </w:r>
      <w:r w:rsidRPr="00E11C41">
        <w:t>Mining and extractive industries</w:t>
      </w:r>
      <w:r>
        <w:t>, tenements and licences</w:t>
      </w:r>
      <w:bookmarkEnd w:id="83"/>
    </w:p>
    <w:p w:rsidR="00E66364" w:rsidRDefault="0088511E" w:rsidP="00D34F87">
      <w:pPr>
        <w:pStyle w:val="Source"/>
        <w:tabs>
          <w:tab w:val="left" w:pos="8931"/>
        </w:tabs>
        <w:sectPr w:rsidR="00E66364" w:rsidSect="00E66364">
          <w:pgSz w:w="16839" w:h="11907" w:orient="landscape" w:code="9"/>
          <w:pgMar w:top="1077" w:right="425" w:bottom="993" w:left="993" w:header="709" w:footer="709" w:gutter="0"/>
          <w:cols w:space="720"/>
          <w:docGrid w:linePitch="360"/>
        </w:sectPr>
      </w:pPr>
      <w:r w:rsidRPr="00A20C4A">
        <w:t>Source: Department of Environment and Primary Industries</w:t>
      </w:r>
    </w:p>
    <w:p w:rsidR="00360CF3" w:rsidRPr="00040BEF" w:rsidRDefault="00360CF3" w:rsidP="00D34F87">
      <w:pPr>
        <w:pStyle w:val="bt"/>
        <w:tabs>
          <w:tab w:val="left" w:pos="8931"/>
        </w:tabs>
      </w:pPr>
      <w:r w:rsidRPr="00040BEF">
        <w:lastRenderedPageBreak/>
        <w:t>In May 2012, the Economic Development and Infrastructure Committee of the Parliament of Victoria tabled the results of its inquiry into the benefits and drivers of, and possible barriers to, greenfields</w:t>
      </w:r>
      <w:r w:rsidRPr="00040BEF">
        <w:rPr>
          <w:rStyle w:val="FootnoteReference"/>
        </w:rPr>
        <w:footnoteReference w:id="14"/>
      </w:r>
      <w:r w:rsidRPr="00040BEF">
        <w:t xml:space="preserve"> mineral exploration and pro</w:t>
      </w:r>
      <w:r w:rsidR="002D65E9">
        <w:t xml:space="preserve">ject developments in Victoria. </w:t>
      </w:r>
      <w:r w:rsidRPr="00040BEF">
        <w:t xml:space="preserve">The Victorian Government’s response to the Inquiry was released in May 2013, </w:t>
      </w:r>
      <w:r w:rsidR="002D65E9">
        <w:t>supporting all recommendations.</w:t>
      </w:r>
      <w:r w:rsidRPr="00040BEF">
        <w:t xml:space="preserve"> Key aspects of the response include:</w:t>
      </w:r>
    </w:p>
    <w:p w:rsidR="00360CF3" w:rsidRPr="00040BEF" w:rsidRDefault="00360CF3" w:rsidP="00D34F87">
      <w:pPr>
        <w:pStyle w:val="ListParagraphSummary"/>
        <w:tabs>
          <w:tab w:val="left" w:pos="8931"/>
        </w:tabs>
      </w:pPr>
      <w:r w:rsidRPr="00040BEF">
        <w:t>establish Minerals Development Victoria as a single point of entry for investors and to be the link between investors and the State Government</w:t>
      </w:r>
    </w:p>
    <w:p w:rsidR="00360CF3" w:rsidRPr="00040BEF" w:rsidRDefault="00360CF3" w:rsidP="00D34F87">
      <w:pPr>
        <w:pStyle w:val="ListParagraphSummary"/>
        <w:tabs>
          <w:tab w:val="left" w:pos="8931"/>
        </w:tabs>
      </w:pPr>
      <w:r w:rsidRPr="00040BEF">
        <w:t>actions to reduce regulatory burden imposed by legislation</w:t>
      </w:r>
    </w:p>
    <w:p w:rsidR="00360CF3" w:rsidRPr="00040BEF" w:rsidRDefault="00360CF3" w:rsidP="00D34F87">
      <w:pPr>
        <w:pStyle w:val="ListParagraphSummary"/>
        <w:tabs>
          <w:tab w:val="left" w:pos="8931"/>
        </w:tabs>
      </w:pPr>
      <w:r w:rsidRPr="00040BEF">
        <w:t>actions to build community confidence through greater engagement and clearer communication of information</w:t>
      </w:r>
    </w:p>
    <w:p w:rsidR="00360CF3" w:rsidRPr="00040BEF" w:rsidRDefault="00360CF3" w:rsidP="00D34F87">
      <w:pPr>
        <w:pStyle w:val="ListParagraphSummary"/>
        <w:tabs>
          <w:tab w:val="left" w:pos="8931"/>
        </w:tabs>
      </w:pPr>
      <w:r w:rsidRPr="00040BEF">
        <w:t>additional funding for geosciences research and greater investment attraction</w:t>
      </w:r>
    </w:p>
    <w:p w:rsidR="00360CF3" w:rsidRPr="00040BEF" w:rsidRDefault="00360CF3" w:rsidP="00D34F87">
      <w:pPr>
        <w:pStyle w:val="ListParagraphSummary"/>
        <w:tabs>
          <w:tab w:val="left" w:pos="8931"/>
        </w:tabs>
      </w:pPr>
      <w:proofErr w:type="gramStart"/>
      <w:r w:rsidRPr="00040BEF">
        <w:t>steps</w:t>
      </w:r>
      <w:proofErr w:type="gramEnd"/>
      <w:r w:rsidRPr="00040BEF">
        <w:t xml:space="preserve"> to improve mechanisms to maintain appropriate access to extractive resources while supporting ongoing development and optimum land use.</w:t>
      </w:r>
    </w:p>
    <w:p w:rsidR="00360CF3" w:rsidRPr="00040BEF" w:rsidRDefault="00360CF3" w:rsidP="00D34F87">
      <w:pPr>
        <w:pStyle w:val="bt"/>
        <w:tabs>
          <w:tab w:val="left" w:pos="8931"/>
        </w:tabs>
      </w:pPr>
      <w:r w:rsidRPr="00040BEF">
        <w:t>While it is important to acknowledge these and other aspects of the response, it is beyond the scope of the regional growth plans to deal with the majority of the commitments and they will need to be addressed through other suitable government initiatives. The response did include a commitment to incorporate existing extractive industry interest ar</w:t>
      </w:r>
      <w:r w:rsidR="002D65E9">
        <w:t>eas into regional growth plans.</w:t>
      </w:r>
      <w:r w:rsidRPr="00040BEF">
        <w:t xml:space="preserve"> The plan recognises these areas accordingly.</w:t>
      </w:r>
    </w:p>
    <w:p w:rsidR="00360CF3" w:rsidRPr="00040BEF" w:rsidRDefault="00360CF3" w:rsidP="00D34F87">
      <w:pPr>
        <w:pStyle w:val="bt"/>
        <w:tabs>
          <w:tab w:val="left" w:pos="8931"/>
        </w:tabs>
      </w:pPr>
      <w:r w:rsidRPr="00040BEF">
        <w:t>Current minerals and extractive industry activities, along with the extractive industry interest areas and other potential earth resources that occur with the region are shown in</w:t>
      </w:r>
      <w:r w:rsidR="00D3160D">
        <w:t xml:space="preserve"> </w:t>
      </w:r>
      <w:r w:rsidR="00680EEE">
        <w:fldChar w:fldCharType="begin"/>
      </w:r>
      <w:r w:rsidR="00680EEE">
        <w:instrText xml:space="preserve"> REF _Ref366058448 \h  \* MERGEFORMAT </w:instrText>
      </w:r>
      <w:r w:rsidR="00680EEE">
        <w:fldChar w:fldCharType="separate"/>
      </w:r>
      <w:r w:rsidR="00EF1401" w:rsidRPr="00E11C41">
        <w:t xml:space="preserve">Figure </w:t>
      </w:r>
      <w:r w:rsidR="00EF1401">
        <w:rPr>
          <w:noProof/>
        </w:rPr>
        <w:t>21</w:t>
      </w:r>
      <w:r w:rsidR="00680EEE">
        <w:fldChar w:fldCharType="end"/>
      </w:r>
      <w:r w:rsidRPr="00040BEF">
        <w:t>.</w:t>
      </w:r>
    </w:p>
    <w:p w:rsidR="00664453" w:rsidRPr="00225D10" w:rsidRDefault="00664453" w:rsidP="00D34F87">
      <w:pPr>
        <w:pStyle w:val="Heading4"/>
        <w:tabs>
          <w:tab w:val="left" w:pos="8931"/>
        </w:tabs>
      </w:pPr>
      <w:r w:rsidRPr="00225D10">
        <w:t>Forestry</w:t>
      </w:r>
    </w:p>
    <w:p w:rsidR="00664453" w:rsidRPr="00225D10" w:rsidRDefault="00664453" w:rsidP="00D34F87">
      <w:pPr>
        <w:pStyle w:val="bt"/>
        <w:tabs>
          <w:tab w:val="left" w:pos="8931"/>
        </w:tabs>
      </w:pPr>
      <w:r w:rsidRPr="00225D10">
        <w:t xml:space="preserve">Forest industries on </w:t>
      </w:r>
      <w:r w:rsidR="00DB7A99">
        <w:t>c</w:t>
      </w:r>
      <w:r w:rsidRPr="00225D10">
        <w:t>rown land</w:t>
      </w:r>
      <w:r w:rsidR="00AB3BEB">
        <w:t xml:space="preserve">, </w:t>
      </w:r>
      <w:r w:rsidRPr="00225D10">
        <w:t>timber production</w:t>
      </w:r>
      <w:r w:rsidR="004A6607" w:rsidRPr="00225D10">
        <w:t xml:space="preserve"> and </w:t>
      </w:r>
      <w:r w:rsidRPr="00225D10">
        <w:t xml:space="preserve">private forestry </w:t>
      </w:r>
      <w:r w:rsidR="004A6607" w:rsidRPr="00225D10">
        <w:t xml:space="preserve">such as </w:t>
      </w:r>
      <w:r w:rsidRPr="00225D10">
        <w:t>farm-</w:t>
      </w:r>
      <w:r w:rsidR="00AB3BEB" w:rsidRPr="00225D10">
        <w:t>forestry</w:t>
      </w:r>
      <w:r w:rsidR="00AB3BEB">
        <w:t xml:space="preserve">, </w:t>
      </w:r>
      <w:r w:rsidRPr="00225D10">
        <w:t xml:space="preserve">are an important component of the </w:t>
      </w:r>
      <w:r w:rsidR="009A1223" w:rsidRPr="00225D10">
        <w:t xml:space="preserve">regional </w:t>
      </w:r>
      <w:r w:rsidRPr="00225D10">
        <w:t>economy due to the extent of Box-Ironbark forest throughout the region. Whil</w:t>
      </w:r>
      <w:r w:rsidR="002631DE">
        <w:t>e</w:t>
      </w:r>
      <w:r w:rsidRPr="00225D10">
        <w:t xml:space="preserve"> the creation of Greater Bendigo </w:t>
      </w:r>
      <w:r w:rsidR="004A6607" w:rsidRPr="00225D10">
        <w:t xml:space="preserve">National Park </w:t>
      </w:r>
      <w:r w:rsidRPr="00225D10">
        <w:t xml:space="preserve">and </w:t>
      </w:r>
      <w:r w:rsidR="004A6607" w:rsidRPr="00225D10">
        <w:t xml:space="preserve">the </w:t>
      </w:r>
      <w:r w:rsidRPr="00225D10">
        <w:t xml:space="preserve">Heathcote-Graytown </w:t>
      </w:r>
      <w:r w:rsidR="004A6607" w:rsidRPr="00225D10">
        <w:t>N</w:t>
      </w:r>
      <w:r w:rsidRPr="00225D10">
        <w:t xml:space="preserve">ational </w:t>
      </w:r>
      <w:r w:rsidR="004A6607" w:rsidRPr="00225D10">
        <w:t>P</w:t>
      </w:r>
      <w:r w:rsidRPr="00225D10">
        <w:t xml:space="preserve">ark has </w:t>
      </w:r>
      <w:r w:rsidR="004A6607" w:rsidRPr="00225D10">
        <w:t>resulted in less</w:t>
      </w:r>
      <w:r w:rsidRPr="00225D10">
        <w:t xml:space="preserve"> forestry on public land, timber production on private land</w:t>
      </w:r>
      <w:r w:rsidR="004A6607" w:rsidRPr="00225D10">
        <w:t xml:space="preserve"> (</w:t>
      </w:r>
      <w:r w:rsidRPr="00225D10">
        <w:t>particularly small-scale farm-forestry</w:t>
      </w:r>
      <w:r w:rsidR="004A6607" w:rsidRPr="00225D10">
        <w:t>)</w:t>
      </w:r>
      <w:r w:rsidRPr="00225D10">
        <w:t xml:space="preserve"> can generate economic and environmental benefits, especially as strategic approaches to revegetation can provide economic benefits to landowners.</w:t>
      </w:r>
    </w:p>
    <w:p w:rsidR="00664453" w:rsidRPr="00225D10" w:rsidRDefault="00664453" w:rsidP="00D34F87">
      <w:pPr>
        <w:pStyle w:val="bt"/>
        <w:tabs>
          <w:tab w:val="left" w:pos="8931"/>
        </w:tabs>
      </w:pPr>
      <w:r w:rsidRPr="00225D10">
        <w:t xml:space="preserve">The region’s </w:t>
      </w:r>
      <w:r w:rsidR="00DB7A99">
        <w:t>s</w:t>
      </w:r>
      <w:r w:rsidR="00DB7A99" w:rsidRPr="00225D10">
        <w:t xml:space="preserve">tate </w:t>
      </w:r>
      <w:r w:rsidRPr="00225D10">
        <w:t xml:space="preserve">forests provide employment and support other forest-based industries such as apiculture, eucalyptus oil production, extractive industry and mining. The Box-Ironbark forests of the central Victorian Goldfields are a significant </w:t>
      </w:r>
      <w:r w:rsidR="004A6607" w:rsidRPr="00225D10">
        <w:t>s</w:t>
      </w:r>
      <w:r w:rsidRPr="00225D10">
        <w:t xml:space="preserve">tatewide source of limited durable timbers, honey, gold and extractive materials. On a local basis these forests are the main source of durable fencing timbers and at a regional level </w:t>
      </w:r>
      <w:r w:rsidR="004A6607" w:rsidRPr="00225D10">
        <w:t xml:space="preserve">they </w:t>
      </w:r>
      <w:r w:rsidRPr="00225D10">
        <w:t>supply domestic firewood.</w:t>
      </w:r>
      <w:r w:rsidRPr="00225D10">
        <w:rPr>
          <w:rStyle w:val="FootnoteReference"/>
          <w:rFonts w:asciiTheme="minorHAnsi" w:hAnsiTheme="minorHAnsi" w:cs="Calibri"/>
          <w:szCs w:val="22"/>
        </w:rPr>
        <w:footnoteReference w:id="15"/>
      </w:r>
    </w:p>
    <w:p w:rsidR="00664453" w:rsidRPr="00225D10" w:rsidRDefault="00664453" w:rsidP="00D34F87">
      <w:pPr>
        <w:pStyle w:val="bt"/>
        <w:tabs>
          <w:tab w:val="left" w:pos="8931"/>
        </w:tabs>
      </w:pPr>
      <w:r w:rsidRPr="00225D10">
        <w:t xml:space="preserve">Many of the region’s settlements are surrounded by </w:t>
      </w:r>
      <w:r w:rsidR="004A6607" w:rsidRPr="00225D10">
        <w:t>Box-</w:t>
      </w:r>
      <w:r w:rsidRPr="00225D10">
        <w:t>Iron</w:t>
      </w:r>
      <w:r w:rsidR="004A6607" w:rsidRPr="00225D10">
        <w:t>b</w:t>
      </w:r>
      <w:r w:rsidRPr="00225D10">
        <w:t>ark forest. Pressure from population growth and other land uses such as mining will need to be carefully managed to protect this resource as both an environmental and economic asset.</w:t>
      </w:r>
    </w:p>
    <w:p w:rsidR="00E15D62" w:rsidRPr="00663F7F" w:rsidRDefault="00E15D62" w:rsidP="00D34F87">
      <w:pPr>
        <w:pStyle w:val="Heading2"/>
        <w:tabs>
          <w:tab w:val="left" w:pos="8931"/>
        </w:tabs>
        <w:rPr>
          <w:rFonts w:cs="Arial"/>
        </w:rPr>
      </w:pPr>
      <w:bookmarkStart w:id="84" w:name="_Toc352154192"/>
      <w:bookmarkStart w:id="85" w:name="_Toc374530863"/>
      <w:bookmarkEnd w:id="84"/>
      <w:r w:rsidRPr="00663F7F">
        <w:rPr>
          <w:rFonts w:cs="Arial"/>
        </w:rPr>
        <w:t>Challenges for the regional economy</w:t>
      </w:r>
      <w:bookmarkEnd w:id="85"/>
    </w:p>
    <w:p w:rsidR="00E15D62" w:rsidRPr="00225D10" w:rsidRDefault="00E15D62" w:rsidP="00D34F87">
      <w:pPr>
        <w:pStyle w:val="bt"/>
        <w:tabs>
          <w:tab w:val="left" w:pos="8931"/>
        </w:tabs>
      </w:pPr>
      <w:r w:rsidRPr="00200DF9">
        <w:t xml:space="preserve">Challenges for the regional economy include building workforce </w:t>
      </w:r>
      <w:r w:rsidR="004A6607" w:rsidRPr="00200DF9">
        <w:t xml:space="preserve">skills </w:t>
      </w:r>
      <w:r w:rsidRPr="00200DF9">
        <w:t xml:space="preserve">(professional, trade and skilled labourers), reducing carbon pollution (particularly construction and energy technologies), high levels of commuting from Macedon </w:t>
      </w:r>
      <w:r w:rsidR="007D6F85">
        <w:t xml:space="preserve">Ranges </w:t>
      </w:r>
      <w:r w:rsidRPr="00200DF9">
        <w:t xml:space="preserve">and Mount Alexander </w:t>
      </w:r>
      <w:r w:rsidR="004A6607" w:rsidRPr="00200DF9">
        <w:t>s</w:t>
      </w:r>
      <w:r w:rsidRPr="00200DF9">
        <w:t>hires, and financial pressure on the agricultural sector.</w:t>
      </w:r>
      <w:r w:rsidRPr="00225D10">
        <w:t xml:space="preserve"> Priority actions identified by </w:t>
      </w:r>
      <w:r w:rsidR="004A6607" w:rsidRPr="00225D10">
        <w:t xml:space="preserve">Regional Development Victoria </w:t>
      </w:r>
      <w:r w:rsidRPr="00225D10">
        <w:t xml:space="preserve">to build on the region’s economic strengths and address </w:t>
      </w:r>
      <w:r w:rsidR="004A6607" w:rsidRPr="00225D10">
        <w:t xml:space="preserve">these </w:t>
      </w:r>
      <w:r w:rsidRPr="00225D10">
        <w:t>challenges are:</w:t>
      </w:r>
    </w:p>
    <w:p w:rsidR="00E15D62" w:rsidRPr="00225D10" w:rsidRDefault="004A6607" w:rsidP="00D34F87">
      <w:pPr>
        <w:pStyle w:val="ListParagraphSummary"/>
        <w:tabs>
          <w:tab w:val="left" w:pos="8931"/>
        </w:tabs>
      </w:pPr>
      <w:r w:rsidRPr="00225D10">
        <w:t>l</w:t>
      </w:r>
      <w:r w:rsidR="00E15D62" w:rsidRPr="00225D10">
        <w:t>and for employment and enabling infrastructure</w:t>
      </w:r>
    </w:p>
    <w:p w:rsidR="00E15D62" w:rsidRPr="00225D10" w:rsidRDefault="004A6607" w:rsidP="00D34F87">
      <w:pPr>
        <w:pStyle w:val="ListParagraphSummary"/>
        <w:tabs>
          <w:tab w:val="left" w:pos="8931"/>
        </w:tabs>
      </w:pPr>
      <w:r w:rsidRPr="00225D10">
        <w:t>h</w:t>
      </w:r>
      <w:r w:rsidR="00E15D62" w:rsidRPr="00225D10">
        <w:t>igh value agriculture and value adding</w:t>
      </w:r>
    </w:p>
    <w:p w:rsidR="00E15D62" w:rsidRPr="00225D10" w:rsidRDefault="004A6607" w:rsidP="00D34F87">
      <w:pPr>
        <w:pStyle w:val="ListParagraphSummary"/>
        <w:tabs>
          <w:tab w:val="left" w:pos="8931"/>
        </w:tabs>
      </w:pPr>
      <w:proofErr w:type="gramStart"/>
      <w:r w:rsidRPr="00225D10">
        <w:t>t</w:t>
      </w:r>
      <w:r w:rsidR="00E15D62" w:rsidRPr="00225D10">
        <w:t>ourism</w:t>
      </w:r>
      <w:proofErr w:type="gramEnd"/>
      <w:r w:rsidR="00E15D62" w:rsidRPr="00225D10">
        <w:t xml:space="preserve"> development.</w:t>
      </w:r>
      <w:r w:rsidR="00E15D62" w:rsidRPr="00F72376">
        <w:rPr>
          <w:rStyle w:val="FootnoteReference"/>
          <w:rFonts w:asciiTheme="minorHAnsi" w:hAnsiTheme="minorHAnsi" w:cs="Arial"/>
          <w:szCs w:val="20"/>
        </w:rPr>
        <w:footnoteReference w:id="16"/>
      </w:r>
    </w:p>
    <w:p w:rsidR="00E15D62" w:rsidRPr="00225D10" w:rsidRDefault="00E15D62" w:rsidP="00D34F87">
      <w:pPr>
        <w:pStyle w:val="bt"/>
        <w:tabs>
          <w:tab w:val="left" w:pos="8931"/>
        </w:tabs>
      </w:pPr>
      <w:r w:rsidRPr="00225D10">
        <w:lastRenderedPageBreak/>
        <w:t xml:space="preserve">The </w:t>
      </w:r>
      <w:r w:rsidR="00DB7A99">
        <w:t>regional growth plan</w:t>
      </w:r>
      <w:r w:rsidR="004A6607" w:rsidRPr="00225D10">
        <w:t xml:space="preserve"> </w:t>
      </w:r>
      <w:r w:rsidRPr="00225D10">
        <w:t xml:space="preserve">needs to address land supply and potential locations for industry as well as infrastructure and economic directions that can support businesses locating and remaining in the region. </w:t>
      </w:r>
      <w:r w:rsidR="00B44462" w:rsidRPr="00225D10">
        <w:t>It also needs to provide adequate protection for productive agricultural land from inappropriate land use change to enable this sector to remain strong.</w:t>
      </w:r>
    </w:p>
    <w:p w:rsidR="00E15D62" w:rsidRPr="00225D10" w:rsidRDefault="00E15D62" w:rsidP="00D34F87">
      <w:pPr>
        <w:pStyle w:val="bt"/>
        <w:tabs>
          <w:tab w:val="left" w:pos="8931"/>
        </w:tabs>
      </w:pPr>
      <w:r w:rsidRPr="00225D10">
        <w:t xml:space="preserve">Working toward a ‘regional’ economy has benefits for each of the </w:t>
      </w:r>
      <w:r w:rsidR="00ED36C1" w:rsidRPr="00225D10">
        <w:t>local government areas</w:t>
      </w:r>
      <w:r w:rsidRPr="00225D10">
        <w:t>. The continued growth of Bendigo as a regional city</w:t>
      </w:r>
      <w:r w:rsidR="00ED36C1" w:rsidRPr="00225D10">
        <w:t xml:space="preserve"> and an </w:t>
      </w:r>
      <w:r w:rsidRPr="00225D10">
        <w:t xml:space="preserve">alternative to Melbourne for employment and services is a key factor </w:t>
      </w:r>
      <w:r w:rsidR="00ED36C1" w:rsidRPr="00225D10">
        <w:t xml:space="preserve">of </w:t>
      </w:r>
      <w:r w:rsidRPr="00225D10">
        <w:t xml:space="preserve">the region’s economic success. Leveraging off and building on the city’s economic strengths will be beneficial to the region as a whole. </w:t>
      </w:r>
    </w:p>
    <w:p w:rsidR="00B079AE" w:rsidRPr="00655244" w:rsidRDefault="00F65969" w:rsidP="00655244">
      <w:pPr>
        <w:pStyle w:val="Heading2"/>
      </w:pPr>
      <w:bookmarkStart w:id="86" w:name="_Toc374530864"/>
      <w:r w:rsidRPr="00655244">
        <w:t xml:space="preserve">Land </w:t>
      </w:r>
      <w:r w:rsidR="004A6607" w:rsidRPr="00655244">
        <w:t>s</w:t>
      </w:r>
      <w:r w:rsidRPr="00655244">
        <w:t xml:space="preserve">upply </w:t>
      </w:r>
      <w:r w:rsidR="004A6607" w:rsidRPr="00655244">
        <w:t>– e</w:t>
      </w:r>
      <w:r w:rsidRPr="00655244">
        <w:t>mployment</w:t>
      </w:r>
      <w:bookmarkEnd w:id="86"/>
    </w:p>
    <w:p w:rsidR="0067454C" w:rsidRPr="00225D10" w:rsidRDefault="0067454C" w:rsidP="00D34F87">
      <w:pPr>
        <w:pStyle w:val="bt"/>
        <w:tabs>
          <w:tab w:val="left" w:pos="8931"/>
        </w:tabs>
      </w:pPr>
      <w:r w:rsidRPr="00225D10">
        <w:t>The</w:t>
      </w:r>
      <w:r w:rsidR="00DB7A99">
        <w:t xml:space="preserve"> regional growth</w:t>
      </w:r>
      <w:r w:rsidRPr="00225D10">
        <w:t xml:space="preserve"> </w:t>
      </w:r>
      <w:r w:rsidR="002631DE">
        <w:t>p</w:t>
      </w:r>
      <w:r w:rsidRPr="00225D10">
        <w:t xml:space="preserve">lan will need to consider the supply of land for employment as well as </w:t>
      </w:r>
      <w:r w:rsidR="00B44462" w:rsidRPr="00225D10">
        <w:t xml:space="preserve">its residential </w:t>
      </w:r>
      <w:r w:rsidRPr="00225D10">
        <w:t>population, and ensure that land use planning and policy aid rather than hinder economic development.</w:t>
      </w:r>
      <w:r w:rsidR="003C23E6" w:rsidRPr="00225D10">
        <w:rPr>
          <w:lang w:val="en-US" w:eastAsia="en-US"/>
        </w:rPr>
        <w:t xml:space="preserve"> It is worth noting the </w:t>
      </w:r>
      <w:r w:rsidR="00ED36C1" w:rsidRPr="00225D10">
        <w:rPr>
          <w:lang w:val="en-US" w:eastAsia="en-US"/>
        </w:rPr>
        <w:t>r</w:t>
      </w:r>
      <w:r w:rsidR="003C23E6" w:rsidRPr="00225D10">
        <w:rPr>
          <w:lang w:val="en-US" w:eastAsia="en-US"/>
        </w:rPr>
        <w:t>egion</w:t>
      </w:r>
      <w:r w:rsidR="003C23E6" w:rsidRPr="00225D10">
        <w:rPr>
          <w:lang w:val="en-US"/>
        </w:rPr>
        <w:t xml:space="preserve"> does not have an economic development strategy.</w:t>
      </w:r>
    </w:p>
    <w:p w:rsidR="00E8192C" w:rsidRPr="00225D10" w:rsidRDefault="00267D13" w:rsidP="00655244">
      <w:pPr>
        <w:pStyle w:val="Heading3"/>
      </w:pPr>
      <w:bookmarkStart w:id="87" w:name="_Toc371951907"/>
      <w:bookmarkStart w:id="88" w:name="_Toc372889287"/>
      <w:bookmarkStart w:id="89" w:name="_Toc374530865"/>
      <w:r w:rsidRPr="00225D10">
        <w:t>Industrial land supply</w:t>
      </w:r>
      <w:bookmarkEnd w:id="87"/>
      <w:bookmarkEnd w:id="88"/>
      <w:bookmarkEnd w:id="89"/>
    </w:p>
    <w:p w:rsidR="0067454C" w:rsidRPr="00225D10" w:rsidRDefault="0067454C" w:rsidP="00D34F87">
      <w:pPr>
        <w:pStyle w:val="bt"/>
        <w:tabs>
          <w:tab w:val="left" w:pos="8931"/>
        </w:tabs>
      </w:pPr>
      <w:r w:rsidRPr="00225D10">
        <w:t xml:space="preserve">An adequate supply of industrial land is needed for jobs and services, such as manufacturing, service industrial, logistics and warehousing, to support continued economic development. </w:t>
      </w:r>
      <w:r w:rsidR="00F45888" w:rsidRPr="00225D10">
        <w:t xml:space="preserve">Urban </w:t>
      </w:r>
      <w:r w:rsidR="00ED36C1" w:rsidRPr="00225D10">
        <w:t>D</w:t>
      </w:r>
      <w:r w:rsidR="00F45888" w:rsidRPr="00225D10">
        <w:t xml:space="preserve">evelopment </w:t>
      </w:r>
      <w:r w:rsidR="00893C2B" w:rsidRPr="00225D10">
        <w:t>Program</w:t>
      </w:r>
      <w:r w:rsidR="00893C2B" w:rsidRPr="00225D10" w:rsidDel="00F45888">
        <w:t xml:space="preserve"> </w:t>
      </w:r>
      <w:r w:rsidR="00893C2B" w:rsidRPr="00225D10">
        <w:t>data</w:t>
      </w:r>
      <w:r w:rsidRPr="00225D10">
        <w:t xml:space="preserve"> suggests industrial lot supply across the region is </w:t>
      </w:r>
      <w:r w:rsidR="00D104D0" w:rsidRPr="00225D10">
        <w:t xml:space="preserve">generally </w:t>
      </w:r>
      <w:r w:rsidRPr="00225D10">
        <w:t>sufficient to meet current consumption rates</w:t>
      </w:r>
      <w:r w:rsidR="00D104D0" w:rsidRPr="00225D10">
        <w:t xml:space="preserve"> for 15 years</w:t>
      </w:r>
      <w:r w:rsidRPr="00225D10">
        <w:t xml:space="preserve">. </w:t>
      </w:r>
      <w:r w:rsidR="00ED36C1" w:rsidRPr="00225D10">
        <w:t>However, t</w:t>
      </w:r>
      <w:r w:rsidRPr="00225D10">
        <w:t xml:space="preserve">his may change due to factors such as global economy trends, </w:t>
      </w:r>
      <w:r w:rsidR="00ED36C1" w:rsidRPr="00225D10">
        <w:t xml:space="preserve">private </w:t>
      </w:r>
      <w:r w:rsidRPr="00225D10">
        <w:t xml:space="preserve">business activity and population trends. Appendix </w:t>
      </w:r>
      <w:r w:rsidR="000307F3" w:rsidRPr="00225D10">
        <w:t>1</w:t>
      </w:r>
      <w:r w:rsidRPr="00225D10">
        <w:t xml:space="preserve"> provides </w:t>
      </w:r>
      <w:r w:rsidR="00ED36C1" w:rsidRPr="00225D10">
        <w:t xml:space="preserve">more </w:t>
      </w:r>
      <w:r w:rsidRPr="00225D10">
        <w:t xml:space="preserve">detail </w:t>
      </w:r>
      <w:r w:rsidR="00ED36C1" w:rsidRPr="00225D10">
        <w:t xml:space="preserve">about </w:t>
      </w:r>
      <w:r w:rsidRPr="00225D10">
        <w:t>industrial land supply at a regional, municipal and settlement scale. In summary:</w:t>
      </w:r>
    </w:p>
    <w:p w:rsidR="00295A26" w:rsidRDefault="0067454C" w:rsidP="00D34F87">
      <w:pPr>
        <w:pStyle w:val="bt"/>
        <w:tabs>
          <w:tab w:val="left" w:pos="8931"/>
        </w:tabs>
      </w:pPr>
      <w:r w:rsidRPr="00295A26">
        <w:rPr>
          <w:rStyle w:val="Strong"/>
        </w:rPr>
        <w:t>Greater Bendigo:</w:t>
      </w:r>
      <w:r w:rsidRPr="00225D10">
        <w:t xml:space="preserve"> There is in excess of 15 years of industrial zoned land within </w:t>
      </w:r>
      <w:r w:rsidR="007D6F85">
        <w:t xml:space="preserve">the City of </w:t>
      </w:r>
      <w:r w:rsidRPr="00225D10">
        <w:t>Greater Bendigo, with the Bendigo Urban Area also having in excess of 15 years of zoned industrial land supply.</w:t>
      </w:r>
      <w:r w:rsidR="00FA4D03" w:rsidRPr="00225D10">
        <w:t xml:space="preserve"> Beyond 15 years, an additional s</w:t>
      </w:r>
      <w:r w:rsidR="00D104D0" w:rsidRPr="00225D10">
        <w:t xml:space="preserve">upply of future industrial land </w:t>
      </w:r>
      <w:r w:rsidR="00FA4D03" w:rsidRPr="00225D10">
        <w:t>will be needed.</w:t>
      </w:r>
    </w:p>
    <w:p w:rsidR="0067454C" w:rsidRPr="00225D10" w:rsidRDefault="0067454C" w:rsidP="00D34F87">
      <w:pPr>
        <w:pStyle w:val="bt"/>
        <w:tabs>
          <w:tab w:val="left" w:pos="8931"/>
        </w:tabs>
      </w:pPr>
      <w:r w:rsidRPr="00295A26">
        <w:rPr>
          <w:rStyle w:val="Strong"/>
        </w:rPr>
        <w:t>M</w:t>
      </w:r>
      <w:r w:rsidR="00ED36C1" w:rsidRPr="00295A26">
        <w:rPr>
          <w:rStyle w:val="Strong"/>
        </w:rPr>
        <w:t>oun</w:t>
      </w:r>
      <w:r w:rsidRPr="00295A26">
        <w:rPr>
          <w:rStyle w:val="Strong"/>
        </w:rPr>
        <w:t>t Alexander:</w:t>
      </w:r>
      <w:r w:rsidRPr="00225D10">
        <w:t xml:space="preserve"> There is an adequate stock of zoned (greater than</w:t>
      </w:r>
      <w:r w:rsidR="00F45888" w:rsidRPr="00225D10">
        <w:t xml:space="preserve"> </w:t>
      </w:r>
      <w:r w:rsidRPr="00225D10">
        <w:t>15 years) and unzoned (12</w:t>
      </w:r>
      <w:r w:rsidR="00ED36C1" w:rsidRPr="00225D10">
        <w:t xml:space="preserve"> to</w:t>
      </w:r>
      <w:r w:rsidRPr="00225D10">
        <w:t>15 years) industrial land stock to meet trend and accelerated consumption rates across Mount Alexander</w:t>
      </w:r>
      <w:r w:rsidR="002D6C3E">
        <w:t xml:space="preserve"> Shire</w:t>
      </w:r>
      <w:r w:rsidRPr="00225D10">
        <w:t>, and within the towns of Castlemaine and Maldon. However, the U</w:t>
      </w:r>
      <w:r w:rsidR="002D6C3E">
        <w:t>rban Development Program</w:t>
      </w:r>
      <w:r w:rsidRPr="00225D10">
        <w:t xml:space="preserve"> notes there is a lack of small lots to enable small businesses to locate affordably within the </w:t>
      </w:r>
      <w:r w:rsidR="00ED36C1" w:rsidRPr="00225D10">
        <w:t>s</w:t>
      </w:r>
      <w:r w:rsidRPr="00225D10">
        <w:t>hire, and recommends that some small lots are encouraged in future subdivisions.</w:t>
      </w:r>
    </w:p>
    <w:p w:rsidR="0067454C" w:rsidRPr="00225D10" w:rsidRDefault="0067454C" w:rsidP="00D34F87">
      <w:pPr>
        <w:pStyle w:val="bt"/>
        <w:tabs>
          <w:tab w:val="left" w:pos="8931"/>
        </w:tabs>
      </w:pPr>
      <w:r w:rsidRPr="00295A26">
        <w:rPr>
          <w:rStyle w:val="Strong"/>
        </w:rPr>
        <w:t>Macedon Ranges:</w:t>
      </w:r>
      <w:r w:rsidRPr="00225D10">
        <w:t xml:space="preserve"> There is in excess of 25 years of industrial zoned land across the Macedon Ranges</w:t>
      </w:r>
      <w:r w:rsidR="002D6C3E">
        <w:t xml:space="preserve"> Shire</w:t>
      </w:r>
      <w:r w:rsidRPr="00225D10">
        <w:t>. There is also approximately a 12 year supply of future (unzoned) industrial land stocks. However, at a township level</w:t>
      </w:r>
      <w:r w:rsidR="00BF1280" w:rsidRPr="00225D10">
        <w:t>,</w:t>
      </w:r>
      <w:r w:rsidRPr="00225D10">
        <w:t xml:space="preserve"> there are </w:t>
      </w:r>
      <w:r w:rsidR="00BF1280" w:rsidRPr="00225D10">
        <w:t xml:space="preserve">several </w:t>
      </w:r>
      <w:r w:rsidRPr="00225D10">
        <w:t>supply</w:t>
      </w:r>
      <w:r w:rsidR="00BF1280" w:rsidRPr="00225D10">
        <w:t xml:space="preserve"> issues</w:t>
      </w:r>
      <w:r w:rsidRPr="00225D10">
        <w:t>. The majority of supply is in one location</w:t>
      </w:r>
      <w:r w:rsidR="002D6C3E">
        <w:t xml:space="preserve">, </w:t>
      </w:r>
      <w:r w:rsidRPr="00225D10">
        <w:t>Kyneton</w:t>
      </w:r>
      <w:r w:rsidR="002D6C3E">
        <w:t xml:space="preserve">, </w:t>
      </w:r>
      <w:r w:rsidRPr="00225D10">
        <w:t xml:space="preserve">which has a significant amount of industrial land with a variety of lot sizes. Romsey has between </w:t>
      </w:r>
      <w:r w:rsidR="00BF1280" w:rsidRPr="00225D10">
        <w:t xml:space="preserve">seven </w:t>
      </w:r>
      <w:r w:rsidRPr="00225D10">
        <w:t>and 10 years of supply of industrial zoned land. Woodend and Riddells Creek both have little activity or consumption of industrial land stocks which is likely due to the lack of land. Given this, the U</w:t>
      </w:r>
      <w:r w:rsidR="002D6C3E">
        <w:t>rban Development Program</w:t>
      </w:r>
      <w:r w:rsidRPr="00225D10">
        <w:t xml:space="preserve"> identifies that further industrial land </w:t>
      </w:r>
      <w:r w:rsidR="00C963F2" w:rsidRPr="00225D10">
        <w:t>is</w:t>
      </w:r>
      <w:r w:rsidRPr="00225D10">
        <w:t xml:space="preserve"> needed within the Woodend </w:t>
      </w:r>
      <w:r w:rsidR="002D6C3E">
        <w:t>area</w:t>
      </w:r>
      <w:r w:rsidRPr="00225D10">
        <w:t xml:space="preserve">. </w:t>
      </w:r>
    </w:p>
    <w:p w:rsidR="0067454C" w:rsidRPr="00225D10" w:rsidRDefault="0067454C" w:rsidP="00D34F87">
      <w:pPr>
        <w:pStyle w:val="bt"/>
        <w:tabs>
          <w:tab w:val="left" w:pos="8931"/>
        </w:tabs>
      </w:pPr>
      <w:r w:rsidRPr="00295A26">
        <w:rPr>
          <w:rStyle w:val="Strong"/>
        </w:rPr>
        <w:t>Loddon:</w:t>
      </w:r>
      <w:r w:rsidRPr="00225D10">
        <w:t xml:space="preserve"> Preliminary data indicates </w:t>
      </w:r>
      <w:r w:rsidR="00DB7A99">
        <w:t xml:space="preserve">that </w:t>
      </w:r>
      <w:r w:rsidRPr="00225D10">
        <w:t>there are 28 hectares of zoned industrial land available in Loddon Shire, located in Boort, Inglewood and Wedderburn. There is an additional 47 hectares of future (unzoned) industrial land stock, all of which is located in Bridgewater. Data indicat</w:t>
      </w:r>
      <w:r w:rsidR="00BF1280" w:rsidRPr="00225D10">
        <w:t xml:space="preserve">ing </w:t>
      </w:r>
      <w:r w:rsidRPr="00225D10">
        <w:t>the number of years of industrial land supply</w:t>
      </w:r>
      <w:r w:rsidR="006D39FA">
        <w:t xml:space="preserve"> in the Central Goldfields Shire </w:t>
      </w:r>
      <w:r w:rsidRPr="00225D10">
        <w:t>is not yet available.</w:t>
      </w:r>
    </w:p>
    <w:p w:rsidR="0067454C" w:rsidRPr="00225D10" w:rsidRDefault="0067454C" w:rsidP="00D34F87">
      <w:pPr>
        <w:pStyle w:val="bt"/>
        <w:tabs>
          <w:tab w:val="left" w:pos="8931"/>
        </w:tabs>
      </w:pPr>
      <w:r w:rsidRPr="00295A26">
        <w:rPr>
          <w:rStyle w:val="Strong"/>
        </w:rPr>
        <w:t>Central Goldfields:</w:t>
      </w:r>
      <w:r w:rsidRPr="00225D10">
        <w:t xml:space="preserve"> Preliminary data indicates there </w:t>
      </w:r>
      <w:r w:rsidR="00BF1280" w:rsidRPr="00225D10">
        <w:t xml:space="preserve">is </w:t>
      </w:r>
      <w:r w:rsidRPr="00225D10">
        <w:t>363 hectares of zoned industrial land available in Central Goldfields</w:t>
      </w:r>
      <w:r w:rsidR="002D6C3E">
        <w:t xml:space="preserve"> Shire</w:t>
      </w:r>
      <w:r w:rsidRPr="00225D10">
        <w:t>, the majority of which is located in Carisbrook (250</w:t>
      </w:r>
      <w:r w:rsidR="00BF1280" w:rsidRPr="00225D10">
        <w:t xml:space="preserve"> </w:t>
      </w:r>
      <w:r w:rsidRPr="00225D10">
        <w:t>h</w:t>
      </w:r>
      <w:r w:rsidR="00BF1280" w:rsidRPr="00225D10">
        <w:t>ectares</w:t>
      </w:r>
      <w:r w:rsidRPr="00225D10">
        <w:t xml:space="preserve">). There are also smaller amounts of zoned industrial land available in Bet </w:t>
      </w:r>
      <w:proofErr w:type="spellStart"/>
      <w:r w:rsidRPr="00225D10">
        <w:t>Bet</w:t>
      </w:r>
      <w:proofErr w:type="spellEnd"/>
      <w:r w:rsidRPr="00225D10">
        <w:t>, Dunolly and Maryborough. No future (unzoned) industrial land stock has been identified. Data indicat</w:t>
      </w:r>
      <w:r w:rsidR="00BF1280" w:rsidRPr="00225D10">
        <w:t xml:space="preserve">ing </w:t>
      </w:r>
      <w:r w:rsidRPr="00225D10">
        <w:t xml:space="preserve">the number of years of industrial land supply </w:t>
      </w:r>
      <w:r w:rsidR="000F4687" w:rsidRPr="00225D10">
        <w:t>in the Central Goldfields</w:t>
      </w:r>
      <w:r w:rsidR="002D6C3E">
        <w:t xml:space="preserve"> Shire</w:t>
      </w:r>
      <w:r w:rsidR="000F4687" w:rsidRPr="00225D10">
        <w:t xml:space="preserve"> </w:t>
      </w:r>
      <w:r w:rsidRPr="00225D10">
        <w:t>is not yet available.</w:t>
      </w:r>
    </w:p>
    <w:p w:rsidR="000D2EEF" w:rsidRDefault="00187811" w:rsidP="00D34F87">
      <w:pPr>
        <w:pStyle w:val="bt"/>
        <w:tabs>
          <w:tab w:val="left" w:pos="8931"/>
        </w:tabs>
      </w:pPr>
      <w:r w:rsidRPr="00225D10">
        <w:t>Looking b</w:t>
      </w:r>
      <w:r w:rsidR="00C963F2" w:rsidRPr="00225D10">
        <w:t xml:space="preserve">eyond 15 years, an additional supply of industrial land will </w:t>
      </w:r>
      <w:r w:rsidR="000F4687" w:rsidRPr="00225D10">
        <w:t xml:space="preserve">be </w:t>
      </w:r>
      <w:r w:rsidR="00C963F2" w:rsidRPr="00225D10">
        <w:t>need</w:t>
      </w:r>
      <w:r w:rsidR="000F4687" w:rsidRPr="00225D10">
        <w:t>ed</w:t>
      </w:r>
      <w:r w:rsidR="00C963F2" w:rsidRPr="00225D10">
        <w:t xml:space="preserve"> </w:t>
      </w:r>
      <w:r w:rsidRPr="00225D10">
        <w:t xml:space="preserve">across the </w:t>
      </w:r>
      <w:r w:rsidR="00BF1280" w:rsidRPr="00225D10">
        <w:t xml:space="preserve">Loddon Mallee South </w:t>
      </w:r>
      <w:r w:rsidRPr="00225D10">
        <w:t>region</w:t>
      </w:r>
      <w:r w:rsidR="00C963F2" w:rsidRPr="00225D10">
        <w:t>.</w:t>
      </w:r>
    </w:p>
    <w:p w:rsidR="008E4CBD" w:rsidRDefault="008E4CBD" w:rsidP="00D34F87">
      <w:pPr>
        <w:pStyle w:val="bt"/>
        <w:tabs>
          <w:tab w:val="left" w:pos="8931"/>
        </w:tabs>
      </w:pPr>
    </w:p>
    <w:p w:rsidR="00E8192C" w:rsidRPr="00225D10" w:rsidRDefault="00267D13" w:rsidP="00655244">
      <w:pPr>
        <w:pStyle w:val="Heading3"/>
      </w:pPr>
      <w:bookmarkStart w:id="90" w:name="_Toc371951908"/>
      <w:bookmarkStart w:id="91" w:name="_Toc372889288"/>
      <w:bookmarkStart w:id="92" w:name="_Toc374530866"/>
      <w:r w:rsidRPr="00225D10">
        <w:lastRenderedPageBreak/>
        <w:t>Commercial and retail land supply</w:t>
      </w:r>
      <w:bookmarkEnd w:id="90"/>
      <w:bookmarkEnd w:id="91"/>
      <w:bookmarkEnd w:id="92"/>
    </w:p>
    <w:p w:rsidR="001E233E" w:rsidRPr="00225D10" w:rsidRDefault="001E233E" w:rsidP="00D34F87">
      <w:pPr>
        <w:pStyle w:val="bt"/>
        <w:tabs>
          <w:tab w:val="left" w:pos="8931"/>
        </w:tabs>
        <w:rPr>
          <w:lang w:eastAsia="en-US"/>
        </w:rPr>
      </w:pPr>
      <w:r w:rsidRPr="00225D10">
        <w:rPr>
          <w:lang w:eastAsia="en-US"/>
        </w:rPr>
        <w:t>Retailing and commercial activities form an important part of the region’s economic base, providing a wide range of retailing, commercial and professional services.</w:t>
      </w:r>
    </w:p>
    <w:p w:rsidR="002E6A64" w:rsidRPr="00225D10" w:rsidRDefault="00A86AF8" w:rsidP="00D34F87">
      <w:pPr>
        <w:pStyle w:val="bt"/>
        <w:tabs>
          <w:tab w:val="left" w:pos="8931"/>
        </w:tabs>
        <w:rPr>
          <w:lang w:eastAsia="en-US"/>
        </w:rPr>
      </w:pPr>
      <w:r w:rsidRPr="00225D10">
        <w:rPr>
          <w:lang w:eastAsia="en-US"/>
        </w:rPr>
        <w:t>The C</w:t>
      </w:r>
      <w:r w:rsidR="002E6A64" w:rsidRPr="00225D10">
        <w:rPr>
          <w:lang w:eastAsia="en-US"/>
        </w:rPr>
        <w:t xml:space="preserve">ity of Greater Bendigo Commercial Land Strategy 2005 estimated that </w:t>
      </w:r>
      <w:r w:rsidRPr="00225D10">
        <w:rPr>
          <w:lang w:eastAsia="en-US"/>
        </w:rPr>
        <w:t xml:space="preserve">116,720 square metres of </w:t>
      </w:r>
      <w:r w:rsidR="00AE690A" w:rsidRPr="00AE690A">
        <w:rPr>
          <w:lang w:eastAsia="en-US"/>
        </w:rPr>
        <w:t>additional</w:t>
      </w:r>
      <w:r w:rsidRPr="00DB7A99">
        <w:rPr>
          <w:lang w:eastAsia="en-US"/>
        </w:rPr>
        <w:t xml:space="preserve"> </w:t>
      </w:r>
      <w:r w:rsidRPr="00225D10">
        <w:rPr>
          <w:lang w:eastAsia="en-US"/>
        </w:rPr>
        <w:t>floor</w:t>
      </w:r>
      <w:r w:rsidR="000F4687" w:rsidRPr="00225D10">
        <w:rPr>
          <w:lang w:eastAsia="en-US"/>
        </w:rPr>
        <w:t xml:space="preserve"> </w:t>
      </w:r>
      <w:r w:rsidRPr="00225D10">
        <w:rPr>
          <w:lang w:eastAsia="en-US"/>
        </w:rPr>
        <w:t>space will be required for retail and office based services over the period 2004</w:t>
      </w:r>
      <w:r w:rsidR="000F4687" w:rsidRPr="00225D10">
        <w:rPr>
          <w:lang w:eastAsia="en-US"/>
        </w:rPr>
        <w:t>–</w:t>
      </w:r>
      <w:r w:rsidRPr="00225D10">
        <w:rPr>
          <w:lang w:eastAsia="en-US"/>
        </w:rPr>
        <w:t xml:space="preserve">2021, of which </w:t>
      </w:r>
      <w:r w:rsidR="002E6A64" w:rsidRPr="00225D10">
        <w:rPr>
          <w:lang w:eastAsia="en-US"/>
        </w:rPr>
        <w:t xml:space="preserve">60,090 square metres </w:t>
      </w:r>
      <w:r w:rsidRPr="00225D10">
        <w:rPr>
          <w:lang w:eastAsia="en-US"/>
        </w:rPr>
        <w:t>will be required</w:t>
      </w:r>
      <w:r w:rsidR="002E6A64" w:rsidRPr="00225D10">
        <w:rPr>
          <w:lang w:eastAsia="en-US"/>
        </w:rPr>
        <w:t xml:space="preserve"> over the period 2012</w:t>
      </w:r>
      <w:r w:rsidR="000F4687" w:rsidRPr="00225D10">
        <w:rPr>
          <w:lang w:eastAsia="en-US"/>
        </w:rPr>
        <w:t>–</w:t>
      </w:r>
      <w:r w:rsidR="002E6A64" w:rsidRPr="00225D10">
        <w:rPr>
          <w:lang w:eastAsia="en-US"/>
        </w:rPr>
        <w:t>2021</w:t>
      </w:r>
      <w:r w:rsidR="00F72376">
        <w:rPr>
          <w:lang w:eastAsia="en-US"/>
        </w:rPr>
        <w:t>.</w:t>
      </w:r>
      <w:r w:rsidRPr="000D22C3">
        <w:rPr>
          <w:rStyle w:val="FootnoteReference"/>
          <w:rFonts w:asciiTheme="minorHAnsi" w:hAnsiTheme="minorHAnsi" w:cs="Arial"/>
          <w:szCs w:val="20"/>
          <w:lang w:eastAsia="en-US"/>
        </w:rPr>
        <w:footnoteReference w:id="17"/>
      </w:r>
      <w:r w:rsidR="00F72376" w:rsidRPr="000D22C3">
        <w:rPr>
          <w:szCs w:val="20"/>
          <w:lang w:eastAsia="en-US"/>
        </w:rPr>
        <w:t xml:space="preserve"> </w:t>
      </w:r>
      <w:r w:rsidRPr="00225D10">
        <w:rPr>
          <w:lang w:eastAsia="en-US"/>
        </w:rPr>
        <w:t xml:space="preserve"> This equates to a net land requirement of approximately 15.6 hectares for the period 2004</w:t>
      </w:r>
      <w:r w:rsidR="000F4687" w:rsidRPr="00225D10">
        <w:rPr>
          <w:lang w:eastAsia="en-US"/>
        </w:rPr>
        <w:t>–</w:t>
      </w:r>
      <w:r w:rsidRPr="00225D10">
        <w:rPr>
          <w:lang w:eastAsia="en-US"/>
        </w:rPr>
        <w:t>2021, broken down as follows:</w:t>
      </w:r>
    </w:p>
    <w:p w:rsidR="00A86AF8" w:rsidRPr="00225D10" w:rsidRDefault="00F031C7" w:rsidP="00D34F87">
      <w:pPr>
        <w:pStyle w:val="ListParagraphSummary"/>
        <w:tabs>
          <w:tab w:val="left" w:pos="8931"/>
        </w:tabs>
      </w:pPr>
      <w:r w:rsidRPr="00225D10">
        <w:t xml:space="preserve">for the Bendigo </w:t>
      </w:r>
      <w:r>
        <w:t>central business district</w:t>
      </w:r>
      <w:r w:rsidRPr="00225D10">
        <w:t xml:space="preserve">, a total of about 2.9 hectares, comprised of approximately </w:t>
      </w:r>
      <w:r w:rsidR="002D6C3E">
        <w:t xml:space="preserve">one </w:t>
      </w:r>
      <w:r w:rsidRPr="00225D10">
        <w:t>hectare for office requirements and 1.9 hectares for retail stores and services</w:t>
      </w:r>
    </w:p>
    <w:p w:rsidR="00A86AF8" w:rsidRPr="00225D10" w:rsidRDefault="00A86AF8" w:rsidP="00D34F87">
      <w:pPr>
        <w:pStyle w:val="ListParagraphSummary"/>
        <w:tabs>
          <w:tab w:val="left" w:pos="8931"/>
        </w:tabs>
      </w:pPr>
      <w:r w:rsidRPr="00225D10">
        <w:t xml:space="preserve">for </w:t>
      </w:r>
      <w:r w:rsidR="00387A25" w:rsidRPr="00225D10">
        <w:t xml:space="preserve">Bendigo Marketplace and the Centro </w:t>
      </w:r>
      <w:proofErr w:type="spellStart"/>
      <w:r w:rsidR="00387A25" w:rsidRPr="00225D10">
        <w:t>Lansell</w:t>
      </w:r>
      <w:proofErr w:type="spellEnd"/>
      <w:r w:rsidR="00387A25" w:rsidRPr="00225D10">
        <w:t xml:space="preserve"> Precinct (known as</w:t>
      </w:r>
      <w:r w:rsidRPr="00225D10">
        <w:t xml:space="preserve"> regional centres</w:t>
      </w:r>
      <w:r w:rsidR="00387A25" w:rsidRPr="00225D10">
        <w:t xml:space="preserve"> in the Strategy)</w:t>
      </w:r>
      <w:r w:rsidRPr="00225D10">
        <w:t>, approximately 7.7 hectares for retail and commercial services requirements</w:t>
      </w:r>
    </w:p>
    <w:p w:rsidR="00A86AF8" w:rsidRPr="00225D10" w:rsidRDefault="00A86AF8" w:rsidP="00D34F87">
      <w:pPr>
        <w:pStyle w:val="ListParagraphSummary"/>
        <w:tabs>
          <w:tab w:val="left" w:pos="8931"/>
        </w:tabs>
      </w:pPr>
      <w:r w:rsidRPr="00225D10">
        <w:t xml:space="preserve">for </w:t>
      </w:r>
      <w:r w:rsidR="00387A25" w:rsidRPr="00225D10">
        <w:t xml:space="preserve">significant </w:t>
      </w:r>
      <w:r w:rsidR="00216501" w:rsidRPr="00225D10">
        <w:t>suburban</w:t>
      </w:r>
      <w:r w:rsidR="00387A25" w:rsidRPr="00225D10">
        <w:t xml:space="preserve"> community centres (known as </w:t>
      </w:r>
      <w:r w:rsidRPr="00225D10">
        <w:t>village centres</w:t>
      </w:r>
      <w:r w:rsidR="00387A25" w:rsidRPr="00225D10">
        <w:t xml:space="preserve"> in the Strategy)</w:t>
      </w:r>
      <w:r w:rsidRPr="00225D10">
        <w:t>, approximately 4.2 hectares</w:t>
      </w:r>
    </w:p>
    <w:p w:rsidR="00A86AF8" w:rsidRPr="00225D10" w:rsidRDefault="00A86AF8" w:rsidP="00D34F87">
      <w:pPr>
        <w:pStyle w:val="ListParagraphSummary"/>
        <w:tabs>
          <w:tab w:val="left" w:pos="8931"/>
        </w:tabs>
      </w:pPr>
      <w:proofErr w:type="gramStart"/>
      <w:r w:rsidRPr="00225D10">
        <w:t>for</w:t>
      </w:r>
      <w:proofErr w:type="gramEnd"/>
      <w:r w:rsidRPr="00225D10">
        <w:t xml:space="preserve"> local and convenience centres, approximately 0.8 hectares.</w:t>
      </w:r>
    </w:p>
    <w:p w:rsidR="007A6612" w:rsidRPr="00225D10" w:rsidRDefault="007A6612" w:rsidP="00D34F87">
      <w:pPr>
        <w:pStyle w:val="bt"/>
        <w:tabs>
          <w:tab w:val="left" w:pos="8931"/>
        </w:tabs>
      </w:pPr>
      <w:r w:rsidRPr="00225D10">
        <w:t>Currently, there are a number of under-utilised areas within the Bendigo CBD</w:t>
      </w:r>
      <w:r w:rsidR="00234869" w:rsidRPr="00225D10">
        <w:t>, including the railway station precinct and the Gillies and Ice Crystal sites.</w:t>
      </w:r>
    </w:p>
    <w:p w:rsidR="00D71A12" w:rsidRPr="00225D10" w:rsidRDefault="00D71A12" w:rsidP="00D34F87">
      <w:pPr>
        <w:pStyle w:val="bt"/>
        <w:tabs>
          <w:tab w:val="left" w:pos="8931"/>
        </w:tabs>
      </w:pPr>
      <w:r w:rsidRPr="00225D10">
        <w:t xml:space="preserve">The Castlemaine Commercial Centre Study 2012 </w:t>
      </w:r>
      <w:r w:rsidR="00C83B59" w:rsidRPr="00225D10">
        <w:t xml:space="preserve">estimated there </w:t>
      </w:r>
      <w:r w:rsidR="000F4687" w:rsidRPr="00225D10">
        <w:t xml:space="preserve">would </w:t>
      </w:r>
      <w:r w:rsidR="00C83B59" w:rsidRPr="00225D10">
        <w:t>be demand for approximately 6300 square metres of additional retail floor</w:t>
      </w:r>
      <w:r w:rsidR="000F4687" w:rsidRPr="00225D10">
        <w:t xml:space="preserve"> </w:t>
      </w:r>
      <w:r w:rsidR="00C83B59" w:rsidRPr="00225D10">
        <w:t>space, and approximately 2000+ square metres of additional commercial office space for the period 2011</w:t>
      </w:r>
      <w:r w:rsidR="000F4687" w:rsidRPr="00225D10">
        <w:t>–</w:t>
      </w:r>
      <w:r w:rsidR="00C83B59" w:rsidRPr="00225D10">
        <w:t>2026</w:t>
      </w:r>
      <w:r w:rsidR="00F72376">
        <w:t>.</w:t>
      </w:r>
      <w:r w:rsidR="00C83B59" w:rsidRPr="000D22C3">
        <w:rPr>
          <w:rStyle w:val="FootnoteReference"/>
          <w:rFonts w:asciiTheme="minorHAnsi" w:hAnsiTheme="minorHAnsi" w:cs="Arial"/>
          <w:szCs w:val="20"/>
        </w:rPr>
        <w:footnoteReference w:id="18"/>
      </w:r>
      <w:r w:rsidR="00C83B59" w:rsidRPr="00225D10">
        <w:t xml:space="preserve"> The </w:t>
      </w:r>
      <w:r w:rsidR="000F4687" w:rsidRPr="00225D10">
        <w:t>s</w:t>
      </w:r>
      <w:r w:rsidR="00C83B59" w:rsidRPr="00225D10">
        <w:t xml:space="preserve">tudy found there is sufficient land in the Business Zone </w:t>
      </w:r>
      <w:r w:rsidR="000F4687" w:rsidRPr="00225D10">
        <w:t xml:space="preserve">of </w:t>
      </w:r>
      <w:r w:rsidR="00C83B59" w:rsidRPr="00225D10">
        <w:t>Castlemaine</w:t>
      </w:r>
      <w:r w:rsidR="000F4687" w:rsidRPr="00225D10">
        <w:t>’s</w:t>
      </w:r>
      <w:r w:rsidR="00C83B59" w:rsidRPr="00225D10">
        <w:t xml:space="preserve"> town centre to meet demand through to 2026 although some of the land was under-utilised. It also identified land immediately adjacent to the town centre that could be rezoned for business purposes if required.</w:t>
      </w:r>
    </w:p>
    <w:p w:rsidR="00D71A12" w:rsidRPr="00225D10" w:rsidRDefault="00E5264B" w:rsidP="00D34F87">
      <w:pPr>
        <w:pStyle w:val="bt"/>
        <w:tabs>
          <w:tab w:val="left" w:pos="8931"/>
        </w:tabs>
      </w:pPr>
      <w:r w:rsidRPr="00225D10">
        <w:t xml:space="preserve">Information on the future commercial and retail needs for Loddon, Central Goldfields and </w:t>
      </w:r>
      <w:proofErr w:type="gramStart"/>
      <w:r w:rsidRPr="00225D10">
        <w:t>Macedon Ranges</w:t>
      </w:r>
      <w:proofErr w:type="gramEnd"/>
      <w:r w:rsidRPr="00225D10">
        <w:t xml:space="preserve"> </w:t>
      </w:r>
      <w:r w:rsidR="00DB7A99">
        <w:t>s</w:t>
      </w:r>
      <w:r w:rsidR="00DB7A99" w:rsidRPr="00225D10">
        <w:t xml:space="preserve">hires </w:t>
      </w:r>
      <w:r w:rsidRPr="00225D10">
        <w:t xml:space="preserve">was not available. </w:t>
      </w:r>
    </w:p>
    <w:p w:rsidR="00187811" w:rsidRPr="00225D10" w:rsidRDefault="00187811" w:rsidP="00D34F87">
      <w:pPr>
        <w:pStyle w:val="bt"/>
        <w:tabs>
          <w:tab w:val="left" w:pos="8931"/>
        </w:tabs>
      </w:pPr>
      <w:r w:rsidRPr="00225D10">
        <w:t>In order to provide for an additional 120,000 people across the region, further commercial and retail opportuni</w:t>
      </w:r>
      <w:r w:rsidR="009A27B2" w:rsidRPr="00225D10">
        <w:t>ties (at both a regional and a local scale) will need to be planned for</w:t>
      </w:r>
      <w:r w:rsidRPr="00225D10">
        <w:t>.</w:t>
      </w:r>
    </w:p>
    <w:p w:rsidR="00E8192C" w:rsidRPr="00225D10" w:rsidRDefault="00267D13" w:rsidP="00655244">
      <w:pPr>
        <w:pStyle w:val="Heading3"/>
      </w:pPr>
      <w:bookmarkStart w:id="93" w:name="_Toc371951909"/>
      <w:bookmarkStart w:id="94" w:name="_Toc372889289"/>
      <w:bookmarkStart w:id="95" w:name="_Toc374530867"/>
      <w:r w:rsidRPr="00225D10">
        <w:t>Rural land</w:t>
      </w:r>
      <w:bookmarkEnd w:id="93"/>
      <w:bookmarkEnd w:id="94"/>
      <w:bookmarkEnd w:id="95"/>
    </w:p>
    <w:p w:rsidR="00843ED6" w:rsidRDefault="009A27B2" w:rsidP="00D34F87">
      <w:pPr>
        <w:pStyle w:val="bt"/>
        <w:tabs>
          <w:tab w:val="left" w:pos="8931"/>
        </w:tabs>
      </w:pPr>
      <w:r w:rsidRPr="00225D10">
        <w:t xml:space="preserve">Much of the rural land use in the region is dedicated to agricultural production. </w:t>
      </w:r>
      <w:r w:rsidR="00DF24F6" w:rsidRPr="00225D10">
        <w:t xml:space="preserve">This land is increasingly under pressure from </w:t>
      </w:r>
      <w:r w:rsidR="000F4687" w:rsidRPr="00225D10">
        <w:t xml:space="preserve">the </w:t>
      </w:r>
      <w:r w:rsidR="00DF24F6" w:rsidRPr="00225D10">
        <w:t xml:space="preserve">demand for rural living and associated lot fragmentation. Settlement strategies </w:t>
      </w:r>
      <w:r w:rsidR="002D6C3E">
        <w:t xml:space="preserve">prepared by </w:t>
      </w:r>
      <w:r w:rsidR="00DF24F6" w:rsidRPr="00225D10">
        <w:t>the region’s various councils have already sought to minimi</w:t>
      </w:r>
      <w:r w:rsidR="00125FA9" w:rsidRPr="00225D10">
        <w:t>s</w:t>
      </w:r>
      <w:r w:rsidR="00DF24F6" w:rsidRPr="00225D10">
        <w:t>e ad-hoc rural</w:t>
      </w:r>
      <w:r w:rsidR="002D6C3E">
        <w:t xml:space="preserve"> residential </w:t>
      </w:r>
      <w:r w:rsidR="00DF24F6" w:rsidRPr="00225D10">
        <w:t xml:space="preserve">dwellings </w:t>
      </w:r>
      <w:r w:rsidR="00125FA9" w:rsidRPr="00225D10">
        <w:t xml:space="preserve">to ensure </w:t>
      </w:r>
      <w:r w:rsidR="00DF24F6" w:rsidRPr="00225D10">
        <w:t xml:space="preserve">greater efficiencies in infrastructure spending </w:t>
      </w:r>
      <w:r w:rsidR="00125FA9" w:rsidRPr="00225D10">
        <w:t xml:space="preserve">and better </w:t>
      </w:r>
      <w:r w:rsidR="00DF24F6" w:rsidRPr="00225D10">
        <w:t xml:space="preserve">provision of infrastructure and services related to settlement planning.  </w:t>
      </w:r>
    </w:p>
    <w:p w:rsidR="00843ED6" w:rsidRDefault="008D37E7" w:rsidP="00D34F87">
      <w:pPr>
        <w:pStyle w:val="bt"/>
        <w:tabs>
          <w:tab w:val="left" w:pos="8931"/>
        </w:tabs>
      </w:pPr>
      <w:r w:rsidRPr="00225D10">
        <w:t>Identifying areas for intensive animal industries should consider areas less likely to cause conflict with rural living and urban residential areas</w:t>
      </w:r>
      <w:r w:rsidR="008852E0" w:rsidRPr="00225D10">
        <w:t xml:space="preserve">, especially for </w:t>
      </w:r>
      <w:r w:rsidR="00125FA9" w:rsidRPr="00225D10">
        <w:t xml:space="preserve">loud, </w:t>
      </w:r>
      <w:r w:rsidR="008852E0" w:rsidRPr="00225D10">
        <w:t>odour</w:t>
      </w:r>
      <w:r w:rsidR="00125FA9" w:rsidRPr="00225D10">
        <w:t>-</w:t>
      </w:r>
      <w:r w:rsidR="008852E0" w:rsidRPr="00225D10">
        <w:t>producing activities such as piggeries.</w:t>
      </w:r>
    </w:p>
    <w:p w:rsidR="00843ED6" w:rsidRDefault="00226F84" w:rsidP="00D34F87">
      <w:pPr>
        <w:pStyle w:val="bt"/>
        <w:tabs>
          <w:tab w:val="left" w:pos="8931"/>
        </w:tabs>
      </w:pPr>
      <w:r w:rsidRPr="00225D10">
        <w:t xml:space="preserve">Continued attention and management of land is important to ensure the interface between urban and rural settlements is well defined </w:t>
      </w:r>
      <w:r w:rsidR="00125FA9" w:rsidRPr="00225D10">
        <w:t xml:space="preserve">and </w:t>
      </w:r>
      <w:r w:rsidRPr="00225D10">
        <w:t xml:space="preserve">the settlement future of the </w:t>
      </w:r>
      <w:r w:rsidR="00125FA9" w:rsidRPr="00225D10">
        <w:t xml:space="preserve">Loddon Mallee South </w:t>
      </w:r>
      <w:r w:rsidRPr="00225D10">
        <w:t xml:space="preserve">region is clear. </w:t>
      </w:r>
      <w:r w:rsidR="00432D45" w:rsidRPr="00225D10">
        <w:t>S</w:t>
      </w:r>
      <w:r w:rsidR="008D37E7" w:rsidRPr="00225D10">
        <w:t>ettlement growth should consider the impacts to existing</w:t>
      </w:r>
      <w:r w:rsidR="00DB7A99">
        <w:t xml:space="preserve">, </w:t>
      </w:r>
      <w:r w:rsidR="008D37E7" w:rsidRPr="00225D10">
        <w:t>and potential future</w:t>
      </w:r>
      <w:r w:rsidR="00DB7A99">
        <w:t>,</w:t>
      </w:r>
      <w:r w:rsidR="008D37E7" w:rsidRPr="00225D10">
        <w:t xml:space="preserve"> industries</w:t>
      </w:r>
      <w:r w:rsidR="00DB7A99">
        <w:t xml:space="preserve"> </w:t>
      </w:r>
      <w:r w:rsidR="008D37E7" w:rsidRPr="00225D10">
        <w:t>including facilities such as Water Reclamation Plants and Landfill sites</w:t>
      </w:r>
      <w:r w:rsidR="00DB7A99">
        <w:t>,</w:t>
      </w:r>
      <w:r w:rsidR="008D37E7" w:rsidRPr="00225D10">
        <w:t xml:space="preserve"> and environmental</w:t>
      </w:r>
      <w:r w:rsidR="00432D45" w:rsidRPr="00225D10" w:rsidDel="00432D45">
        <w:t xml:space="preserve"> </w:t>
      </w:r>
      <w:r w:rsidRPr="00225D10">
        <w:t>assets</w:t>
      </w:r>
      <w:r w:rsidR="007E0CA3">
        <w:t xml:space="preserve"> and natural hazards, especially flood and bushfire,</w:t>
      </w:r>
      <w:r w:rsidRPr="00225D10">
        <w:t xml:space="preserve"> in both planning and implementation.</w:t>
      </w:r>
      <w:r w:rsidR="00F54C79">
        <w:t xml:space="preserve"> </w:t>
      </w:r>
    </w:p>
    <w:p w:rsidR="00CE1B9D" w:rsidRDefault="00226F84" w:rsidP="00D34F87">
      <w:pPr>
        <w:pStyle w:val="bt"/>
        <w:tabs>
          <w:tab w:val="left" w:pos="8931"/>
        </w:tabs>
      </w:pPr>
      <w:r w:rsidRPr="00225D10">
        <w:t xml:space="preserve">Given the constraints and opportunities for the use of rural land in the region, future planning should seek to </w:t>
      </w:r>
      <w:r w:rsidR="00125FA9" w:rsidRPr="00225D10">
        <w:t xml:space="preserve">assist </w:t>
      </w:r>
      <w:r w:rsidRPr="00225D10">
        <w:t xml:space="preserve">primary producers to </w:t>
      </w:r>
      <w:r w:rsidR="00125FA9" w:rsidRPr="00225D10">
        <w:t xml:space="preserve">adjust to </w:t>
      </w:r>
      <w:r w:rsidRPr="00225D10">
        <w:t xml:space="preserve">change and facilitate productivity growth.  </w:t>
      </w:r>
    </w:p>
    <w:p w:rsidR="0046416B" w:rsidRDefault="005565D1" w:rsidP="00D34F87">
      <w:pPr>
        <w:pStyle w:val="Heading1"/>
        <w:tabs>
          <w:tab w:val="left" w:pos="8931"/>
        </w:tabs>
      </w:pPr>
      <w:bookmarkStart w:id="96" w:name="_Toc352154198"/>
      <w:bookmarkStart w:id="97" w:name="_Toc352154199"/>
      <w:bookmarkEnd w:id="96"/>
      <w:bookmarkEnd w:id="97"/>
      <w:r w:rsidRPr="00663F7F">
        <w:br w:type="page"/>
      </w:r>
      <w:bookmarkStart w:id="98" w:name="_Toc374530868"/>
      <w:r w:rsidR="00A91D0D" w:rsidRPr="00663F7F">
        <w:lastRenderedPageBreak/>
        <w:t xml:space="preserve">Environment and </w:t>
      </w:r>
      <w:r w:rsidR="004A6607" w:rsidRPr="00663F7F">
        <w:t>n</w:t>
      </w:r>
      <w:r w:rsidR="00A91D0D" w:rsidRPr="00663F7F">
        <w:t xml:space="preserve">atural </w:t>
      </w:r>
      <w:r w:rsidR="004A6607" w:rsidRPr="00663F7F">
        <w:t>r</w:t>
      </w:r>
      <w:r w:rsidR="00A91D0D" w:rsidRPr="00663F7F">
        <w:t>esources</w:t>
      </w:r>
      <w:bookmarkEnd w:id="98"/>
    </w:p>
    <w:p w:rsidR="004A1FF9" w:rsidRPr="001B459D" w:rsidRDefault="00BD072D" w:rsidP="001B459D">
      <w:pPr>
        <w:pStyle w:val="bt"/>
        <w:rPr>
          <w:rStyle w:val="Strong"/>
        </w:rPr>
      </w:pPr>
      <w:r w:rsidRPr="001B459D">
        <w:rPr>
          <w:rStyle w:val="Strong"/>
        </w:rPr>
        <w:t>Key findings – Environment and natural resources</w:t>
      </w:r>
    </w:p>
    <w:p w:rsidR="00A91D0D" w:rsidRPr="00225D10" w:rsidRDefault="00A91D0D" w:rsidP="00D34F87">
      <w:pPr>
        <w:pStyle w:val="ListParagraphSummary"/>
        <w:shd w:val="clear" w:color="auto" w:fill="F5EEC3"/>
        <w:tabs>
          <w:tab w:val="left" w:pos="8931"/>
        </w:tabs>
      </w:pPr>
      <w:r w:rsidRPr="00225D10">
        <w:t xml:space="preserve">The </w:t>
      </w:r>
      <w:r w:rsidR="00B51683" w:rsidRPr="00225D10">
        <w:t xml:space="preserve">Loddon Mallee South </w:t>
      </w:r>
      <w:r w:rsidRPr="00225D10">
        <w:t xml:space="preserve">region contains areas of </w:t>
      </w:r>
      <w:r w:rsidR="005565D1" w:rsidRPr="00225D10">
        <w:t>public land</w:t>
      </w:r>
      <w:r w:rsidRPr="00225D10">
        <w:t xml:space="preserve"> which </w:t>
      </w:r>
      <w:r w:rsidR="00B51683" w:rsidRPr="00225D10">
        <w:t xml:space="preserve">are important for </w:t>
      </w:r>
      <w:r w:rsidRPr="00225D10">
        <w:t xml:space="preserve">maintaining </w:t>
      </w:r>
      <w:r w:rsidR="00B51683" w:rsidRPr="00225D10">
        <w:t>Victoria’s biodiversity</w:t>
      </w:r>
      <w:r w:rsidR="00B51683" w:rsidRPr="00225D10" w:rsidDel="00B51683">
        <w:t xml:space="preserve"> </w:t>
      </w:r>
      <w:r w:rsidR="00B51683" w:rsidRPr="00225D10">
        <w:t xml:space="preserve">and its </w:t>
      </w:r>
      <w:r w:rsidRPr="00225D10">
        <w:t>mix of ecosystem types. These areas are also important tourism and recreational assets.</w:t>
      </w:r>
    </w:p>
    <w:p w:rsidR="00A91D0D" w:rsidRPr="00225D10" w:rsidRDefault="00A91D0D" w:rsidP="00D34F87">
      <w:pPr>
        <w:pStyle w:val="ListParagraphSummary"/>
        <w:shd w:val="clear" w:color="auto" w:fill="F5EEC3"/>
        <w:tabs>
          <w:tab w:val="left" w:pos="8931"/>
        </w:tabs>
      </w:pPr>
      <w:r w:rsidRPr="00225D10">
        <w:t xml:space="preserve">The </w:t>
      </w:r>
      <w:r w:rsidR="00B51683" w:rsidRPr="00225D10">
        <w:t xml:space="preserve">region’s </w:t>
      </w:r>
      <w:r w:rsidR="005565D1" w:rsidRPr="00225D10">
        <w:t>environmental assets</w:t>
      </w:r>
      <w:r w:rsidRPr="00225D10">
        <w:t xml:space="preserve"> provide critical </w:t>
      </w:r>
      <w:r w:rsidR="00D421AD">
        <w:t xml:space="preserve">environmental values, including </w:t>
      </w:r>
      <w:r w:rsidRPr="00225D10">
        <w:t>provision of fresh water</w:t>
      </w:r>
      <w:r w:rsidR="005D4D74" w:rsidRPr="00225D10">
        <w:t>; provision of high quality soils; air filtration; and filtering of nutrients and pollutants</w:t>
      </w:r>
      <w:r w:rsidRPr="00225D10">
        <w:t>.</w:t>
      </w:r>
    </w:p>
    <w:p w:rsidR="002A5248" w:rsidRPr="00225D10" w:rsidRDefault="002A5248" w:rsidP="00D34F87">
      <w:pPr>
        <w:pStyle w:val="ListParagraphSummary"/>
        <w:shd w:val="clear" w:color="auto" w:fill="F5EEC3"/>
        <w:tabs>
          <w:tab w:val="left" w:pos="8931"/>
        </w:tabs>
      </w:pPr>
      <w:r w:rsidRPr="00225D10">
        <w:t xml:space="preserve">Development pressure is occurring in highly attractive areas of the region </w:t>
      </w:r>
      <w:r w:rsidR="005D4D74" w:rsidRPr="00225D10">
        <w:t xml:space="preserve">which often are exposed to natural hazards, such as </w:t>
      </w:r>
      <w:r w:rsidRPr="00225D10">
        <w:t xml:space="preserve">bushfire or </w:t>
      </w:r>
      <w:r w:rsidR="0028534E">
        <w:t>flood</w:t>
      </w:r>
      <w:r w:rsidRPr="00225D10">
        <w:t>.</w:t>
      </w:r>
    </w:p>
    <w:p w:rsidR="008A6EFF" w:rsidRPr="00225D10" w:rsidRDefault="008A6EFF" w:rsidP="00D34F87">
      <w:pPr>
        <w:pStyle w:val="ListParagraphSummary"/>
        <w:shd w:val="clear" w:color="auto" w:fill="F5EEC3"/>
        <w:tabs>
          <w:tab w:val="left" w:pos="8931"/>
        </w:tabs>
      </w:pPr>
      <w:r w:rsidRPr="00225D10">
        <w:t>Many towns</w:t>
      </w:r>
      <w:r w:rsidR="00DB7A99">
        <w:t xml:space="preserve">, </w:t>
      </w:r>
      <w:r w:rsidRPr="00225D10">
        <w:t>including Bendigo, Castlemaine and Woodend</w:t>
      </w:r>
      <w:r w:rsidR="00DB7A99">
        <w:t xml:space="preserve">, </w:t>
      </w:r>
      <w:r w:rsidR="00C8169C" w:rsidRPr="00225D10">
        <w:t xml:space="preserve">are </w:t>
      </w:r>
      <w:r w:rsidRPr="00225D10">
        <w:t xml:space="preserve">directly </w:t>
      </w:r>
      <w:r w:rsidR="00C8169C" w:rsidRPr="00225D10">
        <w:t xml:space="preserve">adjacent to </w:t>
      </w:r>
      <w:r w:rsidR="005D4D74" w:rsidRPr="00225D10">
        <w:t>significant vegetated areas on both public and private land</w:t>
      </w:r>
      <w:r w:rsidRPr="00225D10">
        <w:t>. Careful planning is required to protect the</w:t>
      </w:r>
      <w:r w:rsidR="005D4D74" w:rsidRPr="00225D10">
        <w:t xml:space="preserve">se environmental </w:t>
      </w:r>
      <w:r w:rsidR="00D421AD">
        <w:t>assets</w:t>
      </w:r>
      <w:r w:rsidRPr="00225D10">
        <w:t>.</w:t>
      </w:r>
    </w:p>
    <w:p w:rsidR="00A91D0D" w:rsidRPr="00225D10" w:rsidRDefault="00A91D0D" w:rsidP="00D34F87">
      <w:pPr>
        <w:pStyle w:val="ListParagraphSummary"/>
        <w:shd w:val="clear" w:color="auto" w:fill="F5EEC3"/>
        <w:tabs>
          <w:tab w:val="left" w:pos="8931"/>
        </w:tabs>
      </w:pPr>
      <w:r w:rsidRPr="00225D10">
        <w:t>There is significant bushfire threat from both large treed areas and grasslands within the region.</w:t>
      </w:r>
    </w:p>
    <w:p w:rsidR="00A91D0D" w:rsidRPr="00225D10" w:rsidRDefault="00A91D0D" w:rsidP="00D34F87">
      <w:pPr>
        <w:pStyle w:val="ListParagraphSummary"/>
        <w:shd w:val="clear" w:color="auto" w:fill="F5EEC3"/>
        <w:tabs>
          <w:tab w:val="left" w:pos="8931"/>
        </w:tabs>
      </w:pPr>
      <w:r w:rsidRPr="00225D10">
        <w:t xml:space="preserve">The region is at risk from severe </w:t>
      </w:r>
      <w:r w:rsidR="0028534E">
        <w:t>flood</w:t>
      </w:r>
      <w:r w:rsidRPr="00225D10">
        <w:t xml:space="preserve"> events.</w:t>
      </w:r>
    </w:p>
    <w:p w:rsidR="00241AFA" w:rsidRPr="00225D10" w:rsidRDefault="00241AFA" w:rsidP="00D34F87">
      <w:pPr>
        <w:pStyle w:val="ListParagraphSummary"/>
        <w:shd w:val="clear" w:color="auto" w:fill="F5EEC3"/>
        <w:tabs>
          <w:tab w:val="left" w:pos="8931"/>
        </w:tabs>
      </w:pPr>
      <w:r w:rsidRPr="00225D10">
        <w:t>Increased development has the potential to detract from some of the region’s highly valued landscapes.</w:t>
      </w:r>
    </w:p>
    <w:p w:rsidR="00A91D0D" w:rsidRPr="00225D10" w:rsidRDefault="00A91D0D" w:rsidP="00D34F87">
      <w:pPr>
        <w:pStyle w:val="ListParagraphSummary"/>
        <w:shd w:val="clear" w:color="auto" w:fill="F5EEC3"/>
        <w:tabs>
          <w:tab w:val="left" w:pos="8931"/>
        </w:tabs>
      </w:pPr>
      <w:r w:rsidRPr="00225D10">
        <w:t xml:space="preserve">Climate change may bring new </w:t>
      </w:r>
      <w:r w:rsidR="005D4D74" w:rsidRPr="00225D10">
        <w:t xml:space="preserve">economic </w:t>
      </w:r>
      <w:r w:rsidRPr="00225D10">
        <w:t>opportunities</w:t>
      </w:r>
      <w:r w:rsidR="00313E62">
        <w:t>,</w:t>
      </w:r>
      <w:r w:rsidRPr="00225D10">
        <w:t xml:space="preserve"> </w:t>
      </w:r>
      <w:r w:rsidR="00C8169C" w:rsidRPr="00225D10">
        <w:t xml:space="preserve">such as in </w:t>
      </w:r>
      <w:r w:rsidRPr="00225D10">
        <w:t>renewable energy</w:t>
      </w:r>
      <w:r w:rsidR="007E0CA3">
        <w:t>, as well as considerations for increased risks from some extreme events and natural hazards</w:t>
      </w:r>
      <w:r w:rsidRPr="00225D10">
        <w:t>.</w:t>
      </w:r>
    </w:p>
    <w:p w:rsidR="008A6EFF" w:rsidRPr="00225D10" w:rsidRDefault="008A6EFF" w:rsidP="00D34F87">
      <w:pPr>
        <w:pStyle w:val="ListParagraphSummary"/>
        <w:shd w:val="clear" w:color="auto" w:fill="F5EEC3"/>
        <w:tabs>
          <w:tab w:val="left" w:pos="8931"/>
        </w:tabs>
      </w:pPr>
      <w:r w:rsidRPr="00225D10">
        <w:t xml:space="preserve">The </w:t>
      </w:r>
      <w:r w:rsidR="00C8169C" w:rsidRPr="00225D10">
        <w:t xml:space="preserve">Calder </w:t>
      </w:r>
      <w:r w:rsidRPr="00225D10">
        <w:t xml:space="preserve">corridor </w:t>
      </w:r>
      <w:r w:rsidR="00C8169C" w:rsidRPr="00225D10">
        <w:t xml:space="preserve">boasts </w:t>
      </w:r>
      <w:r w:rsidRPr="00225D10">
        <w:t>many</w:t>
      </w:r>
      <w:r w:rsidR="005D4D74" w:rsidRPr="00225D10">
        <w:t xml:space="preserve"> </w:t>
      </w:r>
      <w:r w:rsidR="003C30A4">
        <w:t>historic</w:t>
      </w:r>
      <w:r w:rsidRPr="00225D10">
        <w:t xml:space="preserve"> heritage features in </w:t>
      </w:r>
      <w:r w:rsidR="002A1C76" w:rsidRPr="00225D10">
        <w:t xml:space="preserve">the region’s </w:t>
      </w:r>
      <w:r w:rsidRPr="00225D10">
        <w:t xml:space="preserve">towns </w:t>
      </w:r>
      <w:r w:rsidR="00C8169C" w:rsidRPr="00225D10">
        <w:t xml:space="preserve">as well as </w:t>
      </w:r>
      <w:r w:rsidRPr="00225D10">
        <w:t>on the old highway and railway</w:t>
      </w:r>
      <w:r w:rsidR="00C8169C" w:rsidRPr="00225D10">
        <w:t xml:space="preserve"> line. Some of these features date </w:t>
      </w:r>
      <w:r w:rsidRPr="00225D10">
        <w:t>from the gold rush era when the</w:t>
      </w:r>
      <w:r w:rsidR="002A1C76" w:rsidRPr="00225D10">
        <w:t xml:space="preserve">se routes were </w:t>
      </w:r>
      <w:r w:rsidRPr="00225D10">
        <w:t xml:space="preserve">busy main </w:t>
      </w:r>
      <w:r w:rsidR="002A1C76" w:rsidRPr="00225D10">
        <w:t xml:space="preserve">thoroughfares </w:t>
      </w:r>
      <w:r w:rsidRPr="00225D10">
        <w:t>to the goldfields.</w:t>
      </w:r>
    </w:p>
    <w:p w:rsidR="00712E37" w:rsidRPr="00225D10" w:rsidRDefault="00234869" w:rsidP="00D34F87">
      <w:pPr>
        <w:pStyle w:val="ListParagraphSummary"/>
        <w:shd w:val="clear" w:color="auto" w:fill="F5EEC3"/>
        <w:tabs>
          <w:tab w:val="left" w:pos="8931"/>
        </w:tabs>
      </w:pPr>
      <w:r w:rsidRPr="00225D10">
        <w:t>C</w:t>
      </w:r>
      <w:r w:rsidR="00712E37" w:rsidRPr="00225D10">
        <w:t>ultural heritage is an asset in community, economic and social terms.</w:t>
      </w:r>
      <w:r w:rsidRPr="00225D10">
        <w:t xml:space="preserve"> The region has a rich and diverse </w:t>
      </w:r>
      <w:r w:rsidR="002A1C76" w:rsidRPr="00225D10">
        <w:t xml:space="preserve">history comprising </w:t>
      </w:r>
      <w:r w:rsidRPr="00225D10">
        <w:t xml:space="preserve">Aboriginal </w:t>
      </w:r>
      <w:r w:rsidR="00DB7A99">
        <w:t xml:space="preserve">cultural heritage </w:t>
      </w:r>
      <w:r w:rsidRPr="00225D10">
        <w:t xml:space="preserve">and </w:t>
      </w:r>
      <w:r w:rsidR="003C30A4">
        <w:t>historic heritage</w:t>
      </w:r>
      <w:r w:rsidR="005D4D74" w:rsidRPr="00225D10">
        <w:t xml:space="preserve"> </w:t>
      </w:r>
      <w:r w:rsidRPr="00225D10">
        <w:t>sites</w:t>
      </w:r>
      <w:r w:rsidR="00CE7FD2" w:rsidRPr="00225D10">
        <w:t>, including the national and international story of the Victorian Gold Rush</w:t>
      </w:r>
      <w:r w:rsidRPr="00225D10">
        <w:t>.</w:t>
      </w:r>
    </w:p>
    <w:p w:rsidR="002D65E9" w:rsidRPr="001B459D" w:rsidRDefault="005D4D74" w:rsidP="00D34F87">
      <w:pPr>
        <w:pStyle w:val="ListParagraphSummary"/>
        <w:shd w:val="clear" w:color="auto" w:fill="F5EEC3"/>
        <w:tabs>
          <w:tab w:val="left" w:pos="8931"/>
        </w:tabs>
        <w:spacing w:before="0"/>
        <w:ind w:left="357" w:hanging="357"/>
        <w:rPr>
          <w:rFonts w:cs="Times New Roman"/>
          <w:b/>
          <w:color w:val="000000" w:themeColor="text1"/>
          <w:szCs w:val="18"/>
          <w:lang w:val="en-US" w:eastAsia="en-US"/>
        </w:rPr>
      </w:pPr>
      <w:r w:rsidRPr="00225D10">
        <w:t xml:space="preserve">Much of the region </w:t>
      </w:r>
      <w:r w:rsidR="008867EF" w:rsidRPr="00225D10">
        <w:t xml:space="preserve">consists </w:t>
      </w:r>
      <w:r w:rsidRPr="00225D10">
        <w:t>of open potable water supply catchments, which has implications for any potential land use change in non-urban areas.</w:t>
      </w:r>
    </w:p>
    <w:p w:rsidR="001B459D" w:rsidRPr="002D65E9" w:rsidRDefault="001B459D" w:rsidP="001B459D">
      <w:pPr>
        <w:pStyle w:val="ListParagraphSummary"/>
        <w:numPr>
          <w:ilvl w:val="0"/>
          <w:numId w:val="0"/>
        </w:numPr>
        <w:shd w:val="clear" w:color="auto" w:fill="F5EEC3"/>
        <w:tabs>
          <w:tab w:val="left" w:pos="8931"/>
        </w:tabs>
        <w:spacing w:before="0"/>
        <w:rPr>
          <w:rFonts w:cs="Times New Roman"/>
          <w:b/>
          <w:color w:val="000000" w:themeColor="text1"/>
          <w:szCs w:val="18"/>
          <w:lang w:val="en-US" w:eastAsia="en-US"/>
        </w:rPr>
      </w:pPr>
    </w:p>
    <w:p w:rsidR="004A1FF9" w:rsidRPr="001B459D" w:rsidRDefault="00BD072D" w:rsidP="001B459D">
      <w:pPr>
        <w:pStyle w:val="bt"/>
        <w:rPr>
          <w:rStyle w:val="Strong"/>
        </w:rPr>
      </w:pPr>
      <w:r w:rsidRPr="001B459D">
        <w:rPr>
          <w:rStyle w:val="Strong"/>
        </w:rPr>
        <w:t>Key implications</w:t>
      </w:r>
    </w:p>
    <w:p w:rsidR="00A91D0D" w:rsidRPr="00225D10" w:rsidRDefault="00A91D0D" w:rsidP="00D34F87">
      <w:pPr>
        <w:pStyle w:val="ListParagraphSummary"/>
        <w:shd w:val="clear" w:color="auto" w:fill="F5EEC3"/>
        <w:tabs>
          <w:tab w:val="left" w:pos="8931"/>
        </w:tabs>
      </w:pPr>
      <w:r w:rsidRPr="00225D10">
        <w:t xml:space="preserve">The ability for some settlements to expand </w:t>
      </w:r>
      <w:r w:rsidR="005D4D74" w:rsidRPr="00225D10">
        <w:t xml:space="preserve">may be </w:t>
      </w:r>
      <w:r w:rsidRPr="00225D10">
        <w:t xml:space="preserve">limited by </w:t>
      </w:r>
      <w:r w:rsidR="005D4D74" w:rsidRPr="00225D10">
        <w:t>environmental assets and natural hazards</w:t>
      </w:r>
      <w:r w:rsidRPr="00225D10">
        <w:t>.</w:t>
      </w:r>
    </w:p>
    <w:p w:rsidR="00A91D0D" w:rsidRPr="00225D10" w:rsidRDefault="00A91D0D" w:rsidP="00D34F87">
      <w:pPr>
        <w:pStyle w:val="ListParagraphSummary"/>
        <w:shd w:val="clear" w:color="auto" w:fill="F5EEC3"/>
        <w:tabs>
          <w:tab w:val="left" w:pos="8931"/>
        </w:tabs>
      </w:pPr>
      <w:r w:rsidRPr="00225D10">
        <w:t xml:space="preserve">The requirement to prioritise the protection of human life over other policy considerations will impact </w:t>
      </w:r>
      <w:r w:rsidR="008867EF" w:rsidRPr="00225D10">
        <w:t xml:space="preserve">on </w:t>
      </w:r>
      <w:r w:rsidRPr="00225D10">
        <w:t>settlement planning.</w:t>
      </w:r>
    </w:p>
    <w:p w:rsidR="00A91D0D" w:rsidRPr="00225D10" w:rsidRDefault="00A91D0D" w:rsidP="00D34F87">
      <w:pPr>
        <w:pStyle w:val="ListParagraphSummary"/>
        <w:shd w:val="clear" w:color="auto" w:fill="F5EEC3"/>
        <w:tabs>
          <w:tab w:val="left" w:pos="8931"/>
        </w:tabs>
      </w:pPr>
      <w:r w:rsidRPr="00225D10">
        <w:t xml:space="preserve">Strong population growth </w:t>
      </w:r>
      <w:r w:rsidR="005D4D74" w:rsidRPr="00225D10">
        <w:t>may result in increased pressure to clear</w:t>
      </w:r>
      <w:r w:rsidRPr="00225D10">
        <w:t xml:space="preserve"> native vegetation.</w:t>
      </w:r>
    </w:p>
    <w:p w:rsidR="008A6EFF" w:rsidRPr="00225D10" w:rsidRDefault="005D4D74" w:rsidP="00D34F87">
      <w:pPr>
        <w:pStyle w:val="ListParagraphSummary"/>
        <w:shd w:val="clear" w:color="auto" w:fill="F5EEC3"/>
        <w:tabs>
          <w:tab w:val="left" w:pos="8931"/>
        </w:tabs>
      </w:pPr>
      <w:r w:rsidRPr="00225D10">
        <w:t>Increasing the l</w:t>
      </w:r>
      <w:r w:rsidR="008A6EFF" w:rsidRPr="00225D10">
        <w:t xml:space="preserve">inkages between </w:t>
      </w:r>
      <w:r w:rsidRPr="00225D10">
        <w:t xml:space="preserve">remnant native </w:t>
      </w:r>
      <w:r w:rsidR="008A6EFF" w:rsidRPr="00225D10">
        <w:t xml:space="preserve">vegetation </w:t>
      </w:r>
      <w:r w:rsidRPr="00225D10">
        <w:t xml:space="preserve">is </w:t>
      </w:r>
      <w:r w:rsidR="008A6EFF" w:rsidRPr="00225D10">
        <w:t>critical to ensure biodiversity can be maintained.</w:t>
      </w:r>
      <w:r w:rsidR="00292720" w:rsidRPr="00225D10">
        <w:t xml:space="preserve"> Careful consideration will need to be given to the preferred locations of vegetation corridors in light of other regional plans.</w:t>
      </w:r>
    </w:p>
    <w:p w:rsidR="00A91D0D" w:rsidRPr="00225D10" w:rsidRDefault="00A91D0D" w:rsidP="00D34F87">
      <w:pPr>
        <w:pStyle w:val="ListParagraphSummary"/>
        <w:shd w:val="clear" w:color="auto" w:fill="F5EEC3"/>
        <w:tabs>
          <w:tab w:val="left" w:pos="8931"/>
        </w:tabs>
      </w:pPr>
      <w:r w:rsidRPr="00225D10">
        <w:t>Long-term consequences of climate change for the region include implications for</w:t>
      </w:r>
      <w:r w:rsidR="008867EF" w:rsidRPr="00225D10">
        <w:t>:</w:t>
      </w:r>
      <w:r w:rsidRPr="00225D10">
        <w:t xml:space="preserve"> water supply and availability; altered agricultural commodities; damage to infrastructure, industries and agriculture from severe weather events and </w:t>
      </w:r>
      <w:r w:rsidR="005D4D74" w:rsidRPr="00225D10">
        <w:t xml:space="preserve">natural </w:t>
      </w:r>
      <w:r w:rsidRPr="00225D10">
        <w:t>hazards; pressures on natural ecosystems; and communities.</w:t>
      </w:r>
    </w:p>
    <w:p w:rsidR="00AB0D7C" w:rsidRPr="00225D10" w:rsidRDefault="00AB0D7C" w:rsidP="00D34F87">
      <w:pPr>
        <w:pStyle w:val="ListParagraphSummary"/>
        <w:shd w:val="clear" w:color="auto" w:fill="F5EEC3"/>
        <w:tabs>
          <w:tab w:val="left" w:pos="8931"/>
        </w:tabs>
      </w:pPr>
      <w:r w:rsidRPr="00225D10">
        <w:t>Designated water supply catchments need to be considered when proposing land use change.</w:t>
      </w:r>
    </w:p>
    <w:p w:rsidR="00A91D0D" w:rsidRPr="00225D10" w:rsidRDefault="00E52DF2" w:rsidP="00D34F87">
      <w:pPr>
        <w:pStyle w:val="ListParagraphSummary"/>
        <w:shd w:val="clear" w:color="auto" w:fill="F5EEC3"/>
        <w:tabs>
          <w:tab w:val="left" w:pos="8931"/>
        </w:tabs>
      </w:pPr>
      <w:r w:rsidRPr="00225D10">
        <w:t xml:space="preserve">Land use planning decisions should be based on the best quality information on </w:t>
      </w:r>
      <w:r w:rsidR="0028534E">
        <w:t>flood</w:t>
      </w:r>
      <w:r w:rsidRPr="00225D10">
        <w:t xml:space="preserve"> and bushfire hazards to minimise risk to life, property, community infrastructure and environmental assets.</w:t>
      </w:r>
    </w:p>
    <w:p w:rsidR="00A46B0A" w:rsidRPr="00225D10" w:rsidRDefault="00241AFA" w:rsidP="00D34F87">
      <w:pPr>
        <w:pStyle w:val="ListParagraphSummary"/>
        <w:shd w:val="clear" w:color="auto" w:fill="F5EEC3"/>
        <w:tabs>
          <w:tab w:val="left" w:pos="8931"/>
        </w:tabs>
      </w:pPr>
      <w:r w:rsidRPr="00225D10">
        <w:t>Consistent identification and protection of visually important landscapes is needed across the region.</w:t>
      </w:r>
    </w:p>
    <w:p w:rsidR="00A91D0D" w:rsidRPr="00225D10" w:rsidRDefault="008A6EFF" w:rsidP="00D34F87">
      <w:pPr>
        <w:pStyle w:val="ListParagraphSummary"/>
        <w:shd w:val="clear" w:color="auto" w:fill="F5EEC3"/>
        <w:tabs>
          <w:tab w:val="left" w:pos="8931"/>
        </w:tabs>
      </w:pPr>
      <w:r w:rsidRPr="00225D10">
        <w:t xml:space="preserve">The </w:t>
      </w:r>
      <w:r w:rsidR="008867EF" w:rsidRPr="00225D10">
        <w:t xml:space="preserve">region’s </w:t>
      </w:r>
      <w:r w:rsidRPr="00225D10">
        <w:t xml:space="preserve">rich </w:t>
      </w:r>
      <w:r w:rsidR="008867EF" w:rsidRPr="00225D10">
        <w:t xml:space="preserve">history and </w:t>
      </w:r>
      <w:r w:rsidRPr="00225D10">
        <w:t>heritage provides a major tourism opportunity.</w:t>
      </w:r>
      <w:r w:rsidR="00712E37" w:rsidRPr="00225D10">
        <w:t xml:space="preserve"> The potential benefits of the </w:t>
      </w:r>
      <w:r w:rsidR="008867EF" w:rsidRPr="00225D10">
        <w:t>‘</w:t>
      </w:r>
      <w:r w:rsidR="00712E37" w:rsidRPr="00225D10">
        <w:t>Goldfields – Australia’s Premier Heritage Region</w:t>
      </w:r>
      <w:r w:rsidR="008867EF" w:rsidRPr="00225D10">
        <w:t>’</w:t>
      </w:r>
      <w:r w:rsidR="00712E37" w:rsidRPr="00225D10">
        <w:t xml:space="preserve"> initiative are </w:t>
      </w:r>
      <w:r w:rsidR="008867EF" w:rsidRPr="00225D10">
        <w:t xml:space="preserve">significant. This </w:t>
      </w:r>
      <w:r w:rsidR="00712E37" w:rsidRPr="00225D10">
        <w:t xml:space="preserve">initiative </w:t>
      </w:r>
      <w:r w:rsidR="00344AF9" w:rsidRPr="00225D10">
        <w:t>must</w:t>
      </w:r>
      <w:r w:rsidR="00712E37" w:rsidRPr="00225D10">
        <w:t xml:space="preserve"> continue to be supported through regional and local land use planning.</w:t>
      </w:r>
    </w:p>
    <w:p w:rsidR="00B87055" w:rsidRDefault="007D6F99" w:rsidP="00D34F87">
      <w:pPr>
        <w:pStyle w:val="ListParagraphSummary"/>
        <w:shd w:val="clear" w:color="auto" w:fill="F5EEC3"/>
        <w:tabs>
          <w:tab w:val="left" w:pos="8931"/>
        </w:tabs>
      </w:pPr>
      <w:r w:rsidRPr="00225D10">
        <w:t xml:space="preserve">Opportunities to develop cultural and other tourism </w:t>
      </w:r>
      <w:r w:rsidR="00313E62">
        <w:t>t</w:t>
      </w:r>
      <w:r w:rsidRPr="00225D10">
        <w:t>hroughout the region should be supported through continued strategic land use planning, particular</w:t>
      </w:r>
      <w:r w:rsidR="00B72EC7" w:rsidRPr="00225D10">
        <w:t>ly</w:t>
      </w:r>
      <w:r w:rsidRPr="00225D10">
        <w:t xml:space="preserve"> around goldfields-related heritage assets </w:t>
      </w:r>
      <w:r w:rsidR="00DC795A" w:rsidRPr="00225D10">
        <w:t xml:space="preserve">and tourism </w:t>
      </w:r>
      <w:r w:rsidR="00647515" w:rsidRPr="00647515">
        <w:t>infrastructure oppo</w:t>
      </w:r>
      <w:r w:rsidR="001B459D">
        <w:t>rtunities within national parks.</w:t>
      </w:r>
    </w:p>
    <w:p w:rsidR="001B459D" w:rsidRDefault="001B459D" w:rsidP="001B459D">
      <w:pPr>
        <w:pStyle w:val="ListParagraphSummary"/>
        <w:numPr>
          <w:ilvl w:val="0"/>
          <w:numId w:val="0"/>
        </w:numPr>
        <w:shd w:val="clear" w:color="auto" w:fill="F5EEC3"/>
        <w:tabs>
          <w:tab w:val="left" w:pos="8931"/>
        </w:tabs>
      </w:pPr>
    </w:p>
    <w:p w:rsidR="001B459D" w:rsidRDefault="001B459D">
      <w:pPr>
        <w:spacing w:before="0"/>
        <w:rPr>
          <w:rStyle w:val="Strong"/>
          <w:szCs w:val="24"/>
        </w:rPr>
      </w:pPr>
      <w:r>
        <w:rPr>
          <w:rStyle w:val="Strong"/>
        </w:rPr>
        <w:br w:type="page"/>
      </w:r>
    </w:p>
    <w:p w:rsidR="004A1FF9" w:rsidRPr="001B459D" w:rsidRDefault="00BD072D" w:rsidP="001B459D">
      <w:pPr>
        <w:pStyle w:val="bt"/>
        <w:rPr>
          <w:rStyle w:val="Strong"/>
        </w:rPr>
      </w:pPr>
      <w:r w:rsidRPr="001B459D">
        <w:rPr>
          <w:rStyle w:val="Strong"/>
        </w:rPr>
        <w:lastRenderedPageBreak/>
        <w:t>Key challenges</w:t>
      </w:r>
    </w:p>
    <w:p w:rsidR="00EC6C49" w:rsidRDefault="00A91D0D">
      <w:pPr>
        <w:pStyle w:val="ListParagraphSummary"/>
        <w:shd w:val="clear" w:color="auto" w:fill="F5EEC3"/>
        <w:tabs>
          <w:tab w:val="left" w:pos="8931"/>
        </w:tabs>
        <w:spacing w:before="0"/>
      </w:pPr>
      <w:r w:rsidRPr="00225D10">
        <w:t>Protecti</w:t>
      </w:r>
      <w:r w:rsidR="00B72EC7" w:rsidRPr="00225D10">
        <w:t xml:space="preserve">ng </w:t>
      </w:r>
      <w:r w:rsidRPr="00225D10">
        <w:t>the region’s important environmental assets.</w:t>
      </w:r>
    </w:p>
    <w:p w:rsidR="00A91D0D" w:rsidRPr="00225D10" w:rsidRDefault="00A91D0D" w:rsidP="00D34F87">
      <w:pPr>
        <w:pStyle w:val="ListParagraphSummary"/>
        <w:shd w:val="clear" w:color="auto" w:fill="F5EEC3"/>
        <w:tabs>
          <w:tab w:val="left" w:pos="8931"/>
        </w:tabs>
      </w:pPr>
      <w:r w:rsidRPr="00225D10">
        <w:t xml:space="preserve">Determining on a regional scale what types of land uses are appropriate or inappropriate </w:t>
      </w:r>
      <w:r w:rsidR="005D4D74" w:rsidRPr="00225D10">
        <w:t>in open potable water supply catchments</w:t>
      </w:r>
      <w:r w:rsidRPr="00225D10">
        <w:t>.</w:t>
      </w:r>
    </w:p>
    <w:p w:rsidR="0046416B" w:rsidRDefault="00A91D0D" w:rsidP="00D34F87">
      <w:pPr>
        <w:pStyle w:val="ListParagraphSummary"/>
        <w:shd w:val="clear" w:color="auto" w:fill="F5EEC3"/>
        <w:tabs>
          <w:tab w:val="left" w:pos="8931"/>
        </w:tabs>
      </w:pPr>
      <w:r w:rsidRPr="00225D10">
        <w:t>Developing a regional approach to settlement planning</w:t>
      </w:r>
      <w:r w:rsidR="00B72EC7" w:rsidRPr="00225D10">
        <w:t xml:space="preserve"> that</w:t>
      </w:r>
      <w:r w:rsidRPr="00225D10">
        <w:t xml:space="preserve"> consider</w:t>
      </w:r>
      <w:r w:rsidR="00B72EC7" w:rsidRPr="00225D10">
        <w:t>s</w:t>
      </w:r>
      <w:r w:rsidRPr="00225D10">
        <w:t xml:space="preserve"> </w:t>
      </w:r>
      <w:r w:rsidR="005D4D74" w:rsidRPr="00225D10">
        <w:t>natural hazards, particular</w:t>
      </w:r>
      <w:r w:rsidR="00B72EC7" w:rsidRPr="00225D10">
        <w:t>ly</w:t>
      </w:r>
      <w:r w:rsidR="005D4D74" w:rsidRPr="00225D10">
        <w:t xml:space="preserve"> bushfire</w:t>
      </w:r>
      <w:r w:rsidR="004C284D" w:rsidRPr="00225D10">
        <w:t xml:space="preserve"> and </w:t>
      </w:r>
      <w:r w:rsidR="0028534E">
        <w:t>flood</w:t>
      </w:r>
      <w:r w:rsidRPr="00225D10">
        <w:t>.</w:t>
      </w:r>
    </w:p>
    <w:p w:rsidR="00B87055" w:rsidRDefault="00B87055" w:rsidP="00D34F87">
      <w:pPr>
        <w:pStyle w:val="ListParagraphSummary"/>
        <w:shd w:val="clear" w:color="auto" w:fill="F5EEC3"/>
        <w:tabs>
          <w:tab w:val="left" w:pos="8931"/>
        </w:tabs>
      </w:pPr>
      <w:r w:rsidRPr="00225D10">
        <w:t>Improving the region’s resilience and adaptability to climate change as impacts emerge</w:t>
      </w:r>
      <w:r>
        <w:t>.</w:t>
      </w:r>
    </w:p>
    <w:p w:rsidR="001B459D" w:rsidRDefault="00712E37" w:rsidP="00D34F87">
      <w:pPr>
        <w:pStyle w:val="ListParagraphSummary"/>
        <w:shd w:val="clear" w:color="auto" w:fill="F5EEC3"/>
        <w:tabs>
          <w:tab w:val="left" w:pos="8931"/>
        </w:tabs>
      </w:pPr>
      <w:r w:rsidRPr="00225D10">
        <w:t>Supporting the development of cultural and other tourism opportunities throughout the region through appropriate strategic land use planning.</w:t>
      </w:r>
    </w:p>
    <w:p w:rsidR="00CE4D68" w:rsidRDefault="006A642F" w:rsidP="00D34F87">
      <w:pPr>
        <w:pStyle w:val="ListParagraphSummary"/>
        <w:shd w:val="clear" w:color="auto" w:fill="F5EEC3"/>
        <w:tabs>
          <w:tab w:val="left" w:pos="8931"/>
        </w:tabs>
      </w:pPr>
      <w:r w:rsidRPr="00225D10">
        <w:t>Coordinat</w:t>
      </w:r>
      <w:r w:rsidR="004275B7" w:rsidRPr="00225D10">
        <w:t>ing</w:t>
      </w:r>
      <w:r w:rsidRPr="00225D10">
        <w:t xml:space="preserve"> planning of natural resource management activities with regional growth planning.</w:t>
      </w:r>
    </w:p>
    <w:p w:rsidR="001B459D" w:rsidRDefault="001B459D" w:rsidP="001B459D">
      <w:pPr>
        <w:pStyle w:val="ListParagraphSummary"/>
        <w:numPr>
          <w:ilvl w:val="0"/>
          <w:numId w:val="0"/>
        </w:numPr>
        <w:shd w:val="clear" w:color="auto" w:fill="F5EEC3"/>
        <w:tabs>
          <w:tab w:val="left" w:pos="8931"/>
        </w:tabs>
      </w:pPr>
    </w:p>
    <w:p w:rsidR="00CE37C2" w:rsidRPr="00663F7F" w:rsidRDefault="00CE37C2" w:rsidP="00D34F87">
      <w:pPr>
        <w:pStyle w:val="Heading2"/>
        <w:tabs>
          <w:tab w:val="left" w:pos="8931"/>
        </w:tabs>
        <w:rPr>
          <w:rFonts w:cs="Arial"/>
        </w:rPr>
      </w:pPr>
      <w:bookmarkStart w:id="99" w:name="_Toc374530869"/>
      <w:r w:rsidRPr="00663F7F">
        <w:rPr>
          <w:rFonts w:cs="Arial"/>
        </w:rPr>
        <w:t xml:space="preserve">Environment and </w:t>
      </w:r>
      <w:r w:rsidR="00B72EC7" w:rsidRPr="00663F7F">
        <w:rPr>
          <w:rFonts w:cs="Arial"/>
        </w:rPr>
        <w:t>h</w:t>
      </w:r>
      <w:r w:rsidRPr="00663F7F">
        <w:rPr>
          <w:rFonts w:cs="Arial"/>
        </w:rPr>
        <w:t xml:space="preserve">eritage </w:t>
      </w:r>
      <w:r w:rsidR="00B72EC7" w:rsidRPr="00663F7F">
        <w:rPr>
          <w:rFonts w:cs="Arial"/>
        </w:rPr>
        <w:t>a</w:t>
      </w:r>
      <w:r w:rsidRPr="00663F7F">
        <w:rPr>
          <w:rFonts w:cs="Arial"/>
        </w:rPr>
        <w:t>ssets</w:t>
      </w:r>
      <w:bookmarkEnd w:id="99"/>
    </w:p>
    <w:p w:rsidR="00E8192C" w:rsidRPr="00225D10" w:rsidRDefault="00267D13" w:rsidP="00655244">
      <w:pPr>
        <w:pStyle w:val="Heading3"/>
      </w:pPr>
      <w:bookmarkStart w:id="100" w:name="_Toc371951912"/>
      <w:bookmarkStart w:id="101" w:name="_Toc372889292"/>
      <w:bookmarkStart w:id="102" w:name="_Toc374530870"/>
      <w:r w:rsidRPr="00225D10">
        <w:t>Cultural heritage assets</w:t>
      </w:r>
      <w:bookmarkEnd w:id="100"/>
      <w:bookmarkEnd w:id="101"/>
      <w:bookmarkEnd w:id="102"/>
    </w:p>
    <w:p w:rsidR="00CE37C2" w:rsidRPr="00225D10" w:rsidRDefault="00CE37C2" w:rsidP="00D34F87">
      <w:pPr>
        <w:pStyle w:val="bt"/>
        <w:tabs>
          <w:tab w:val="left" w:pos="8931"/>
        </w:tabs>
      </w:pPr>
      <w:r w:rsidRPr="00225D10">
        <w:t xml:space="preserve">The Loddon Mallee South </w:t>
      </w:r>
      <w:r w:rsidR="0062261A" w:rsidRPr="00225D10">
        <w:t xml:space="preserve">region </w:t>
      </w:r>
      <w:r w:rsidRPr="00225D10">
        <w:t xml:space="preserve">has </w:t>
      </w:r>
      <w:r w:rsidR="00647515" w:rsidRPr="00647515">
        <w:rPr>
          <w:rFonts w:cs="Arial"/>
        </w:rPr>
        <w:t>a</w:t>
      </w:r>
      <w:r w:rsidRPr="00225D10">
        <w:t xml:space="preserve"> rich and diverse representation of heritage values capturing both Aboriginal </w:t>
      </w:r>
      <w:r w:rsidR="006E7E28" w:rsidRPr="00225D10">
        <w:t>and historic</w:t>
      </w:r>
      <w:r w:rsidR="003C30A4">
        <w:t xml:space="preserve"> heritage</w:t>
      </w:r>
      <w:r w:rsidRPr="00225D10">
        <w:t xml:space="preserve"> site</w:t>
      </w:r>
      <w:r w:rsidR="000129EA" w:rsidRPr="00225D10">
        <w:t>s</w:t>
      </w:r>
      <w:r w:rsidR="00CE7FD2" w:rsidRPr="00225D10">
        <w:t>,</w:t>
      </w:r>
      <w:r w:rsidR="008D37E7" w:rsidRPr="00225D10">
        <w:t xml:space="preserve"> including the national and international</w:t>
      </w:r>
      <w:r w:rsidR="000129EA" w:rsidRPr="00225D10">
        <w:t>ly significant</w:t>
      </w:r>
      <w:r w:rsidR="008D37E7" w:rsidRPr="00225D10">
        <w:t xml:space="preserve"> story of the Victorian Gold Rush</w:t>
      </w:r>
      <w:r w:rsidR="0062261A" w:rsidRPr="00225D10">
        <w:t xml:space="preserve">. </w:t>
      </w:r>
      <w:r w:rsidR="00216501" w:rsidRPr="00225D10">
        <w:t>T</w:t>
      </w:r>
      <w:r w:rsidR="00216501" w:rsidRPr="00225D10">
        <w:rPr>
          <w:rFonts w:cs="Calibri"/>
        </w:rPr>
        <w:t xml:space="preserve">he most significant heritage assets in the region have been identified by Aboriginal Affairs Victoria and Heritage Victoria below, and some of these </w:t>
      </w:r>
      <w:r w:rsidR="00216501">
        <w:rPr>
          <w:rFonts w:cs="Calibri"/>
        </w:rPr>
        <w:t>are mapped</w:t>
      </w:r>
      <w:r w:rsidR="00CB7D8B">
        <w:rPr>
          <w:rFonts w:cs="Calibri"/>
        </w:rPr>
        <w:t xml:space="preserve"> in </w:t>
      </w:r>
      <w:r w:rsidR="00680EEE">
        <w:fldChar w:fldCharType="begin"/>
      </w:r>
      <w:r w:rsidR="00680EEE">
        <w:instrText xml:space="preserve"> REF _Ref353526664 \h  \* MERGEFORMAT </w:instrText>
      </w:r>
      <w:r w:rsidR="00680EEE">
        <w:fldChar w:fldCharType="separate"/>
      </w:r>
      <w:r w:rsidR="00EF1401" w:rsidRPr="0037462C">
        <w:t xml:space="preserve">Figure </w:t>
      </w:r>
      <w:r w:rsidR="00EF1401">
        <w:rPr>
          <w:noProof/>
        </w:rPr>
        <w:t>22</w:t>
      </w:r>
      <w:r w:rsidR="00680EEE">
        <w:fldChar w:fldCharType="end"/>
      </w:r>
      <w:r w:rsidR="00CB7D8B">
        <w:rPr>
          <w:rFonts w:cs="Calibri"/>
        </w:rPr>
        <w:t>:</w:t>
      </w:r>
    </w:p>
    <w:p w:rsidR="00CE37C2" w:rsidRPr="00225D10" w:rsidRDefault="00CE37C2" w:rsidP="00D34F87">
      <w:pPr>
        <w:pStyle w:val="ListParagraphSummary"/>
        <w:tabs>
          <w:tab w:val="left" w:pos="8931"/>
        </w:tabs>
      </w:pPr>
      <w:r w:rsidRPr="00225D10">
        <w:t xml:space="preserve">Lake Boort </w:t>
      </w:r>
      <w:r w:rsidR="00DB7A99">
        <w:t xml:space="preserve">- </w:t>
      </w:r>
      <w:r w:rsidRPr="00225D10">
        <w:t xml:space="preserve">numerous Aboriginal scarred trees, occupation sites and </w:t>
      </w:r>
      <w:r w:rsidR="003C30A4">
        <w:t>historic heritage</w:t>
      </w:r>
      <w:r w:rsidRPr="00225D10">
        <w:t xml:space="preserve"> places</w:t>
      </w:r>
    </w:p>
    <w:p w:rsidR="00CE37C2" w:rsidRPr="00225D10" w:rsidRDefault="00CE37C2" w:rsidP="00D34F87">
      <w:pPr>
        <w:pStyle w:val="ListParagraphSummary"/>
        <w:tabs>
          <w:tab w:val="left" w:pos="8931"/>
        </w:tabs>
      </w:pPr>
      <w:r w:rsidRPr="00225D10">
        <w:t>M</w:t>
      </w:r>
      <w:r w:rsidR="005137B7" w:rsidRPr="00225D10">
        <w:t>oun</w:t>
      </w:r>
      <w:r w:rsidRPr="00225D10">
        <w:t xml:space="preserve">t </w:t>
      </w:r>
      <w:proofErr w:type="spellStart"/>
      <w:r w:rsidRPr="00225D10">
        <w:t>Tarrengower</w:t>
      </w:r>
      <w:proofErr w:type="spellEnd"/>
      <w:r w:rsidR="00DB7A99">
        <w:t xml:space="preserve"> - </w:t>
      </w:r>
      <w:r w:rsidRPr="00225D10">
        <w:t>the location of an important creation story</w:t>
      </w:r>
    </w:p>
    <w:p w:rsidR="00CE37C2" w:rsidRPr="00225D10" w:rsidRDefault="00CE37C2" w:rsidP="00D34F87">
      <w:pPr>
        <w:pStyle w:val="ListParagraphSummary"/>
        <w:tabs>
          <w:tab w:val="left" w:pos="8931"/>
        </w:tabs>
      </w:pPr>
      <w:proofErr w:type="spellStart"/>
      <w:r w:rsidRPr="00225D10">
        <w:t>Terrick</w:t>
      </w:r>
      <w:proofErr w:type="spellEnd"/>
      <w:r w:rsidRPr="00225D10">
        <w:t xml:space="preserve"> </w:t>
      </w:r>
      <w:proofErr w:type="spellStart"/>
      <w:r w:rsidRPr="00225D10">
        <w:t>Terrick</w:t>
      </w:r>
      <w:proofErr w:type="spellEnd"/>
      <w:r w:rsidRPr="00225D10">
        <w:t xml:space="preserve"> National Park</w:t>
      </w:r>
      <w:r w:rsidR="00DB7A99">
        <w:t xml:space="preserve"> - </w:t>
      </w:r>
      <w:r w:rsidRPr="00225D10">
        <w:t>contains numerous Aboriginal occupation sites</w:t>
      </w:r>
    </w:p>
    <w:p w:rsidR="00CE37C2" w:rsidRPr="00225D10" w:rsidRDefault="00216501" w:rsidP="00D34F87">
      <w:pPr>
        <w:pStyle w:val="ListParagraphSummary"/>
        <w:tabs>
          <w:tab w:val="left" w:pos="8931"/>
        </w:tabs>
      </w:pPr>
      <w:r w:rsidRPr="00225D10">
        <w:t>Maryborough Railway Station</w:t>
      </w:r>
      <w:r w:rsidR="00DB7A99">
        <w:t xml:space="preserve"> - </w:t>
      </w:r>
      <w:r>
        <w:t>a</w:t>
      </w:r>
      <w:r w:rsidRPr="00225D10">
        <w:t>rchitecturally significant for its design and grand scale</w:t>
      </w:r>
    </w:p>
    <w:p w:rsidR="00CE37C2" w:rsidRPr="00225D10" w:rsidRDefault="00CE37C2" w:rsidP="00D34F87">
      <w:pPr>
        <w:pStyle w:val="ListParagraphSummary"/>
        <w:tabs>
          <w:tab w:val="left" w:pos="8931"/>
        </w:tabs>
      </w:pPr>
      <w:r w:rsidRPr="00225D10">
        <w:t xml:space="preserve">Duke and Timor Deep Lead Gold Mine </w:t>
      </w:r>
      <w:r w:rsidR="00DB7A99">
        <w:t xml:space="preserve">- </w:t>
      </w:r>
      <w:r w:rsidRPr="00225D10">
        <w:t xml:space="preserve">19th </w:t>
      </w:r>
      <w:r w:rsidR="000129EA" w:rsidRPr="00225D10">
        <w:t>c</w:t>
      </w:r>
      <w:r w:rsidRPr="00225D10">
        <w:t>entury ruins of one of Victoria’s most successful gold mines</w:t>
      </w:r>
    </w:p>
    <w:p w:rsidR="00CE37C2" w:rsidRPr="00225D10" w:rsidRDefault="00216501" w:rsidP="00D34F87">
      <w:pPr>
        <w:pStyle w:val="ListParagraphSummary"/>
        <w:tabs>
          <w:tab w:val="left" w:pos="8931"/>
        </w:tabs>
      </w:pPr>
      <w:r>
        <w:t>Tarnagulla Public Hall</w:t>
      </w:r>
      <w:r w:rsidR="00DB7A99">
        <w:t xml:space="preserve"> - </w:t>
      </w:r>
      <w:r>
        <w:t>b</w:t>
      </w:r>
      <w:r w:rsidRPr="00225D10">
        <w:t>uilt in 1861 as the Victoria Hotel and Theatre</w:t>
      </w:r>
    </w:p>
    <w:p w:rsidR="00CE37C2" w:rsidRPr="00225D10" w:rsidRDefault="00CE37C2" w:rsidP="00D34F87">
      <w:pPr>
        <w:pStyle w:val="ListParagraphSummary"/>
        <w:tabs>
          <w:tab w:val="left" w:pos="8931"/>
        </w:tabs>
      </w:pPr>
      <w:r w:rsidRPr="00225D10">
        <w:t>Eucalyptus Distillery, Inglewood</w:t>
      </w:r>
      <w:r w:rsidR="00DB7A99">
        <w:t xml:space="preserve"> - </w:t>
      </w:r>
      <w:r w:rsidRPr="00225D10">
        <w:t>rare example of a eucalyptus oil distillery that is now operating as a museum</w:t>
      </w:r>
    </w:p>
    <w:p w:rsidR="00CE37C2" w:rsidRPr="00225D10" w:rsidRDefault="00216501" w:rsidP="00D34F87">
      <w:pPr>
        <w:pStyle w:val="ListParagraphSummary"/>
        <w:tabs>
          <w:tab w:val="left" w:pos="8931"/>
        </w:tabs>
      </w:pPr>
      <w:r w:rsidRPr="00225D10">
        <w:t>Bendigo Post Office and La</w:t>
      </w:r>
      <w:r>
        <w:t>w Courts</w:t>
      </w:r>
      <w:r w:rsidR="00DB7A99">
        <w:t xml:space="preserve"> - </w:t>
      </w:r>
      <w:r>
        <w:t>t</w:t>
      </w:r>
      <w:r w:rsidRPr="00225D10">
        <w:t>wo grand and flamboyant buildings at the heart of historic Bendigo</w:t>
      </w:r>
    </w:p>
    <w:p w:rsidR="00CE37C2" w:rsidRPr="00225D10" w:rsidRDefault="00216501" w:rsidP="00D34F87">
      <w:pPr>
        <w:pStyle w:val="ListParagraphSummary"/>
        <w:tabs>
          <w:tab w:val="left" w:pos="8931"/>
        </w:tabs>
      </w:pPr>
      <w:r w:rsidRPr="00225D10">
        <w:t>M</w:t>
      </w:r>
      <w:r>
        <w:t>aldon Railway Station Complex</w:t>
      </w:r>
      <w:r w:rsidR="00DB7A99">
        <w:t xml:space="preserve"> - </w:t>
      </w:r>
      <w:r>
        <w:t>c</w:t>
      </w:r>
      <w:r w:rsidRPr="00225D10">
        <w:t>onstructed in 1888 and now the home of the Victorian Goldfields Railway – a regional tourist destination</w:t>
      </w:r>
    </w:p>
    <w:p w:rsidR="00CE37C2" w:rsidRPr="00225D10" w:rsidRDefault="00216501" w:rsidP="00D34F87">
      <w:pPr>
        <w:pStyle w:val="ListParagraphSummary"/>
        <w:tabs>
          <w:tab w:val="left" w:pos="8931"/>
        </w:tabs>
      </w:pPr>
      <w:r>
        <w:t>Castlemaine Market</w:t>
      </w:r>
      <w:r w:rsidR="00DB7A99">
        <w:t xml:space="preserve"> - </w:t>
      </w:r>
      <w:r>
        <w:t>a</w:t>
      </w:r>
      <w:r w:rsidRPr="00225D10">
        <w:t xml:space="preserve"> fine and rare colonial market building from 1862</w:t>
      </w:r>
    </w:p>
    <w:p w:rsidR="00CE37C2" w:rsidRPr="00225D10" w:rsidRDefault="00216501" w:rsidP="00D34F87">
      <w:pPr>
        <w:pStyle w:val="ListParagraphSummary"/>
        <w:tabs>
          <w:tab w:val="left" w:pos="8931"/>
        </w:tabs>
      </w:pPr>
      <w:r>
        <w:t>Malmsbury Botanic Gardens</w:t>
      </w:r>
      <w:r w:rsidR="00DB7A99">
        <w:t xml:space="preserve"> - </w:t>
      </w:r>
      <w:r>
        <w:t>o</w:t>
      </w:r>
      <w:r w:rsidRPr="00225D10">
        <w:t>ne of Victoria’s earliest royal botanic gardens</w:t>
      </w:r>
    </w:p>
    <w:p w:rsidR="00CE37C2" w:rsidRPr="00225D10" w:rsidRDefault="00CE37C2" w:rsidP="00D34F87">
      <w:pPr>
        <w:pStyle w:val="ListParagraphSummary"/>
        <w:tabs>
          <w:tab w:val="left" w:pos="8931"/>
        </w:tabs>
      </w:pPr>
      <w:r w:rsidRPr="00225D10">
        <w:t>Cameron Memorial Cross, M</w:t>
      </w:r>
      <w:r w:rsidR="00F25525" w:rsidRPr="00225D10">
        <w:t>oun</w:t>
      </w:r>
      <w:r w:rsidRPr="00225D10">
        <w:t>t Macedon</w:t>
      </w:r>
      <w:r w:rsidR="00DB7A99">
        <w:t xml:space="preserve"> - </w:t>
      </w:r>
      <w:r w:rsidRPr="00225D10">
        <w:t>Landmark memorial dedicated in 1935 to Australians killed in World War</w:t>
      </w:r>
      <w:r w:rsidR="00313E62">
        <w:t xml:space="preserve"> One</w:t>
      </w:r>
    </w:p>
    <w:p w:rsidR="00CE7FD2" w:rsidRPr="00225D10" w:rsidRDefault="00CE7FD2" w:rsidP="00D34F87">
      <w:pPr>
        <w:pStyle w:val="ListParagraphSummary"/>
        <w:tabs>
          <w:tab w:val="left" w:pos="8931"/>
        </w:tabs>
      </w:pPr>
      <w:r w:rsidRPr="00225D10">
        <w:t>Castlemaine Diggings National Heritage Park</w:t>
      </w:r>
      <w:r w:rsidR="00DB7A99">
        <w:t xml:space="preserve"> - </w:t>
      </w:r>
      <w:r w:rsidRPr="00225D10">
        <w:t>proposed world heritage nomination</w:t>
      </w:r>
    </w:p>
    <w:p w:rsidR="00CE7FD2" w:rsidRPr="00225D10" w:rsidRDefault="00CE7FD2" w:rsidP="00D34F87">
      <w:pPr>
        <w:pStyle w:val="ListParagraphSummary"/>
        <w:tabs>
          <w:tab w:val="left" w:pos="8931"/>
        </w:tabs>
      </w:pPr>
      <w:r w:rsidRPr="00225D10">
        <w:t>Streetscapes such as Pall Mall/View Street in Bendigo</w:t>
      </w:r>
      <w:r w:rsidR="00F25525" w:rsidRPr="00225D10">
        <w:t>.</w:t>
      </w:r>
    </w:p>
    <w:p w:rsidR="00CE30C7" w:rsidRPr="00225D10" w:rsidRDefault="00B52C7D" w:rsidP="00D34F87">
      <w:pPr>
        <w:pStyle w:val="bt"/>
        <w:tabs>
          <w:tab w:val="left" w:pos="8931"/>
        </w:tabs>
      </w:pPr>
      <w:r w:rsidRPr="00225D10">
        <w:t xml:space="preserve">It is acknowledged that this list is not exhaustive and many other places of significance occur throughout the region. </w:t>
      </w:r>
      <w:r w:rsidR="0062261A" w:rsidRPr="00225D10">
        <w:t>Approximately 310 State-significant heritage places in the region are listed on the Victorian Heritage Register.</w:t>
      </w:r>
    </w:p>
    <w:p w:rsidR="00712E37" w:rsidRPr="00225D10" w:rsidRDefault="00CE37C2" w:rsidP="00D34F87">
      <w:pPr>
        <w:pStyle w:val="bt"/>
        <w:tabs>
          <w:tab w:val="left" w:pos="8931"/>
        </w:tabs>
      </w:pPr>
      <w:r w:rsidRPr="00225D10">
        <w:t xml:space="preserve">In addition to these individual sites, much of the region has a strong goldfields heritage that </w:t>
      </w:r>
      <w:r w:rsidR="00866E05" w:rsidRPr="00225D10">
        <w:t xml:space="preserve">can be seen in </w:t>
      </w:r>
      <w:r w:rsidRPr="00225D10">
        <w:t xml:space="preserve">the fabric of </w:t>
      </w:r>
      <w:r w:rsidR="00866E05" w:rsidRPr="00225D10">
        <w:t xml:space="preserve">regional </w:t>
      </w:r>
      <w:r w:rsidRPr="00225D10">
        <w:t xml:space="preserve">towns and </w:t>
      </w:r>
      <w:r w:rsidR="00866E05" w:rsidRPr="00225D10">
        <w:t xml:space="preserve">in </w:t>
      </w:r>
      <w:r w:rsidRPr="00225D10">
        <w:t>relics dotted throughout the landscape. The bulk of Victoria’s accessible gold rush localities are in the Loddon</w:t>
      </w:r>
      <w:r w:rsidR="00866E05" w:rsidRPr="00225D10">
        <w:t xml:space="preserve"> </w:t>
      </w:r>
      <w:r w:rsidRPr="00225D10">
        <w:t xml:space="preserve">Mallee </w:t>
      </w:r>
      <w:r w:rsidR="00866E05" w:rsidRPr="00225D10">
        <w:t xml:space="preserve">South </w:t>
      </w:r>
      <w:r w:rsidRPr="00225D10">
        <w:t xml:space="preserve">and </w:t>
      </w:r>
      <w:r w:rsidR="00313E62">
        <w:t>Central Highlands</w:t>
      </w:r>
      <w:r w:rsidRPr="00225D10">
        <w:t xml:space="preserve"> regions. </w:t>
      </w:r>
      <w:r w:rsidR="007B5790" w:rsidRPr="00225D10">
        <w:t>G</w:t>
      </w:r>
      <w:r w:rsidR="004175A0" w:rsidRPr="00225D10">
        <w:t>oldfields heritage continues to strongly influence settlement and growth</w:t>
      </w:r>
      <w:r w:rsidR="00EF0E28" w:rsidRPr="00225D10">
        <w:t>.</w:t>
      </w:r>
    </w:p>
    <w:p w:rsidR="00CE37C2" w:rsidRPr="00225D10" w:rsidRDefault="00CE37C2" w:rsidP="00D34F87">
      <w:pPr>
        <w:pStyle w:val="bt"/>
        <w:tabs>
          <w:tab w:val="left" w:pos="8931"/>
        </w:tabs>
      </w:pPr>
      <w:r w:rsidRPr="00225D10">
        <w:t xml:space="preserve">The goldfields heritage is seen as a key opportunity for both the Loddon Mallee </w:t>
      </w:r>
      <w:r w:rsidR="00866E05" w:rsidRPr="00225D10">
        <w:t xml:space="preserve">South </w:t>
      </w:r>
      <w:r w:rsidR="00B52C7D" w:rsidRPr="00225D10">
        <w:t xml:space="preserve">and </w:t>
      </w:r>
      <w:r w:rsidR="00313E62">
        <w:t>Central Highlands</w:t>
      </w:r>
      <w:r w:rsidR="00B52C7D" w:rsidRPr="00225D10">
        <w:t xml:space="preserve"> </w:t>
      </w:r>
      <w:r w:rsidR="00866E05" w:rsidRPr="00225D10">
        <w:t>r</w:t>
      </w:r>
      <w:r w:rsidR="00344AF9" w:rsidRPr="00225D10">
        <w:t>egions</w:t>
      </w:r>
      <w:r w:rsidRPr="00225D10">
        <w:t xml:space="preserve">. The Loddon Mallee and Grampians Regional Development Australia Committees have developed a joint initiative to create worldwide awareness of the area as Australia’s premier heritage region, and to obtain World Heritage listing for the Castlemaine Diggings National Park. The initiative </w:t>
      </w:r>
      <w:r w:rsidR="00866E05" w:rsidRPr="00225D10">
        <w:t>‘</w:t>
      </w:r>
      <w:r w:rsidRPr="00225D10">
        <w:t>Goldfields – Australia’s Premier Heritage Region</w:t>
      </w:r>
      <w:r w:rsidR="00866E05" w:rsidRPr="00225D10">
        <w:t>’</w:t>
      </w:r>
      <w:r w:rsidRPr="00225D10">
        <w:t xml:space="preserve"> looks to promote heritage-based tourism throughout these regions. Heritage tourism is viewed by these regions as a key driver for economic </w:t>
      </w:r>
      <w:r w:rsidRPr="00225D10">
        <w:lastRenderedPageBreak/>
        <w:t>diversification and development, population growth and improved quality of life.</w:t>
      </w:r>
      <w:r w:rsidR="0062261A" w:rsidRPr="00225D10">
        <w:t xml:space="preserve"> The continuing protection and development of heritage assets will advance tourism, settlement and economic diversification.   </w:t>
      </w:r>
    </w:p>
    <w:p w:rsidR="00B52C7D" w:rsidRPr="00225D10" w:rsidRDefault="00B52C7D" w:rsidP="00D34F87">
      <w:pPr>
        <w:pStyle w:val="bt"/>
        <w:tabs>
          <w:tab w:val="left" w:pos="8931"/>
        </w:tabs>
      </w:pPr>
      <w:r w:rsidRPr="00225D10">
        <w:t>Many tourists seek heritage and nature-based tourism experiences. History, heritage places and Aboriginal community organisations</w:t>
      </w:r>
      <w:r w:rsidR="00924695">
        <w:t xml:space="preserve"> and </w:t>
      </w:r>
      <w:r w:rsidRPr="00225D10">
        <w:t>enterprises contribute to regional economies and employment through</w:t>
      </w:r>
      <w:r w:rsidR="00866E05" w:rsidRPr="00225D10">
        <w:t>:</w:t>
      </w:r>
      <w:r w:rsidRPr="00225D10">
        <w:t xml:space="preserve"> expenditure and job creation; inward migration of creative, skilled and entrepreneurial/high income households; and enhancing the quality and diversity of the service sector.</w:t>
      </w:r>
    </w:p>
    <w:p w:rsidR="00A6052F" w:rsidRDefault="0076268B" w:rsidP="00D34F87">
      <w:pPr>
        <w:pStyle w:val="bt"/>
        <w:tabs>
          <w:tab w:val="left" w:pos="8931"/>
        </w:tabs>
        <w:sectPr w:rsidR="00A6052F" w:rsidSect="0028534E">
          <w:type w:val="continuous"/>
          <w:pgSz w:w="11907" w:h="16839" w:code="9"/>
          <w:pgMar w:top="425" w:right="708" w:bottom="993" w:left="1077" w:header="709" w:footer="709" w:gutter="0"/>
          <w:cols w:space="720"/>
          <w:docGrid w:linePitch="360"/>
        </w:sectPr>
      </w:pPr>
      <w:r>
        <w:t>C</w:t>
      </w:r>
      <w:r w:rsidR="00B52C7D" w:rsidRPr="00225D10">
        <w:t xml:space="preserve">ultural heritage is protected by the </w:t>
      </w:r>
      <w:r w:rsidR="00B52C7D" w:rsidRPr="00225D10">
        <w:rPr>
          <w:i/>
        </w:rPr>
        <w:t>Aboriginal Heritage Act 2006</w:t>
      </w:r>
      <w:r w:rsidR="00B52C7D" w:rsidRPr="00225D10">
        <w:t xml:space="preserve"> and the </w:t>
      </w:r>
      <w:r w:rsidR="00B52C7D" w:rsidRPr="00225D10">
        <w:rPr>
          <w:i/>
        </w:rPr>
        <w:t>Heritage Act 1995</w:t>
      </w:r>
      <w:r w:rsidR="00B52C7D" w:rsidRPr="00225D10">
        <w:t xml:space="preserve">. The </w:t>
      </w:r>
      <w:r w:rsidR="00B52C7D" w:rsidRPr="00225D10">
        <w:rPr>
          <w:i/>
        </w:rPr>
        <w:t>Planning and Environment Act 1987</w:t>
      </w:r>
      <w:r w:rsidR="00B52C7D" w:rsidRPr="00225D10">
        <w:t xml:space="preserve"> requires that state and local government planning take cultural heritage and its management into account. Cultural heritage is both fragile and non-renewable </w:t>
      </w:r>
      <w:r w:rsidR="00D421AD">
        <w:t>and</w:t>
      </w:r>
      <w:r w:rsidR="00B52C7D" w:rsidRPr="00225D10">
        <w:t xml:space="preserve"> cannot be easily relocated, restored or replaced.</w:t>
      </w:r>
    </w:p>
    <w:p w:rsidR="0092669D" w:rsidRDefault="00A6052F" w:rsidP="00D34F87">
      <w:pPr>
        <w:pStyle w:val="Caption"/>
        <w:tabs>
          <w:tab w:val="left" w:pos="8931"/>
        </w:tabs>
      </w:pPr>
      <w:bookmarkStart w:id="103" w:name="_Ref353526664"/>
      <w:r>
        <w:rPr>
          <w:noProof/>
        </w:rPr>
        <w:lastRenderedPageBreak/>
        <w:drawing>
          <wp:anchor distT="0" distB="0" distL="114300" distR="114300" simplePos="0" relativeHeight="251686912" behindDoc="0" locked="0" layoutInCell="1" allowOverlap="1">
            <wp:simplePos x="0" y="0"/>
            <wp:positionH relativeFrom="column">
              <wp:posOffset>48895</wp:posOffset>
            </wp:positionH>
            <wp:positionV relativeFrom="paragraph">
              <wp:posOffset>377825</wp:posOffset>
            </wp:positionV>
            <wp:extent cx="7931785" cy="5245100"/>
            <wp:effectExtent l="19050" t="0" r="0" b="0"/>
            <wp:wrapTopAndBottom/>
            <wp:docPr id="14" name="Picture 2" descr="Map of cultural heritage in Loddon Malle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DPCD Permanent All Staff\Regional Growth Plans\Phase 5 LMS RGP Products\LMS Background Report\Replacement maps\Map22_Pg34 LMS Cultural Heritage_21November2013.jpg"/>
                    <pic:cNvPicPr>
                      <a:picLocks noChangeAspect="1" noChangeArrowheads="1"/>
                    </pic:cNvPicPr>
                  </pic:nvPicPr>
                  <pic:blipFill>
                    <a:blip r:embed="rId32" cstate="email"/>
                    <a:srcRect/>
                    <a:stretch>
                      <a:fillRect/>
                    </a:stretch>
                  </pic:blipFill>
                  <pic:spPr bwMode="auto">
                    <a:xfrm>
                      <a:off x="0" y="0"/>
                      <a:ext cx="7931785" cy="5245100"/>
                    </a:xfrm>
                    <a:prstGeom prst="rect">
                      <a:avLst/>
                    </a:prstGeom>
                    <a:noFill/>
                    <a:ln w="9525">
                      <a:noFill/>
                      <a:miter lim="800000"/>
                      <a:headEnd/>
                      <a:tailEnd/>
                    </a:ln>
                  </pic:spPr>
                </pic:pic>
              </a:graphicData>
            </a:graphic>
          </wp:anchor>
        </w:drawing>
      </w:r>
      <w:bookmarkStart w:id="104" w:name="_Toc374530817"/>
      <w:r w:rsidR="005F2D35" w:rsidRPr="0037462C">
        <w:t xml:space="preserve">Figure </w:t>
      </w:r>
      <w:r w:rsidR="00680EEE">
        <w:fldChar w:fldCharType="begin"/>
      </w:r>
      <w:r w:rsidR="00680EEE">
        <w:instrText xml:space="preserve"> SEQ Figure \* ARABIC </w:instrText>
      </w:r>
      <w:r w:rsidR="00680EEE">
        <w:fldChar w:fldCharType="separate"/>
      </w:r>
      <w:r w:rsidR="00EF1401">
        <w:rPr>
          <w:noProof/>
        </w:rPr>
        <w:t>22</w:t>
      </w:r>
      <w:r w:rsidR="00680EEE">
        <w:rPr>
          <w:noProof/>
        </w:rPr>
        <w:fldChar w:fldCharType="end"/>
      </w:r>
      <w:bookmarkEnd w:id="103"/>
      <w:r w:rsidR="00377F5C">
        <w:t xml:space="preserve">: </w:t>
      </w:r>
      <w:r w:rsidR="005F2D35" w:rsidRPr="0037462C">
        <w:t>Cultural heritage</w:t>
      </w:r>
      <w:bookmarkEnd w:id="104"/>
    </w:p>
    <w:p w:rsidR="00A6052F" w:rsidRDefault="00D3160D" w:rsidP="00D34F87">
      <w:pPr>
        <w:pStyle w:val="Source"/>
        <w:tabs>
          <w:tab w:val="left" w:pos="8931"/>
        </w:tabs>
        <w:sectPr w:rsidR="00A6052F" w:rsidSect="00A6052F">
          <w:pgSz w:w="16839" w:h="11907" w:orient="landscape" w:code="9"/>
          <w:pgMar w:top="1077" w:right="425" w:bottom="708" w:left="993" w:header="709" w:footer="709" w:gutter="0"/>
          <w:cols w:space="720"/>
          <w:docGrid w:linePitch="360"/>
        </w:sectPr>
      </w:pPr>
      <w:r>
        <w:t xml:space="preserve">Source: </w:t>
      </w:r>
      <w:r w:rsidR="00CF7800">
        <w:t>Office of Aboriginal Affairs and Heritage Victoria</w:t>
      </w:r>
    </w:p>
    <w:p w:rsidR="00E8192C" w:rsidRPr="00225D10" w:rsidRDefault="00267D13" w:rsidP="00655244">
      <w:pPr>
        <w:pStyle w:val="Heading3"/>
      </w:pPr>
      <w:bookmarkStart w:id="105" w:name="_Toc371951913"/>
      <w:bookmarkStart w:id="106" w:name="_Toc372889293"/>
      <w:bookmarkStart w:id="107" w:name="_Toc374530871"/>
      <w:r w:rsidRPr="00225D10">
        <w:lastRenderedPageBreak/>
        <w:t>Significant landscapes</w:t>
      </w:r>
      <w:bookmarkEnd w:id="105"/>
      <w:bookmarkEnd w:id="106"/>
      <w:bookmarkEnd w:id="107"/>
      <w:r w:rsidRPr="00225D10">
        <w:t xml:space="preserve"> </w:t>
      </w:r>
    </w:p>
    <w:p w:rsidR="005F2D35" w:rsidRDefault="00CE37C2" w:rsidP="00D34F87">
      <w:pPr>
        <w:pStyle w:val="bt"/>
        <w:tabs>
          <w:tab w:val="left" w:pos="8931"/>
        </w:tabs>
        <w:rPr>
          <w:rFonts w:cs="Calibri"/>
        </w:rPr>
      </w:pPr>
      <w:r w:rsidRPr="00225D10">
        <w:t>Landscapes may be deemed significant for a combination of historic, aesthetic, scientific, religious and social reasons</w:t>
      </w:r>
      <w:r w:rsidR="00411370" w:rsidRPr="00225D10">
        <w:t>,</w:t>
      </w:r>
      <w:r w:rsidRPr="00225D10">
        <w:t xml:space="preserve"> where these landscapes are deemed integral to the amenity of the area.</w:t>
      </w:r>
      <w:r w:rsidR="00F354B3" w:rsidRPr="00225D10">
        <w:t xml:space="preserve"> </w:t>
      </w:r>
      <w:r w:rsidRPr="00225D10">
        <w:t xml:space="preserve">There are many significant landscapes in the </w:t>
      </w:r>
      <w:r w:rsidR="00411370" w:rsidRPr="00225D10">
        <w:t xml:space="preserve">Loddon Mallee South </w:t>
      </w:r>
      <w:r w:rsidRPr="00225D10">
        <w:t xml:space="preserve">region. </w:t>
      </w:r>
      <w:r w:rsidR="00411370" w:rsidRPr="00225D10">
        <w:t>S</w:t>
      </w:r>
      <w:r w:rsidRPr="00225D10">
        <w:t>tand</w:t>
      </w:r>
      <w:r w:rsidR="00411370" w:rsidRPr="00225D10">
        <w:t>-</w:t>
      </w:r>
      <w:r w:rsidRPr="00225D10">
        <w:t xml:space="preserve">out </w:t>
      </w:r>
      <w:r w:rsidR="00411370" w:rsidRPr="00225D10">
        <w:t xml:space="preserve">areas </w:t>
      </w:r>
      <w:r w:rsidRPr="00225D10">
        <w:t>that are already acknowledged as significant landscapes in planning schemes include the Macedon Ranges, Hanging Rock, the Campaspe River Valley, the Maldon region, mineral springs areas and various geological features (ridges, escarpments and volcano cones).</w:t>
      </w:r>
      <w:r w:rsidR="00F354B3" w:rsidRPr="00225D10">
        <w:t xml:space="preserve"> </w:t>
      </w:r>
      <w:r w:rsidR="00813FAE" w:rsidRPr="00225D10">
        <w:rPr>
          <w:rFonts w:cs="Calibri"/>
        </w:rPr>
        <w:t>Many of these areas of high landscape value are also under pressure for increased rural residential development.</w:t>
      </w:r>
    </w:p>
    <w:p w:rsidR="00216FA6" w:rsidRPr="00225D10" w:rsidRDefault="00813FAE" w:rsidP="00D34F87">
      <w:pPr>
        <w:pStyle w:val="bt"/>
        <w:tabs>
          <w:tab w:val="left" w:pos="8931"/>
        </w:tabs>
      </w:pPr>
      <w:r w:rsidRPr="00225D10">
        <w:t>The development pressures within some highly valued landscapes need to be carefully managed so that development does not detract from the values that have attracted people to these areas (including significant landscapes, water supply catchments, public land and terrestrial habitat).</w:t>
      </w:r>
      <w:r w:rsidR="00A46B0A" w:rsidRPr="00225D10">
        <w:t xml:space="preserve"> </w:t>
      </w:r>
      <w:r w:rsidRPr="00225D10">
        <w:t xml:space="preserve">Many </w:t>
      </w:r>
      <w:r w:rsidR="00411370" w:rsidRPr="00225D10">
        <w:t xml:space="preserve">other parts of </w:t>
      </w:r>
      <w:r w:rsidRPr="00225D10">
        <w:t xml:space="preserve">Victoria have </w:t>
      </w:r>
      <w:r w:rsidR="00411370" w:rsidRPr="00225D10">
        <w:t>benefitted from wide-</w:t>
      </w:r>
      <w:r w:rsidRPr="00225D10">
        <w:t>ranging landscape assessment studies</w:t>
      </w:r>
      <w:r w:rsidR="00D421AD">
        <w:t>, for example,</w:t>
      </w:r>
      <w:r w:rsidR="00411370" w:rsidRPr="00225D10">
        <w:t xml:space="preserve"> </w:t>
      </w:r>
      <w:r w:rsidRPr="00225D10">
        <w:t>the Coastal Spaces and South West Victoria landscape assessment studies. These studies identify significant landscapes, determine their relative significance</w:t>
      </w:r>
      <w:r w:rsidR="00247830">
        <w:t xml:space="preserve">, </w:t>
      </w:r>
      <w:r w:rsidR="00997C90">
        <w:t>for example,</w:t>
      </w:r>
      <w:r w:rsidRPr="00225D10">
        <w:t xml:space="preserve"> national, state, regional, local significance</w:t>
      </w:r>
      <w:r w:rsidR="00247830">
        <w:t>,</w:t>
      </w:r>
      <w:r w:rsidRPr="00225D10">
        <w:t xml:space="preserve"> and consider using policies and guidance in local planning schemes to protect and manage these landscapes into the future. There is the opportunity to identify and protect significant landscapes across the </w:t>
      </w:r>
      <w:r w:rsidR="00411370" w:rsidRPr="00225D10">
        <w:t xml:space="preserve">Loddon Mallee South </w:t>
      </w:r>
      <w:r w:rsidRPr="00225D10">
        <w:t xml:space="preserve">region in a </w:t>
      </w:r>
      <w:r w:rsidR="00411370" w:rsidRPr="00225D10">
        <w:t xml:space="preserve">similar, </w:t>
      </w:r>
      <w:r w:rsidRPr="00225D10">
        <w:t>consistent way. These significant landscapes could help with strategic planning of appropriate locations for future rural residential development.</w:t>
      </w:r>
    </w:p>
    <w:p w:rsidR="00E8192C" w:rsidRPr="00225D10" w:rsidRDefault="00267D13" w:rsidP="00655244">
      <w:pPr>
        <w:pStyle w:val="Heading3"/>
      </w:pPr>
      <w:bookmarkStart w:id="108" w:name="_Toc371951914"/>
      <w:bookmarkStart w:id="109" w:name="_Toc372889294"/>
      <w:bookmarkStart w:id="110" w:name="_Toc374530872"/>
      <w:r w:rsidRPr="00225D10">
        <w:t>Terrestrial habitat</w:t>
      </w:r>
      <w:bookmarkEnd w:id="108"/>
      <w:bookmarkEnd w:id="109"/>
      <w:bookmarkEnd w:id="110"/>
    </w:p>
    <w:p w:rsidR="0016211F" w:rsidRDefault="00CE37C2" w:rsidP="00D34F87">
      <w:pPr>
        <w:pStyle w:val="bt"/>
        <w:tabs>
          <w:tab w:val="left" w:pos="8931"/>
        </w:tabs>
      </w:pPr>
      <w:r w:rsidRPr="00225D10">
        <w:t xml:space="preserve">Native vegetation and habitats </w:t>
      </w:r>
      <w:r w:rsidR="00813FAE" w:rsidRPr="00225D10">
        <w:t xml:space="preserve">(terrestrial habitat) </w:t>
      </w:r>
      <w:r w:rsidRPr="00225D10">
        <w:t xml:space="preserve">are important as they provide a range of </w:t>
      </w:r>
      <w:r w:rsidR="00D421AD">
        <w:t>values</w:t>
      </w:r>
      <w:r w:rsidR="00D421AD" w:rsidRPr="00225D10">
        <w:t xml:space="preserve"> </w:t>
      </w:r>
      <w:r w:rsidRPr="00225D10">
        <w:t>(such as filtering nutrients, habitat regeneration</w:t>
      </w:r>
      <w:r w:rsidR="00411370" w:rsidRPr="00225D10">
        <w:t xml:space="preserve"> and</w:t>
      </w:r>
      <w:r w:rsidRPr="00225D10">
        <w:t xml:space="preserve"> climate regulation) that underpin the health of land and water, flora and fauna, and natural communities. </w:t>
      </w:r>
      <w:r w:rsidR="00813FAE" w:rsidRPr="00225D10">
        <w:t>Terrestrial habitats</w:t>
      </w:r>
      <w:r w:rsidRPr="00225D10">
        <w:t xml:space="preserve"> help </w:t>
      </w:r>
      <w:r w:rsidR="00411370" w:rsidRPr="00225D10">
        <w:t xml:space="preserve">by </w:t>
      </w:r>
      <w:r w:rsidRPr="00225D10">
        <w:t>providing clean water, carbon sequestration, timber, firewood and the health of soils. They also provide important spiritual and aesthetic values at various scales and are a key to many of the tourism values in the region.</w:t>
      </w:r>
      <w:r w:rsidR="006A642F" w:rsidRPr="00225D10">
        <w:t xml:space="preserve"> </w:t>
      </w:r>
      <w:r w:rsidRPr="00225D10">
        <w:t xml:space="preserve">Loss of habitat </w:t>
      </w:r>
      <w:r w:rsidR="00411370" w:rsidRPr="00225D10">
        <w:t>(</w:t>
      </w:r>
      <w:r w:rsidRPr="00225D10">
        <w:t>extent and quality</w:t>
      </w:r>
      <w:r w:rsidR="00411370" w:rsidRPr="00225D10">
        <w:t>)</w:t>
      </w:r>
      <w:r w:rsidRPr="00225D10">
        <w:t xml:space="preserve"> through clearing of native vegetation, or from other threatening processes for urban and rural purposes has been, and continues to be, a significant threat to native vegetation and habitats across Victoria.</w:t>
      </w:r>
    </w:p>
    <w:p w:rsidR="0016211F" w:rsidRDefault="00CE37C2" w:rsidP="00D34F87">
      <w:pPr>
        <w:pStyle w:val="bt"/>
        <w:tabs>
          <w:tab w:val="left" w:pos="8931"/>
        </w:tabs>
      </w:pPr>
      <w:r w:rsidRPr="0048056A">
        <w:t xml:space="preserve">The </w:t>
      </w:r>
      <w:r w:rsidR="00411370" w:rsidRPr="0048056A">
        <w:t>c</w:t>
      </w:r>
      <w:r w:rsidRPr="0048056A">
        <w:t xml:space="preserve">atchment </w:t>
      </w:r>
      <w:r w:rsidR="00411370" w:rsidRPr="0048056A">
        <w:t>m</w:t>
      </w:r>
      <w:r w:rsidRPr="0048056A">
        <w:t xml:space="preserve">anagement </w:t>
      </w:r>
      <w:r w:rsidR="00411370" w:rsidRPr="0048056A">
        <w:t>a</w:t>
      </w:r>
      <w:r w:rsidRPr="0048056A">
        <w:t xml:space="preserve">uthorities in the region have identified the highest value native vegetation and habitat assets within each of their boundaries. Each </w:t>
      </w:r>
      <w:r w:rsidR="00247830">
        <w:t>catchment management authority</w:t>
      </w:r>
      <w:r w:rsidR="00247830" w:rsidRPr="0048056A">
        <w:t xml:space="preserve"> </w:t>
      </w:r>
      <w:r w:rsidRPr="0048056A">
        <w:t xml:space="preserve">across Victoria has identified their highest value native vegetation and habitat assets using different methodologies. For consistency across the </w:t>
      </w:r>
      <w:r w:rsidR="007C5534">
        <w:t>regional growth plan</w:t>
      </w:r>
      <w:r w:rsidRPr="0048056A">
        <w:t xml:space="preserve">s, </w:t>
      </w:r>
      <w:r w:rsidR="00411370" w:rsidRPr="0048056A">
        <w:t xml:space="preserve">the Department of </w:t>
      </w:r>
      <w:r w:rsidR="00247830">
        <w:t>Transport, Planning and Local Infrastructure</w:t>
      </w:r>
      <w:r w:rsidR="00411370" w:rsidRPr="0048056A">
        <w:t xml:space="preserve"> </w:t>
      </w:r>
      <w:r w:rsidRPr="0048056A">
        <w:t xml:space="preserve">has used the highest three levels of </w:t>
      </w:r>
      <w:r w:rsidR="00411370" w:rsidRPr="0048056A">
        <w:t xml:space="preserve">the Department of </w:t>
      </w:r>
      <w:r w:rsidR="00924695">
        <w:t>Environment and Primary Industry’s</w:t>
      </w:r>
      <w:r w:rsidR="00411370" w:rsidRPr="0048056A">
        <w:t xml:space="preserve"> </w:t>
      </w:r>
      <w:r w:rsidRPr="0048056A">
        <w:t>NaturePrint v2.0</w:t>
      </w:r>
      <w:r w:rsidRPr="0048056A">
        <w:rPr>
          <w:vertAlign w:val="superscript"/>
        </w:rPr>
        <w:footnoteReference w:id="19"/>
      </w:r>
      <w:r w:rsidRPr="0048056A">
        <w:t xml:space="preserve"> mapping to identify significant clusters of vegetation across the state (</w:t>
      </w:r>
      <w:r w:rsidR="00247830">
        <w:t>r</w:t>
      </w:r>
      <w:r w:rsidR="00247830" w:rsidRPr="0048056A">
        <w:t xml:space="preserve">efer </w:t>
      </w:r>
      <w:r w:rsidRPr="0048056A">
        <w:t>to</w:t>
      </w:r>
      <w:r w:rsidR="0048056A" w:rsidRPr="0048056A">
        <w:t xml:space="preserve"> </w:t>
      </w:r>
      <w:r w:rsidR="00680EEE">
        <w:fldChar w:fldCharType="begin"/>
      </w:r>
      <w:r w:rsidR="00680EEE">
        <w:instrText xml:space="preserve"> REF _Ref353353385 \h  \* MERGEFORMAT </w:instrText>
      </w:r>
      <w:r w:rsidR="00680EEE">
        <w:fldChar w:fldCharType="separate"/>
      </w:r>
      <w:r w:rsidR="00EF1401" w:rsidRPr="00225D10">
        <w:t xml:space="preserve">Figure </w:t>
      </w:r>
      <w:r w:rsidR="00EF1401">
        <w:rPr>
          <w:noProof/>
        </w:rPr>
        <w:t>23</w:t>
      </w:r>
      <w:r w:rsidR="00680EEE">
        <w:fldChar w:fldCharType="end"/>
      </w:r>
      <w:r w:rsidR="0048056A" w:rsidRPr="0048056A">
        <w:t xml:space="preserve">). These align very closely to the biodiversity assets identified by the North Central </w:t>
      </w:r>
      <w:r w:rsidR="00247830">
        <w:t>Catchment Management Authority</w:t>
      </w:r>
      <w:r w:rsidR="0048056A" w:rsidRPr="0048056A">
        <w:t xml:space="preserve">, which were identified using the INFFER </w:t>
      </w:r>
      <w:r w:rsidR="00216501" w:rsidRPr="0048056A">
        <w:t>methodology</w:t>
      </w:r>
      <w:r w:rsidR="00D421AD">
        <w:rPr>
          <w:rStyle w:val="FootnoteReference"/>
        </w:rPr>
        <w:footnoteReference w:id="20"/>
      </w:r>
      <w:r w:rsidR="00216501" w:rsidRPr="0048056A">
        <w:t xml:space="preserve"> in</w:t>
      </w:r>
      <w:r w:rsidR="0048056A" w:rsidRPr="0048056A">
        <w:t xml:space="preserve"> conjunction with NaturePrint to identify priorities for investment (also shown in </w:t>
      </w:r>
      <w:r w:rsidR="00680EEE">
        <w:fldChar w:fldCharType="begin"/>
      </w:r>
      <w:r w:rsidR="00680EEE">
        <w:instrText xml:space="preserve"> REF _Ref353353385 \h  \* MERGEFORMAT </w:instrText>
      </w:r>
      <w:r w:rsidR="00680EEE">
        <w:fldChar w:fldCharType="separate"/>
      </w:r>
      <w:r w:rsidR="00EF1401" w:rsidRPr="00225D10">
        <w:t xml:space="preserve">Figure </w:t>
      </w:r>
      <w:r w:rsidR="00EF1401">
        <w:rPr>
          <w:noProof/>
        </w:rPr>
        <w:t>23</w:t>
      </w:r>
      <w:r w:rsidR="00680EEE">
        <w:fldChar w:fldCharType="end"/>
      </w:r>
      <w:r w:rsidR="0048056A" w:rsidRPr="0048056A">
        <w:t>).</w:t>
      </w:r>
    </w:p>
    <w:p w:rsidR="0016211F" w:rsidRDefault="006D6217" w:rsidP="00D34F87">
      <w:pPr>
        <w:pStyle w:val="bt"/>
        <w:tabs>
          <w:tab w:val="left" w:pos="8931"/>
        </w:tabs>
      </w:pPr>
      <w:r w:rsidRPr="00225D10">
        <w:t xml:space="preserve">There are numerous individual plant and animal threatened species that occur in the </w:t>
      </w:r>
      <w:r w:rsidR="00411370" w:rsidRPr="00225D10">
        <w:t xml:space="preserve">Loddon Mallee South </w:t>
      </w:r>
      <w:r w:rsidRPr="00225D10">
        <w:t xml:space="preserve">region, however they are too many and their locations too specific to be considered and mapped </w:t>
      </w:r>
      <w:r w:rsidR="00924695">
        <w:t>at</w:t>
      </w:r>
      <w:r w:rsidRPr="00225D10">
        <w:t xml:space="preserve"> a </w:t>
      </w:r>
      <w:r w:rsidR="00247830">
        <w:t>r</w:t>
      </w:r>
      <w:r w:rsidR="00247830" w:rsidRPr="00225D10">
        <w:t xml:space="preserve">egional </w:t>
      </w:r>
      <w:r w:rsidR="00924695">
        <w:t>scale.</w:t>
      </w:r>
      <w:r w:rsidRPr="00225D10">
        <w:t xml:space="preserve"> Threatened plant and animal communities are considered sufficiently captured </w:t>
      </w:r>
      <w:r w:rsidR="00924695">
        <w:t>at a broad level by</w:t>
      </w:r>
      <w:r w:rsidRPr="00225D10">
        <w:t xml:space="preserve"> NaturePrint for regional-scale planning. Finer scale planning</w:t>
      </w:r>
      <w:r w:rsidR="00D421AD">
        <w:t>, for example,</w:t>
      </w:r>
      <w:r w:rsidRPr="00225D10">
        <w:t xml:space="preserve"> precinct structure plans or individual planning assessments</w:t>
      </w:r>
      <w:r w:rsidR="00D421AD">
        <w:t>,</w:t>
      </w:r>
      <w:r w:rsidRPr="00225D10">
        <w:t xml:space="preserve"> should always consider threatened species and communities appropriately.</w:t>
      </w:r>
    </w:p>
    <w:p w:rsidR="0016211F" w:rsidRDefault="00CE37C2" w:rsidP="00D34F87">
      <w:pPr>
        <w:pStyle w:val="bt"/>
        <w:tabs>
          <w:tab w:val="left" w:pos="8931"/>
        </w:tabs>
      </w:pPr>
      <w:r w:rsidRPr="00225D10">
        <w:t>Natural resource management activities within the region include actions to protect the high value habitat assets</w:t>
      </w:r>
      <w:r w:rsidR="00D421AD">
        <w:t>,</w:t>
      </w:r>
      <w:r w:rsidRPr="00225D10">
        <w:t xml:space="preserve"> along with waterway, wetland and soil assets. These activities involve actions on both public and private land, but have limited </w:t>
      </w:r>
      <w:r w:rsidRPr="00225D10">
        <w:lastRenderedPageBreak/>
        <w:t>strategic land use (zoning) planning interaction.</w:t>
      </w:r>
      <w:r w:rsidR="00292720" w:rsidRPr="00225D10">
        <w:t xml:space="preserve"> There are also emerging economic opportunities on private land centred on environmental values</w:t>
      </w:r>
      <w:r w:rsidR="00D421AD">
        <w:t>,</w:t>
      </w:r>
      <w:r w:rsidR="00292720" w:rsidRPr="00225D10">
        <w:t xml:space="preserve"> such as in carbon markets, offset markets</w:t>
      </w:r>
      <w:r w:rsidR="00D421AD">
        <w:t xml:space="preserve"> and providing ecosystem services through market based approaches</w:t>
      </w:r>
      <w:r w:rsidR="00F72376">
        <w:t>.</w:t>
      </w:r>
      <w:r w:rsidR="00D421AD">
        <w:rPr>
          <w:rStyle w:val="FootnoteReference"/>
        </w:rPr>
        <w:footnoteReference w:id="21"/>
      </w:r>
    </w:p>
    <w:p w:rsidR="0016211F" w:rsidRDefault="00CE37C2" w:rsidP="00D34F87">
      <w:pPr>
        <w:pStyle w:val="bt"/>
        <w:tabs>
          <w:tab w:val="left" w:pos="8931"/>
        </w:tabs>
      </w:pPr>
      <w:r w:rsidRPr="00225D10">
        <w:t xml:space="preserve">Natural resource management activities in the region will also include actions to increase the vegetation within the region by creating vegetation corridors in strategic areas. The preferred locations for these corridors may overlap with areas that may experience a future change in land use or a change in industry. There is the opportunity to coordinate planning of the locations of these activities to maximise </w:t>
      </w:r>
      <w:r w:rsidR="000165D7" w:rsidRPr="00225D10">
        <w:t xml:space="preserve">potential </w:t>
      </w:r>
      <w:r w:rsidRPr="00225D10">
        <w:t xml:space="preserve">benefits. It is not likely that local government or </w:t>
      </w:r>
      <w:r w:rsidR="000165D7" w:rsidRPr="00225D10">
        <w:t xml:space="preserve">the Department of </w:t>
      </w:r>
      <w:r w:rsidR="007735BF">
        <w:t xml:space="preserve">Transport, </w:t>
      </w:r>
      <w:r w:rsidR="000165D7" w:rsidRPr="00225D10">
        <w:t>Planning and</w:t>
      </w:r>
      <w:r w:rsidR="00247830">
        <w:t xml:space="preserve"> Local</w:t>
      </w:r>
      <w:r w:rsidR="000165D7" w:rsidRPr="00225D10">
        <w:t xml:space="preserve"> </w:t>
      </w:r>
      <w:r w:rsidR="007735BF">
        <w:t>Infrastructure</w:t>
      </w:r>
      <w:r w:rsidR="000165D7" w:rsidRPr="00225D10">
        <w:t xml:space="preserve"> </w:t>
      </w:r>
      <w:r w:rsidR="006219C9" w:rsidRPr="00225D10">
        <w:t xml:space="preserve">would </w:t>
      </w:r>
      <w:r w:rsidRPr="00225D10">
        <w:t xml:space="preserve">lead many of these activities, but </w:t>
      </w:r>
      <w:r w:rsidR="006219C9" w:rsidRPr="00225D10">
        <w:t xml:space="preserve">it would be beneficial </w:t>
      </w:r>
      <w:r w:rsidR="00924695">
        <w:t xml:space="preserve">for them </w:t>
      </w:r>
      <w:r w:rsidR="006219C9" w:rsidRPr="00225D10">
        <w:t xml:space="preserve">to </w:t>
      </w:r>
      <w:r w:rsidRPr="00225D10">
        <w:t>collaborat</w:t>
      </w:r>
      <w:r w:rsidR="006219C9" w:rsidRPr="00225D10">
        <w:t xml:space="preserve">e with </w:t>
      </w:r>
      <w:r w:rsidR="00924695">
        <w:t>other</w:t>
      </w:r>
      <w:r w:rsidR="00857D3D" w:rsidRPr="00225D10">
        <w:t xml:space="preserve"> agencies</w:t>
      </w:r>
      <w:r w:rsidR="00924695">
        <w:t>, such as catchment</w:t>
      </w:r>
      <w:r w:rsidRPr="00225D10">
        <w:t xml:space="preserve"> management </w:t>
      </w:r>
      <w:r w:rsidR="00924695">
        <w:t>authorities</w:t>
      </w:r>
      <w:r w:rsidR="00E74B19">
        <w:t>,</w:t>
      </w:r>
      <w:r w:rsidR="00924695">
        <w:t xml:space="preserve"> on preferred locations to target natural resource management initiatives.</w:t>
      </w:r>
      <w:r w:rsidRPr="00225D10">
        <w:t xml:space="preserve"> Careful consideration </w:t>
      </w:r>
      <w:r w:rsidR="006219C9" w:rsidRPr="00225D10">
        <w:t xml:space="preserve">would </w:t>
      </w:r>
      <w:r w:rsidRPr="00225D10">
        <w:t xml:space="preserve">need to be given to the preferred locations of vegetation corridors in light of other regional plans. This </w:t>
      </w:r>
      <w:r w:rsidR="006219C9" w:rsidRPr="00225D10">
        <w:t xml:space="preserve">would </w:t>
      </w:r>
      <w:r w:rsidRPr="00225D10">
        <w:t>include consideration of the balance of values and the environmental hazards that may change as a result of these corridors being established</w:t>
      </w:r>
      <w:r w:rsidR="002A24A9">
        <w:t>,</w:t>
      </w:r>
      <w:r w:rsidRPr="00225D10">
        <w:t xml:space="preserve"> </w:t>
      </w:r>
      <w:r w:rsidR="002A24A9">
        <w:t>for</w:t>
      </w:r>
      <w:r w:rsidR="006219C9" w:rsidRPr="00225D10">
        <w:t xml:space="preserve"> </w:t>
      </w:r>
      <w:r w:rsidR="002A24A9">
        <w:t xml:space="preserve">example, </w:t>
      </w:r>
      <w:r w:rsidRPr="00225D10">
        <w:t xml:space="preserve">increasing </w:t>
      </w:r>
      <w:r w:rsidR="002A24A9">
        <w:t>bush</w:t>
      </w:r>
      <w:r w:rsidRPr="00225D10">
        <w:t>fire or flood risk.</w:t>
      </w:r>
    </w:p>
    <w:p w:rsidR="008574D0" w:rsidRDefault="006D6217" w:rsidP="00D34F87">
      <w:pPr>
        <w:pStyle w:val="bt"/>
        <w:tabs>
          <w:tab w:val="left" w:pos="8931"/>
        </w:tabs>
      </w:pPr>
      <w:r w:rsidRPr="00225D10">
        <w:t xml:space="preserve">Planning tools such as </w:t>
      </w:r>
      <w:r w:rsidR="00E74B19">
        <w:t>the E</w:t>
      </w:r>
      <w:r w:rsidRPr="00225D10">
        <w:t>nvironment</w:t>
      </w:r>
      <w:r w:rsidR="00E74B19">
        <w:t>al</w:t>
      </w:r>
      <w:r w:rsidRPr="00225D10">
        <w:t xml:space="preserve"> </w:t>
      </w:r>
      <w:r w:rsidR="00E74B19">
        <w:t>S</w:t>
      </w:r>
      <w:r w:rsidRPr="00225D10">
        <w:t xml:space="preserve">ignificance </w:t>
      </w:r>
      <w:r w:rsidR="00EC6C49">
        <w:t>Overlay</w:t>
      </w:r>
      <w:r w:rsidRPr="00225D10">
        <w:t xml:space="preserve"> and </w:t>
      </w:r>
      <w:r w:rsidR="00E74B19">
        <w:t>the V</w:t>
      </w:r>
      <w:r w:rsidRPr="00225D10">
        <w:t xml:space="preserve">egetation </w:t>
      </w:r>
      <w:r w:rsidR="00E74B19">
        <w:t>P</w:t>
      </w:r>
      <w:r w:rsidRPr="00225D10">
        <w:t xml:space="preserve">rotection </w:t>
      </w:r>
      <w:r w:rsidR="00E74B19">
        <w:t>O</w:t>
      </w:r>
      <w:r w:rsidRPr="00225D10">
        <w:t xml:space="preserve">verlay are used across the </w:t>
      </w:r>
      <w:r w:rsidR="006219C9" w:rsidRPr="00225D10">
        <w:t xml:space="preserve">Loddon Mallee South </w:t>
      </w:r>
      <w:r w:rsidRPr="00225D10">
        <w:t>region to identify where the development of land may be affected by environmental constraints, to protect environmental values</w:t>
      </w:r>
      <w:r w:rsidR="00247830">
        <w:t>,</w:t>
      </w:r>
      <w:r w:rsidRPr="00225D10">
        <w:t xml:space="preserve"> including significant native vegetation</w:t>
      </w:r>
      <w:r w:rsidR="00857D3D" w:rsidRPr="00225D10">
        <w:t>,</w:t>
      </w:r>
      <w:r w:rsidRPr="00225D10">
        <w:t xml:space="preserve"> and to ensure that development is compatible with identified environmental values.</w:t>
      </w:r>
      <w:bookmarkStart w:id="111" w:name="_Ref352165627"/>
    </w:p>
    <w:p w:rsidR="00CE30C7" w:rsidRDefault="001B459D" w:rsidP="00D34F87">
      <w:pPr>
        <w:pStyle w:val="Caption"/>
        <w:tabs>
          <w:tab w:val="left" w:pos="8931"/>
        </w:tabs>
        <w:spacing w:before="120"/>
      </w:pPr>
      <w:bookmarkStart w:id="112" w:name="_Ref353353385"/>
      <w:bookmarkStart w:id="113" w:name="_Toc374530818"/>
      <w:r>
        <w:rPr>
          <w:noProof/>
        </w:rPr>
        <w:drawing>
          <wp:anchor distT="0" distB="0" distL="114300" distR="114300" simplePos="0" relativeHeight="251664384" behindDoc="0" locked="0" layoutInCell="1" allowOverlap="1">
            <wp:simplePos x="0" y="0"/>
            <wp:positionH relativeFrom="column">
              <wp:posOffset>-17145</wp:posOffset>
            </wp:positionH>
            <wp:positionV relativeFrom="paragraph">
              <wp:posOffset>415925</wp:posOffset>
            </wp:positionV>
            <wp:extent cx="6734810" cy="4584700"/>
            <wp:effectExtent l="19050" t="0" r="8890" b="0"/>
            <wp:wrapTopAndBottom/>
            <wp:docPr id="17" name="Picture 1" descr="Map showing terrestrial habitat assets of the region, reflected through native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IS\RGP\LMS\LMS_terrestrial habitat_130813.jpg"/>
                    <pic:cNvPicPr>
                      <a:picLocks noChangeAspect="1" noChangeArrowheads="1"/>
                    </pic:cNvPicPr>
                  </pic:nvPicPr>
                  <pic:blipFill>
                    <a:blip r:embed="rId33" cstate="email"/>
                    <a:srcRect/>
                    <a:stretch>
                      <a:fillRect/>
                    </a:stretch>
                  </pic:blipFill>
                  <pic:spPr bwMode="auto">
                    <a:xfrm>
                      <a:off x="0" y="0"/>
                      <a:ext cx="6734810" cy="4584700"/>
                    </a:xfrm>
                    <a:prstGeom prst="rect">
                      <a:avLst/>
                    </a:prstGeom>
                    <a:noFill/>
                    <a:ln w="9525">
                      <a:noFill/>
                      <a:miter lim="800000"/>
                      <a:headEnd/>
                      <a:tailEnd/>
                    </a:ln>
                  </pic:spPr>
                </pic:pic>
              </a:graphicData>
            </a:graphic>
          </wp:anchor>
        </w:drawing>
      </w:r>
      <w:r w:rsidR="00CE30C7" w:rsidRPr="00225D10">
        <w:t xml:space="preserve">Figure </w:t>
      </w:r>
      <w:r w:rsidR="00162534">
        <w:fldChar w:fldCharType="begin"/>
      </w:r>
      <w:r w:rsidR="00154847">
        <w:instrText xml:space="preserve"> SEQ Figure \* ARABIC </w:instrText>
      </w:r>
      <w:r w:rsidR="00162534">
        <w:fldChar w:fldCharType="separate"/>
      </w:r>
      <w:r w:rsidR="00EF1401">
        <w:rPr>
          <w:noProof/>
        </w:rPr>
        <w:t>23</w:t>
      </w:r>
      <w:r w:rsidR="00162534">
        <w:fldChar w:fldCharType="end"/>
      </w:r>
      <w:bookmarkEnd w:id="111"/>
      <w:bookmarkEnd w:id="112"/>
      <w:r w:rsidR="00377F5C">
        <w:t xml:space="preserve">: </w:t>
      </w:r>
      <w:r w:rsidR="00CE30C7" w:rsidRPr="00225D10">
        <w:t>Terrestrial habitat assets of the region, reflected through native vegetation.</w:t>
      </w:r>
      <w:bookmarkEnd w:id="113"/>
    </w:p>
    <w:p w:rsidR="00250500" w:rsidRDefault="00250500" w:rsidP="00D34F87">
      <w:pPr>
        <w:pStyle w:val="Source"/>
        <w:tabs>
          <w:tab w:val="left" w:pos="8931"/>
        </w:tabs>
      </w:pPr>
      <w:r>
        <w:t>Source: Department of Transport, Planning and Local Infrastructure</w:t>
      </w:r>
    </w:p>
    <w:p w:rsidR="00E8192C" w:rsidRPr="00225D10" w:rsidRDefault="00267D13" w:rsidP="00655244">
      <w:pPr>
        <w:pStyle w:val="Heading3"/>
      </w:pPr>
      <w:bookmarkStart w:id="114" w:name="_Toc352154205"/>
      <w:bookmarkStart w:id="115" w:name="_Toc371951915"/>
      <w:bookmarkStart w:id="116" w:name="_Toc372889295"/>
      <w:bookmarkStart w:id="117" w:name="_Toc374530873"/>
      <w:bookmarkEnd w:id="114"/>
      <w:r w:rsidRPr="00225D10">
        <w:lastRenderedPageBreak/>
        <w:t>Waterways (rivers and wetlands)</w:t>
      </w:r>
      <w:bookmarkEnd w:id="115"/>
      <w:bookmarkEnd w:id="116"/>
      <w:bookmarkEnd w:id="117"/>
    </w:p>
    <w:p w:rsidR="00D379C8" w:rsidRDefault="00CE37C2" w:rsidP="00D34F87">
      <w:pPr>
        <w:pStyle w:val="bt"/>
        <w:tabs>
          <w:tab w:val="left" w:pos="8931"/>
        </w:tabs>
      </w:pPr>
      <w:r w:rsidRPr="00225D10">
        <w:t>Waterways (rivers, wetlands and floodplains) provide the region with its water supply. This water is critical to support the region’s towns, industry and agriculture, as well as the environmental values within and adjacent to the rivers, wetlands and floodplains themselves. Rivers and wetlands are the centre of many social and recreational activities and often associated with Aboriginal heritage sites and historical settlement patterns.</w:t>
      </w:r>
    </w:p>
    <w:p w:rsidR="00D379C8" w:rsidRDefault="00292720" w:rsidP="00D34F87">
      <w:pPr>
        <w:pStyle w:val="bt"/>
        <w:tabs>
          <w:tab w:val="left" w:pos="8931"/>
        </w:tabs>
      </w:pPr>
      <w:r w:rsidRPr="00225D10">
        <w:t>Protecting and improving waterways in Victoria is a long</w:t>
      </w:r>
      <w:r w:rsidR="005471D6" w:rsidRPr="00225D10">
        <w:t>-</w:t>
      </w:r>
      <w:r w:rsidRPr="00225D10">
        <w:t xml:space="preserve">term goal of the </w:t>
      </w:r>
      <w:r w:rsidR="00E74B19">
        <w:t>S</w:t>
      </w:r>
      <w:r w:rsidR="007C5534">
        <w:t xml:space="preserve">tate </w:t>
      </w:r>
      <w:r w:rsidR="00E74B19">
        <w:t>G</w:t>
      </w:r>
      <w:r w:rsidR="007C5534">
        <w:t>overnment</w:t>
      </w:r>
      <w:r w:rsidR="00F72376">
        <w:t>.</w:t>
      </w:r>
      <w:r w:rsidRPr="00225D10">
        <w:rPr>
          <w:vertAlign w:val="superscript"/>
        </w:rPr>
        <w:footnoteReference w:id="22"/>
      </w:r>
      <w:r w:rsidRPr="00225D10">
        <w:t xml:space="preserve"> </w:t>
      </w:r>
      <w:r w:rsidR="00F72376">
        <w:t xml:space="preserve"> </w:t>
      </w:r>
      <w:r w:rsidRPr="00225D10">
        <w:t xml:space="preserve">The management and improvement of waterway assets generally falls to </w:t>
      </w:r>
      <w:r w:rsidR="00247830">
        <w:t>catchment management authorities</w:t>
      </w:r>
      <w:r w:rsidR="00247830" w:rsidRPr="00225D10">
        <w:t xml:space="preserve"> </w:t>
      </w:r>
      <w:r w:rsidRPr="00225D10">
        <w:t>and/or public land managers, often in partnership with private landholders. Many natural resource management activities are aimed at improving the health of waterways. Much of this activity is often focused on improving land management practices.</w:t>
      </w:r>
    </w:p>
    <w:p w:rsidR="00225D10" w:rsidRPr="00225D10" w:rsidRDefault="00CE37C2" w:rsidP="00D34F87">
      <w:pPr>
        <w:pStyle w:val="bt"/>
        <w:tabs>
          <w:tab w:val="left" w:pos="8931"/>
        </w:tabs>
      </w:pPr>
      <w:r w:rsidRPr="00225D10">
        <w:t>The Loddon Mallee South region contains parts of the Avoca, Loddon, Campaspe, Goulburn, Mariby</w:t>
      </w:r>
      <w:r w:rsidR="006B0131" w:rsidRPr="00225D10">
        <w:t>r</w:t>
      </w:r>
      <w:r w:rsidRPr="00225D10">
        <w:t>nong and Werribee</w:t>
      </w:r>
      <w:r w:rsidR="00ED749C" w:rsidRPr="00225D10">
        <w:t xml:space="preserve"> </w:t>
      </w:r>
      <w:proofErr w:type="gramStart"/>
      <w:r w:rsidR="006B0131" w:rsidRPr="00225D10">
        <w:t>r</w:t>
      </w:r>
      <w:r w:rsidRPr="00225D10">
        <w:t>ivers</w:t>
      </w:r>
      <w:proofErr w:type="gramEnd"/>
      <w:r w:rsidRPr="00225D10">
        <w:t xml:space="preserve"> (</w:t>
      </w:r>
      <w:r w:rsidR="00247830">
        <w:t>r</w:t>
      </w:r>
      <w:r w:rsidR="00247830" w:rsidRPr="00225D10">
        <w:t>efer</w:t>
      </w:r>
      <w:r w:rsidR="00247830">
        <w:t xml:space="preserve"> </w:t>
      </w:r>
      <w:r w:rsidR="00147DC1">
        <w:t xml:space="preserve">to </w:t>
      </w:r>
      <w:r w:rsidR="00680EEE">
        <w:fldChar w:fldCharType="begin"/>
      </w:r>
      <w:r w:rsidR="00680EEE">
        <w:instrText xml:space="preserve"> REF _Ref353786770 \h  \* MERGEFORMAT </w:instrText>
      </w:r>
      <w:r w:rsidR="00680EEE">
        <w:fldChar w:fldCharType="separate"/>
      </w:r>
      <w:r w:rsidR="00EF1401">
        <w:t xml:space="preserve">Figure </w:t>
      </w:r>
      <w:r w:rsidR="00EF1401">
        <w:rPr>
          <w:noProof/>
        </w:rPr>
        <w:t>24</w:t>
      </w:r>
      <w:r w:rsidR="00680EEE">
        <w:fldChar w:fldCharType="end"/>
      </w:r>
      <w:r w:rsidR="00147DC1">
        <w:t xml:space="preserve">). </w:t>
      </w:r>
      <w:r w:rsidR="00225D10" w:rsidRPr="00225D10">
        <w:t xml:space="preserve">Each of these catchments contains the main river and its various tributaries. </w:t>
      </w:r>
      <w:r w:rsidR="00F031C7" w:rsidRPr="00225D10">
        <w:t xml:space="preserve">All waterways provide a water supply role to communities with some like the Loddon, Campaspe and </w:t>
      </w:r>
      <w:proofErr w:type="spellStart"/>
      <w:r w:rsidR="00F031C7" w:rsidRPr="00225D10">
        <w:t>Coliban</w:t>
      </w:r>
      <w:proofErr w:type="spellEnd"/>
      <w:r w:rsidR="00F031C7" w:rsidRPr="00225D10">
        <w:t xml:space="preserve"> </w:t>
      </w:r>
      <w:r w:rsidR="00F031C7">
        <w:t>r</w:t>
      </w:r>
      <w:r w:rsidR="00F031C7" w:rsidRPr="00225D10">
        <w:t xml:space="preserve">ivers being major sources of water supply with some protected by </w:t>
      </w:r>
      <w:r w:rsidR="00E74B19">
        <w:t>d</w:t>
      </w:r>
      <w:r w:rsidR="00F031C7" w:rsidRPr="00225D10">
        <w:t xml:space="preserve">eclared </w:t>
      </w:r>
      <w:r w:rsidR="00E74B19">
        <w:t>w</w:t>
      </w:r>
      <w:r w:rsidR="00F031C7" w:rsidRPr="00225D10">
        <w:t xml:space="preserve">ater </w:t>
      </w:r>
      <w:r w:rsidR="00E74B19">
        <w:t>s</w:t>
      </w:r>
      <w:r w:rsidR="00F031C7" w:rsidRPr="00225D10">
        <w:t xml:space="preserve">upply </w:t>
      </w:r>
      <w:r w:rsidR="00E74B19">
        <w:t>catchments</w:t>
      </w:r>
    </w:p>
    <w:p w:rsidR="00A01498" w:rsidRDefault="00CE37C2" w:rsidP="00D34F87">
      <w:pPr>
        <w:pStyle w:val="bt"/>
        <w:tabs>
          <w:tab w:val="left" w:pos="8931"/>
        </w:tabs>
      </w:pPr>
      <w:r w:rsidRPr="00225D10">
        <w:t xml:space="preserve">There are numerous wetlands and wetland complexes throughout the region. Some of these have national recognition through listing on the Directory of Important Wetlands. The North Central </w:t>
      </w:r>
      <w:r w:rsidR="00247830">
        <w:t>Catchment Management Authority</w:t>
      </w:r>
      <w:r w:rsidR="00247830" w:rsidRPr="00225D10">
        <w:t xml:space="preserve"> </w:t>
      </w:r>
      <w:r w:rsidRPr="00225D10">
        <w:t>has identified regionally</w:t>
      </w:r>
      <w:r w:rsidR="006B0131" w:rsidRPr="00225D10">
        <w:t>-</w:t>
      </w:r>
      <w:r w:rsidRPr="00225D10">
        <w:t xml:space="preserve">significant wetland complexes as part of developing </w:t>
      </w:r>
      <w:r w:rsidR="006B0131" w:rsidRPr="00225D10">
        <w:t xml:space="preserve">its </w:t>
      </w:r>
      <w:r w:rsidR="00E74B19">
        <w:t>r</w:t>
      </w:r>
      <w:r w:rsidRPr="00225D10">
        <w:t xml:space="preserve">egional </w:t>
      </w:r>
      <w:r w:rsidR="00E74B19">
        <w:t>c</w:t>
      </w:r>
      <w:r w:rsidRPr="00225D10">
        <w:t xml:space="preserve">atchment </w:t>
      </w:r>
      <w:r w:rsidR="00E74B19">
        <w:t>s</w:t>
      </w:r>
      <w:r w:rsidRPr="00225D10">
        <w:t>trategy</w:t>
      </w:r>
      <w:r w:rsidR="00640099" w:rsidRPr="00225D10">
        <w:t xml:space="preserve"> (other </w:t>
      </w:r>
      <w:r w:rsidR="00DB2B8E">
        <w:t>catchment management authorities</w:t>
      </w:r>
      <w:r w:rsidR="00640099" w:rsidRPr="00225D10">
        <w:t xml:space="preserve"> in the region only identify nationally</w:t>
      </w:r>
      <w:r w:rsidR="006B0131" w:rsidRPr="00225D10">
        <w:t>-</w:t>
      </w:r>
      <w:r w:rsidR="00640099" w:rsidRPr="00225D10">
        <w:t>recognised wetlands)</w:t>
      </w:r>
      <w:r w:rsidRPr="00225D10">
        <w:t>. These are illustrated in</w:t>
      </w:r>
      <w:r w:rsidR="00147DC1">
        <w:t xml:space="preserve"> </w:t>
      </w:r>
      <w:r w:rsidR="00680EEE">
        <w:fldChar w:fldCharType="begin"/>
      </w:r>
      <w:r w:rsidR="00680EEE">
        <w:instrText xml:space="preserve"> REF _Ref353786770 \h  \* MERGEFORMAT </w:instrText>
      </w:r>
      <w:r w:rsidR="00680EEE">
        <w:fldChar w:fldCharType="separate"/>
      </w:r>
      <w:r w:rsidR="00EF1401">
        <w:t xml:space="preserve">Figure </w:t>
      </w:r>
      <w:r w:rsidR="00EF1401">
        <w:rPr>
          <w:noProof/>
        </w:rPr>
        <w:t>24</w:t>
      </w:r>
      <w:r w:rsidR="00680EEE">
        <w:fldChar w:fldCharType="end"/>
      </w:r>
      <w:r w:rsidRPr="00225D10">
        <w:t xml:space="preserve">. Some of the wetlands in the region contain important cultural assets, while </w:t>
      </w:r>
      <w:r w:rsidR="006B0131" w:rsidRPr="00225D10">
        <w:t xml:space="preserve">others </w:t>
      </w:r>
      <w:r w:rsidRPr="00225D10">
        <w:t>are important tourism assets</w:t>
      </w:r>
      <w:r w:rsidR="00247830">
        <w:t xml:space="preserve">, </w:t>
      </w:r>
      <w:r w:rsidR="00997C90">
        <w:t>including</w:t>
      </w:r>
      <w:r w:rsidRPr="00225D10">
        <w:t xml:space="preserve"> Lake Boort and Little Lake Boort. Some also </w:t>
      </w:r>
      <w:r w:rsidR="006B0131" w:rsidRPr="00225D10">
        <w:t xml:space="preserve">have </w:t>
      </w:r>
      <w:r w:rsidRPr="00225D10">
        <w:t>a water supply role.</w:t>
      </w:r>
      <w:bookmarkStart w:id="118" w:name="_Ref353786449"/>
    </w:p>
    <w:p w:rsidR="00A01498" w:rsidRDefault="00A01498">
      <w:pPr>
        <w:spacing w:before="0"/>
        <w:rPr>
          <w:rFonts w:ascii="Calibri" w:hAnsi="Calibri"/>
          <w:szCs w:val="24"/>
        </w:rPr>
      </w:pPr>
      <w:r>
        <w:br w:type="page"/>
      </w:r>
    </w:p>
    <w:p w:rsidR="004A1FF9" w:rsidRDefault="00A01498">
      <w:pPr>
        <w:pStyle w:val="Caption"/>
      </w:pPr>
      <w:bookmarkStart w:id="119" w:name="_Ref353786770"/>
      <w:bookmarkEnd w:id="118"/>
      <w:r>
        <w:rPr>
          <w:noProof/>
        </w:rPr>
        <w:lastRenderedPageBreak/>
        <w:drawing>
          <wp:anchor distT="0" distB="0" distL="114300" distR="114300" simplePos="0" relativeHeight="251665408" behindDoc="0" locked="0" layoutInCell="1" allowOverlap="1">
            <wp:simplePos x="0" y="0"/>
            <wp:positionH relativeFrom="column">
              <wp:posOffset>-17145</wp:posOffset>
            </wp:positionH>
            <wp:positionV relativeFrom="paragraph">
              <wp:posOffset>365125</wp:posOffset>
            </wp:positionV>
            <wp:extent cx="6661150" cy="4577715"/>
            <wp:effectExtent l="19050" t="0" r="6350" b="0"/>
            <wp:wrapTopAndBottom/>
            <wp:docPr id="22" name="Picture 2" descr="Map showing significant waterways of th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GIS\RGP\LMS\LMS_Waterways_130813.jpg"/>
                    <pic:cNvPicPr>
                      <a:picLocks noChangeAspect="1" noChangeArrowheads="1"/>
                    </pic:cNvPicPr>
                  </pic:nvPicPr>
                  <pic:blipFill>
                    <a:blip r:embed="rId34" cstate="email"/>
                    <a:srcRect/>
                    <a:stretch>
                      <a:fillRect/>
                    </a:stretch>
                  </pic:blipFill>
                  <pic:spPr bwMode="auto">
                    <a:xfrm>
                      <a:off x="0" y="0"/>
                      <a:ext cx="6661150" cy="4577715"/>
                    </a:xfrm>
                    <a:prstGeom prst="rect">
                      <a:avLst/>
                    </a:prstGeom>
                    <a:noFill/>
                    <a:ln w="9525">
                      <a:noFill/>
                      <a:miter lim="800000"/>
                      <a:headEnd/>
                      <a:tailEnd/>
                    </a:ln>
                  </pic:spPr>
                </pic:pic>
              </a:graphicData>
            </a:graphic>
          </wp:anchor>
        </w:drawing>
      </w:r>
      <w:bookmarkStart w:id="120" w:name="_Toc374530819"/>
      <w:r w:rsidR="00BD072D">
        <w:t xml:space="preserve">Figure </w:t>
      </w:r>
      <w:r w:rsidR="00162534" w:rsidRPr="00EC6C49">
        <w:fldChar w:fldCharType="begin"/>
      </w:r>
      <w:r w:rsidR="00BD072D">
        <w:instrText xml:space="preserve"> SEQ Figure \* ARABIC </w:instrText>
      </w:r>
      <w:r w:rsidR="00162534" w:rsidRPr="00EC6C49">
        <w:fldChar w:fldCharType="separate"/>
      </w:r>
      <w:r w:rsidR="00EF1401">
        <w:rPr>
          <w:noProof/>
        </w:rPr>
        <w:t>24</w:t>
      </w:r>
      <w:r w:rsidR="00162534" w:rsidRPr="00EC6C49">
        <w:fldChar w:fldCharType="end"/>
      </w:r>
      <w:bookmarkEnd w:id="119"/>
      <w:r w:rsidR="00BD072D">
        <w:t>: Significant waterways of the region</w:t>
      </w:r>
      <w:bookmarkEnd w:id="120"/>
    </w:p>
    <w:p w:rsidR="00250500" w:rsidRDefault="00250500" w:rsidP="00D34F87">
      <w:pPr>
        <w:pStyle w:val="Source"/>
        <w:tabs>
          <w:tab w:val="left" w:pos="8931"/>
        </w:tabs>
      </w:pPr>
      <w:r>
        <w:t>Source: Department of Transport, Planning and Local Infrastructure</w:t>
      </w:r>
    </w:p>
    <w:p w:rsidR="00CE5245" w:rsidRDefault="00640099" w:rsidP="00D34F87">
      <w:pPr>
        <w:pStyle w:val="bt"/>
        <w:tabs>
          <w:tab w:val="left" w:pos="8931"/>
        </w:tabs>
      </w:pPr>
      <w:r w:rsidRPr="00225D10">
        <w:t>Appropriate land use planning can help minimise threats to rivers and wetlands from inappropriate catchment development, urban stormwater runoff, waste and wastewater</w:t>
      </w:r>
      <w:r w:rsidR="006B0131" w:rsidRPr="00225D10">
        <w:t>,</w:t>
      </w:r>
      <w:r w:rsidRPr="00225D10">
        <w:t xml:space="preserve"> and reduced wetland connectivity. </w:t>
      </w:r>
      <w:r w:rsidR="00845CD6" w:rsidRPr="00225D10">
        <w:t>Some planning mechanisms, such as overlays, can be used to detail specific considerations around regionally and locally important waterway assets. This is of particular relevance for wetlands, given the prominence of wetlands on private land and the high occurrence of land</w:t>
      </w:r>
      <w:r w:rsidR="006B0131" w:rsidRPr="00225D10">
        <w:t>-</w:t>
      </w:r>
      <w:r w:rsidR="00845CD6" w:rsidRPr="00225D10">
        <w:t>forming activities in irrigation areas which can remove shallow natural wetlands.</w:t>
      </w:r>
    </w:p>
    <w:p w:rsidR="00562792" w:rsidRPr="00225D10" w:rsidRDefault="00267D13" w:rsidP="00655244">
      <w:pPr>
        <w:pStyle w:val="Heading3"/>
      </w:pPr>
      <w:bookmarkStart w:id="121" w:name="_Toc371951916"/>
      <w:bookmarkStart w:id="122" w:name="_Toc372889296"/>
      <w:bookmarkStart w:id="123" w:name="_Toc374530874"/>
      <w:r w:rsidRPr="005F144B">
        <w:t>Catchment health</w:t>
      </w:r>
      <w:bookmarkEnd w:id="121"/>
      <w:bookmarkEnd w:id="122"/>
      <w:bookmarkEnd w:id="123"/>
    </w:p>
    <w:p w:rsidR="00E2147B" w:rsidRPr="001E6C39" w:rsidRDefault="00562792" w:rsidP="00D34F87">
      <w:pPr>
        <w:pStyle w:val="bt"/>
        <w:tabs>
          <w:tab w:val="left" w:pos="8931"/>
        </w:tabs>
      </w:pPr>
      <w:bookmarkStart w:id="124" w:name="_Ref353352264"/>
      <w:r>
        <w:t xml:space="preserve">There are numerous </w:t>
      </w:r>
      <w:r w:rsidR="002A24A9">
        <w:t xml:space="preserve">declared </w:t>
      </w:r>
      <w:r>
        <w:t xml:space="preserve">water supply catchments in the Loddon Murray South region (refer </w:t>
      </w:r>
      <w:r w:rsidR="00F97202">
        <w:t>to</w:t>
      </w:r>
      <w:r w:rsidR="00E67033">
        <w:t xml:space="preserve"> </w:t>
      </w:r>
      <w:r w:rsidR="00680EEE">
        <w:fldChar w:fldCharType="begin"/>
      </w:r>
      <w:r w:rsidR="00680EEE">
        <w:instrText xml:space="preserve"> REF _Ref353786887 \h  \* MERGEFORMAT </w:instrText>
      </w:r>
      <w:r w:rsidR="00680EEE">
        <w:fldChar w:fldCharType="separate"/>
      </w:r>
      <w:r w:rsidR="00EF1401">
        <w:t xml:space="preserve">Figure </w:t>
      </w:r>
      <w:r w:rsidR="00EF1401">
        <w:rPr>
          <w:noProof/>
        </w:rPr>
        <w:t>25</w:t>
      </w:r>
      <w:r w:rsidR="00680EEE">
        <w:fldChar w:fldCharType="end"/>
      </w:r>
      <w:r>
        <w:t>)</w:t>
      </w:r>
      <w:r w:rsidR="00225D10" w:rsidRPr="00225D10">
        <w:t xml:space="preserve">. Some water catchments are designated for the specific purpose of supplying water and are protected under the </w:t>
      </w:r>
      <w:r w:rsidR="00225D10" w:rsidRPr="00225D10">
        <w:rPr>
          <w:i/>
        </w:rPr>
        <w:t>Catchment and Land Protection Act 1994</w:t>
      </w:r>
      <w:r w:rsidR="00225D10" w:rsidRPr="00225D10">
        <w:t xml:space="preserve">. </w:t>
      </w:r>
      <w:r w:rsidR="00216501" w:rsidRPr="00225D10">
        <w:t>These catchments have significant values as a source of water supply, both for domestic and for stock and domestic use</w:t>
      </w:r>
      <w:bookmarkStart w:id="125" w:name="_Ref339531938"/>
      <w:r w:rsidR="000C162E">
        <w:t>.</w:t>
      </w:r>
      <w:r w:rsidR="00216501" w:rsidRPr="00225D10">
        <w:rPr>
          <w:vertAlign w:val="superscript"/>
        </w:rPr>
        <w:footnoteReference w:id="23"/>
      </w:r>
      <w:bookmarkEnd w:id="125"/>
      <w:r w:rsidR="00216501">
        <w:t xml:space="preserve"> These catchments</w:t>
      </w:r>
      <w:r w:rsidR="00216501" w:rsidRPr="00225D10">
        <w:t xml:space="preserve"> therefore have specific protection, including land use and subdivision controls to protect water supply and quality. </w:t>
      </w:r>
      <w:r w:rsidR="00F031C7" w:rsidRPr="00225D10">
        <w:rPr>
          <w:rFonts w:eastAsia="Calibri"/>
        </w:rPr>
        <w:t>Guidelines exist to inform planning decisions in these catchments, where they are considered to be open to public access and generally contain private land.</w:t>
      </w:r>
      <w:bookmarkEnd w:id="124"/>
    </w:p>
    <w:p w:rsidR="004A1FF9" w:rsidRDefault="004A1FF9">
      <w:pPr>
        <w:pStyle w:val="Caption"/>
      </w:pPr>
      <w:bookmarkStart w:id="126" w:name="_Ref353786887"/>
      <w:r>
        <w:rPr>
          <w:noProof/>
        </w:rPr>
        <w:lastRenderedPageBreak/>
        <w:drawing>
          <wp:anchor distT="0" distB="0" distL="114300" distR="114300" simplePos="0" relativeHeight="251667456" behindDoc="0" locked="0" layoutInCell="1" allowOverlap="1">
            <wp:simplePos x="0" y="0"/>
            <wp:positionH relativeFrom="column">
              <wp:posOffset>20320</wp:posOffset>
            </wp:positionH>
            <wp:positionV relativeFrom="paragraph">
              <wp:posOffset>353060</wp:posOffset>
            </wp:positionV>
            <wp:extent cx="6466205" cy="4445000"/>
            <wp:effectExtent l="19050" t="0" r="0" b="0"/>
            <wp:wrapTopAndBottom/>
            <wp:docPr id="23" name="Picture 3" descr="Map showing declared water supply catchments (open potable water supply catchments) in the Loddon Mallee Sout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GIS\RGP\LMS\LMS_DWSC_130813.jpg"/>
                    <pic:cNvPicPr>
                      <a:picLocks noChangeAspect="1" noChangeArrowheads="1"/>
                    </pic:cNvPicPr>
                  </pic:nvPicPr>
                  <pic:blipFill>
                    <a:blip r:embed="rId35" cstate="email"/>
                    <a:srcRect/>
                    <a:stretch>
                      <a:fillRect/>
                    </a:stretch>
                  </pic:blipFill>
                  <pic:spPr bwMode="auto">
                    <a:xfrm>
                      <a:off x="0" y="0"/>
                      <a:ext cx="6466205" cy="4445000"/>
                    </a:xfrm>
                    <a:prstGeom prst="rect">
                      <a:avLst/>
                    </a:prstGeom>
                    <a:noFill/>
                    <a:ln w="9525">
                      <a:noFill/>
                      <a:miter lim="800000"/>
                      <a:headEnd/>
                      <a:tailEnd/>
                    </a:ln>
                  </pic:spPr>
                </pic:pic>
              </a:graphicData>
            </a:graphic>
          </wp:anchor>
        </w:drawing>
      </w:r>
      <w:bookmarkStart w:id="127" w:name="_Toc374530820"/>
      <w:r w:rsidR="00BD072D">
        <w:t xml:space="preserve">Figure </w:t>
      </w:r>
      <w:r w:rsidR="00162534" w:rsidRPr="00EC6C49">
        <w:fldChar w:fldCharType="begin"/>
      </w:r>
      <w:r w:rsidR="00BD072D">
        <w:instrText xml:space="preserve"> SEQ Figure \* ARABIC </w:instrText>
      </w:r>
      <w:r w:rsidR="00162534" w:rsidRPr="00EC6C49">
        <w:fldChar w:fldCharType="separate"/>
      </w:r>
      <w:r w:rsidR="00EF1401">
        <w:rPr>
          <w:noProof/>
        </w:rPr>
        <w:t>25</w:t>
      </w:r>
      <w:r w:rsidR="00162534" w:rsidRPr="00EC6C49">
        <w:fldChar w:fldCharType="end"/>
      </w:r>
      <w:bookmarkEnd w:id="126"/>
      <w:r w:rsidR="00BD072D">
        <w:t>: Declared water supply catchments (open potable water supply catchments) in the Loddon Mallee South region</w:t>
      </w:r>
      <w:bookmarkEnd w:id="127"/>
    </w:p>
    <w:p w:rsidR="00250500" w:rsidRDefault="00250500" w:rsidP="00D34F87">
      <w:pPr>
        <w:pStyle w:val="Source"/>
        <w:tabs>
          <w:tab w:val="left" w:pos="8931"/>
        </w:tabs>
      </w:pPr>
      <w:r>
        <w:t>Source: Department of Transport, Planning and Local Infrastructure</w:t>
      </w:r>
    </w:p>
    <w:p w:rsidR="00E2147B" w:rsidRDefault="00D26934" w:rsidP="00D34F87">
      <w:pPr>
        <w:pStyle w:val="bt"/>
        <w:tabs>
          <w:tab w:val="left" w:pos="8931"/>
        </w:tabs>
      </w:pPr>
      <w:r w:rsidRPr="00225D10">
        <w:rPr>
          <w:rFonts w:cs="Calibri"/>
        </w:rPr>
        <w:t xml:space="preserve">Domestic and stock water use continues to be an ‘as of right’ use if used for the purposes defined in the </w:t>
      </w:r>
      <w:r w:rsidRPr="00225D10">
        <w:rPr>
          <w:rFonts w:cs="Calibri"/>
          <w:i/>
        </w:rPr>
        <w:t>Water Act 1989.</w:t>
      </w:r>
      <w:r w:rsidRPr="00225D10">
        <w:rPr>
          <w:rFonts w:cs="Calibri"/>
        </w:rPr>
        <w:t xml:space="preserve"> </w:t>
      </w:r>
      <w:r w:rsidRPr="00225D10">
        <w:t xml:space="preserve">Domestic and stock use could undermine the reliability of supply for all water </w:t>
      </w:r>
      <w:proofErr w:type="gramStart"/>
      <w:r w:rsidRPr="00225D10">
        <w:t>users,</w:t>
      </w:r>
      <w:proofErr w:type="gramEnd"/>
      <w:r w:rsidRPr="00225D10">
        <w:t xml:space="preserve"> particularly as in dryer conditions these dams intercept a greater percentage of rainfall</w:t>
      </w:r>
      <w:r w:rsidR="000C162E">
        <w:t>.</w:t>
      </w:r>
      <w:r w:rsidRPr="000C162E">
        <w:rPr>
          <w:rStyle w:val="FootnoteReference"/>
          <w:rFonts w:asciiTheme="minorHAnsi" w:hAnsiTheme="minorHAnsi" w:cs="Arial"/>
          <w:szCs w:val="20"/>
        </w:rPr>
        <w:footnoteReference w:id="24"/>
      </w:r>
      <w:r w:rsidRPr="00225D10">
        <w:t xml:space="preserve"> In 2009, Victoria introduced policies to improve the management of </w:t>
      </w:r>
      <w:r w:rsidR="00CD377B" w:rsidRPr="00225D10">
        <w:t xml:space="preserve">these </w:t>
      </w:r>
      <w:r w:rsidRPr="00225D10">
        <w:t>uses by, among other measures, requiring the registration of new or altered domestic and stock dams within rural residential areas</w:t>
      </w:r>
      <w:r w:rsidR="000C162E">
        <w:t>.</w:t>
      </w:r>
      <w:r w:rsidRPr="000C162E">
        <w:rPr>
          <w:rStyle w:val="FootnoteReference"/>
          <w:rFonts w:asciiTheme="minorHAnsi" w:hAnsiTheme="minorHAnsi" w:cs="Arial"/>
          <w:szCs w:val="20"/>
        </w:rPr>
        <w:footnoteReference w:id="25"/>
      </w:r>
      <w:r w:rsidRPr="00225D10">
        <w:t xml:space="preserve"> These measures aim to monitor interception activities and ultimately reduce the impact of small catchment dams on overall water availability. </w:t>
      </w:r>
      <w:r w:rsidR="00AB0D7C" w:rsidRPr="00225D10">
        <w:t>However, the proliferation of domestic and stock dams is occurring in rural residential areas across the state. Ongoing investigation of these impacts and potential management should be supported.</w:t>
      </w:r>
    </w:p>
    <w:p w:rsidR="00247830" w:rsidRDefault="002A24A9" w:rsidP="00D34F87">
      <w:pPr>
        <w:pStyle w:val="bt"/>
        <w:tabs>
          <w:tab w:val="left" w:pos="8931"/>
        </w:tabs>
        <w:rPr>
          <w:rFonts w:eastAsia="Calibri"/>
        </w:rPr>
      </w:pPr>
      <w:r>
        <w:rPr>
          <w:rFonts w:eastAsia="Calibri"/>
        </w:rPr>
        <w:t>Declared</w:t>
      </w:r>
      <w:r w:rsidRPr="00225D10">
        <w:rPr>
          <w:rFonts w:eastAsia="Calibri"/>
        </w:rPr>
        <w:t xml:space="preserve"> </w:t>
      </w:r>
      <w:r w:rsidR="00D26934" w:rsidRPr="00225D10">
        <w:rPr>
          <w:rFonts w:eastAsia="Calibri"/>
        </w:rPr>
        <w:t xml:space="preserve">water supply catchments need to be considered when proposing land use change, particularly when considering significant unsewered subdivision and the number of dwellings that can be built in these areas. The </w:t>
      </w:r>
      <w:r w:rsidR="00247830">
        <w:rPr>
          <w:rFonts w:eastAsia="Calibri"/>
        </w:rPr>
        <w:t>r</w:t>
      </w:r>
      <w:r w:rsidR="00F6659B" w:rsidRPr="00225D10">
        <w:rPr>
          <w:rFonts w:eastAsia="Calibri"/>
        </w:rPr>
        <w:t xml:space="preserve">egional </w:t>
      </w:r>
      <w:r w:rsidR="00247830">
        <w:rPr>
          <w:rFonts w:eastAsia="Calibri"/>
        </w:rPr>
        <w:t>g</w:t>
      </w:r>
      <w:r w:rsidR="00247830" w:rsidRPr="00225D10">
        <w:rPr>
          <w:rFonts w:eastAsia="Calibri"/>
        </w:rPr>
        <w:t xml:space="preserve">rowth </w:t>
      </w:r>
      <w:r w:rsidR="00247830">
        <w:rPr>
          <w:rFonts w:eastAsia="Calibri"/>
        </w:rPr>
        <w:t>p</w:t>
      </w:r>
      <w:r w:rsidR="00247830" w:rsidRPr="00225D10">
        <w:rPr>
          <w:rFonts w:eastAsia="Calibri"/>
        </w:rPr>
        <w:t xml:space="preserve">lan </w:t>
      </w:r>
      <w:r w:rsidR="00F6659B" w:rsidRPr="00225D10">
        <w:rPr>
          <w:rFonts w:eastAsia="Calibri"/>
        </w:rPr>
        <w:t xml:space="preserve">recognises </w:t>
      </w:r>
      <w:r w:rsidR="00D26934" w:rsidRPr="00225D10">
        <w:rPr>
          <w:rFonts w:eastAsia="Calibri"/>
        </w:rPr>
        <w:t xml:space="preserve">the need for these considerations. Strategic direction is required to identify where development and particular land use activities may be supported and where development or particular land uses are not supported due to catchment management objectives. This direction is required not only within settlements but also within rural areas and is most needed within the peri-urban parts of the region where development pressures occur both within and outside existing settlements. </w:t>
      </w:r>
    </w:p>
    <w:p w:rsidR="004B7308" w:rsidRDefault="00D26934" w:rsidP="00D34F87">
      <w:pPr>
        <w:pStyle w:val="bt"/>
        <w:tabs>
          <w:tab w:val="left" w:pos="8931"/>
        </w:tabs>
        <w:rPr>
          <w:rFonts w:eastAsia="Calibri"/>
        </w:rPr>
      </w:pPr>
      <w:r w:rsidRPr="00225D10">
        <w:rPr>
          <w:rFonts w:eastAsia="Calibri"/>
        </w:rPr>
        <w:t>Developing Special Area</w:t>
      </w:r>
      <w:r w:rsidR="002A24A9">
        <w:rPr>
          <w:rFonts w:eastAsia="Calibri"/>
        </w:rPr>
        <w:t xml:space="preserve"> Plan</w:t>
      </w:r>
      <w:r w:rsidRPr="00225D10">
        <w:rPr>
          <w:rFonts w:eastAsia="Calibri"/>
        </w:rPr>
        <w:t>s for some of these catchments that occur over private land may assist with this strategic planning.</w:t>
      </w:r>
      <w:r w:rsidR="00AB0D7C" w:rsidRPr="00225D10">
        <w:rPr>
          <w:rFonts w:eastAsia="Calibri"/>
        </w:rPr>
        <w:t xml:space="preserve"> </w:t>
      </w:r>
      <w:r w:rsidRPr="00225D10">
        <w:rPr>
          <w:rFonts w:eastAsia="Calibri"/>
        </w:rPr>
        <w:t xml:space="preserve">Councils within these catchment areas may need to update their </w:t>
      </w:r>
      <w:r w:rsidR="00763570">
        <w:rPr>
          <w:rFonts w:eastAsia="Calibri"/>
        </w:rPr>
        <w:t>d</w:t>
      </w:r>
      <w:r w:rsidRPr="00225D10">
        <w:rPr>
          <w:rFonts w:eastAsia="Calibri"/>
        </w:rPr>
        <w:t xml:space="preserve">omestic </w:t>
      </w:r>
      <w:r w:rsidR="00763570">
        <w:rPr>
          <w:rFonts w:eastAsia="Calibri"/>
        </w:rPr>
        <w:t>w</w:t>
      </w:r>
      <w:r w:rsidRPr="00225D10">
        <w:rPr>
          <w:rFonts w:eastAsia="Calibri"/>
        </w:rPr>
        <w:t xml:space="preserve">astewater </w:t>
      </w:r>
      <w:r w:rsidR="00763570">
        <w:rPr>
          <w:rFonts w:eastAsia="Calibri"/>
        </w:rPr>
        <w:t>m</w:t>
      </w:r>
      <w:r w:rsidRPr="00225D10">
        <w:rPr>
          <w:rFonts w:eastAsia="Calibri"/>
        </w:rPr>
        <w:t xml:space="preserve">anagement </w:t>
      </w:r>
      <w:r w:rsidR="00763570">
        <w:rPr>
          <w:rFonts w:eastAsia="Calibri"/>
        </w:rPr>
        <w:t>p</w:t>
      </w:r>
      <w:r w:rsidRPr="00225D10">
        <w:rPr>
          <w:rFonts w:eastAsia="Calibri"/>
        </w:rPr>
        <w:t>lans in line with the new Guidelines for Planning Permits in Open Water Supply Catchment Areas 2012.</w:t>
      </w:r>
      <w:r w:rsidR="00F0097F" w:rsidRPr="00225D10">
        <w:rPr>
          <w:rFonts w:eastAsia="Calibri"/>
        </w:rPr>
        <w:t xml:space="preserve"> </w:t>
      </w:r>
      <w:r w:rsidR="00250500">
        <w:rPr>
          <w:rFonts w:eastAsia="Calibri"/>
        </w:rPr>
        <w:t>Water c</w:t>
      </w:r>
      <w:r w:rsidR="008D37E7" w:rsidRPr="00225D10">
        <w:rPr>
          <w:rFonts w:eastAsia="Calibri"/>
        </w:rPr>
        <w:t xml:space="preserve">orporations will need to play </w:t>
      </w:r>
      <w:r w:rsidR="00CB3735" w:rsidRPr="00225D10">
        <w:rPr>
          <w:rFonts w:eastAsia="Calibri"/>
        </w:rPr>
        <w:t>a</w:t>
      </w:r>
      <w:r w:rsidR="008D37E7" w:rsidRPr="00225D10">
        <w:rPr>
          <w:rFonts w:eastAsia="Calibri"/>
        </w:rPr>
        <w:t xml:space="preserve"> role in identifying land use planning activities and changes.</w:t>
      </w:r>
    </w:p>
    <w:p w:rsidR="00E8192C" w:rsidRPr="00225D10" w:rsidRDefault="00267D13" w:rsidP="00655244">
      <w:pPr>
        <w:pStyle w:val="Heading3"/>
      </w:pPr>
      <w:bookmarkStart w:id="128" w:name="_Toc371951917"/>
      <w:bookmarkStart w:id="129" w:name="_Toc372889297"/>
      <w:bookmarkStart w:id="130" w:name="_Toc374530875"/>
      <w:r w:rsidRPr="00225D10">
        <w:lastRenderedPageBreak/>
        <w:t>Soils</w:t>
      </w:r>
      <w:bookmarkEnd w:id="128"/>
      <w:bookmarkEnd w:id="129"/>
      <w:bookmarkEnd w:id="130"/>
    </w:p>
    <w:p w:rsidR="00CE37C2" w:rsidRPr="00225D10" w:rsidRDefault="00EB7F8B" w:rsidP="00D34F87">
      <w:pPr>
        <w:pStyle w:val="bt"/>
        <w:tabs>
          <w:tab w:val="left" w:pos="8931"/>
        </w:tabs>
      </w:pPr>
      <w:r w:rsidRPr="00225D10">
        <w:t xml:space="preserve">Productive soils are essential to support the profitability of agricultural enterprises in the region. If soils are mismanaged soil threats such as soil structure decline and nutrient deficiency can impact </w:t>
      </w:r>
      <w:r w:rsidR="00A90523">
        <w:t>their</w:t>
      </w:r>
      <w:r w:rsidRPr="00225D10">
        <w:t xml:space="preserve"> productive value. Depleted soil health can also lead to threats that cause off-site impacts to public assets, such as sediments from a soil erosion site threatening the quality and environmental v</w:t>
      </w:r>
      <w:r w:rsidR="00216501">
        <w:t>alue of a downstream waterway</w:t>
      </w:r>
      <w:r w:rsidRPr="00225D10">
        <w:t xml:space="preserve"> </w:t>
      </w:r>
      <w:r w:rsidR="00BD2F26" w:rsidRPr="00225D10">
        <w:t>(</w:t>
      </w:r>
      <w:r w:rsidR="00D26934" w:rsidRPr="00225D10">
        <w:t xml:space="preserve">discussed </w:t>
      </w:r>
      <w:r w:rsidR="007122D6" w:rsidRPr="00225D10">
        <w:t>in Section 6.2: Natural hazards and risk</w:t>
      </w:r>
      <w:r w:rsidR="00A90523">
        <w:t>s</w:t>
      </w:r>
      <w:r w:rsidR="007122D6" w:rsidRPr="00225D10">
        <w:t>)</w:t>
      </w:r>
      <w:r w:rsidR="00D26934" w:rsidRPr="00225D10">
        <w:t>.</w:t>
      </w:r>
    </w:p>
    <w:p w:rsidR="00CE37C2" w:rsidRPr="00225D10" w:rsidRDefault="00CE37C2" w:rsidP="00D34F87">
      <w:pPr>
        <w:pStyle w:val="bt"/>
        <w:tabs>
          <w:tab w:val="left" w:pos="8931"/>
        </w:tabs>
      </w:pPr>
      <w:r w:rsidRPr="00225D10">
        <w:t xml:space="preserve">The soils in the region vary depending on the geological and land formation history they have experienced. The North Central Regional Catchment Strategy has defined six soil-landscape classes for the region that are predominantly linked to various land use types (often reflective of soil type in a general sense). These are shown in </w:t>
      </w:r>
      <w:r w:rsidR="00680EEE">
        <w:fldChar w:fldCharType="begin"/>
      </w:r>
      <w:r w:rsidR="00680EEE">
        <w:instrText xml:space="preserve"> REF _Ref353353510 \h  \* MERGEFORMAT </w:instrText>
      </w:r>
      <w:r w:rsidR="00680EEE">
        <w:fldChar w:fldCharType="separate"/>
      </w:r>
      <w:r w:rsidR="00EF1401" w:rsidRPr="00225D10">
        <w:t xml:space="preserve">Figure </w:t>
      </w:r>
      <w:r w:rsidR="00EF1401">
        <w:rPr>
          <w:noProof/>
        </w:rPr>
        <w:t>26</w:t>
      </w:r>
      <w:r w:rsidR="00680EEE">
        <w:fldChar w:fldCharType="end"/>
      </w:r>
      <w:r w:rsidRPr="00225D10">
        <w:t>. Most of these occur to some extent in the Loddon Mallee South region.</w:t>
      </w:r>
    </w:p>
    <w:p w:rsidR="00BD2F26" w:rsidRPr="00225D10" w:rsidRDefault="00BD2F26" w:rsidP="00D34F87">
      <w:pPr>
        <w:pStyle w:val="bt"/>
        <w:tabs>
          <w:tab w:val="left" w:pos="8931"/>
        </w:tabs>
      </w:pPr>
      <w:r w:rsidRPr="00225D10">
        <w:t>Soil</w:t>
      </w:r>
      <w:r w:rsidR="00A84019">
        <w:t xml:space="preserve">, </w:t>
      </w:r>
      <w:r w:rsidRPr="00225D10">
        <w:t>along with water, vegetation and fauna</w:t>
      </w:r>
      <w:r w:rsidR="00A84019">
        <w:t>,</w:t>
      </w:r>
      <w:r w:rsidRPr="00225D10">
        <w:t xml:space="preserve"> is defined as an integral part of land under the </w:t>
      </w:r>
      <w:r w:rsidR="00AE690A" w:rsidRPr="00AE690A">
        <w:rPr>
          <w:i/>
        </w:rPr>
        <w:t>Catchment and Land Protection Act 1994</w:t>
      </w:r>
      <w:r w:rsidRPr="00225D10">
        <w:t>. Private landholders have primary day</w:t>
      </w:r>
      <w:r w:rsidR="00A92EDB" w:rsidRPr="00225D10">
        <w:t>-</w:t>
      </w:r>
      <w:r w:rsidRPr="00225D10">
        <w:t>to</w:t>
      </w:r>
      <w:r w:rsidR="00A92EDB" w:rsidRPr="00225D10">
        <w:t>-</w:t>
      </w:r>
      <w:r w:rsidRPr="00225D10">
        <w:t>day management responsibility for soil health on their property and must take all reasonable steps to conserve soil and avoid doing anything that would cause or contribute to land degradation on someone else’s land. Governments can play a role where markets fail to encourage the long</w:t>
      </w:r>
      <w:r w:rsidR="00A92EDB" w:rsidRPr="00225D10">
        <w:t>-</w:t>
      </w:r>
      <w:r w:rsidRPr="00225D10">
        <w:t>term preservation of soils and the values and services they provide</w:t>
      </w:r>
      <w:bookmarkStart w:id="131" w:name="_Ref339535797"/>
      <w:r w:rsidR="000C162E">
        <w:t>.</w:t>
      </w:r>
      <w:r w:rsidRPr="00225D10">
        <w:rPr>
          <w:rStyle w:val="FootnoteReference"/>
          <w:rFonts w:asciiTheme="minorHAnsi" w:hAnsiTheme="minorHAnsi" w:cs="Calibri"/>
        </w:rPr>
        <w:footnoteReference w:id="26"/>
      </w:r>
      <w:bookmarkEnd w:id="131"/>
    </w:p>
    <w:p w:rsidR="00CE30C7" w:rsidRDefault="00CE30C7" w:rsidP="00D34F87">
      <w:pPr>
        <w:pStyle w:val="Caption"/>
        <w:tabs>
          <w:tab w:val="left" w:pos="8931"/>
        </w:tabs>
      </w:pPr>
      <w:bookmarkStart w:id="132" w:name="_Ref353353510"/>
      <w:bookmarkStart w:id="133" w:name="_Toc352166562"/>
      <w:bookmarkStart w:id="134" w:name="_Toc374530821"/>
      <w:r w:rsidRPr="00225D10">
        <w:t xml:space="preserve">Figure </w:t>
      </w:r>
      <w:r w:rsidR="00162534">
        <w:fldChar w:fldCharType="begin"/>
      </w:r>
      <w:r w:rsidR="00154847">
        <w:instrText xml:space="preserve"> SEQ Figure \* ARABIC </w:instrText>
      </w:r>
      <w:r w:rsidR="00162534">
        <w:fldChar w:fldCharType="separate"/>
      </w:r>
      <w:r w:rsidR="00EF1401">
        <w:rPr>
          <w:noProof/>
        </w:rPr>
        <w:t>26</w:t>
      </w:r>
      <w:r w:rsidR="00162534">
        <w:fldChar w:fldCharType="end"/>
      </w:r>
      <w:bookmarkEnd w:id="132"/>
      <w:r w:rsidR="00377F5C">
        <w:t xml:space="preserve">: </w:t>
      </w:r>
      <w:r w:rsidRPr="00225D10">
        <w:t>Soil landscapes and land use defined by the North Central CMA</w:t>
      </w:r>
      <w:bookmarkEnd w:id="133"/>
      <w:bookmarkEnd w:id="134"/>
    </w:p>
    <w:p w:rsidR="00F20FA0" w:rsidRPr="00F20FA0" w:rsidRDefault="00F20FA0" w:rsidP="005D4215">
      <w:pPr>
        <w:pStyle w:val="ListParagraph"/>
        <w:numPr>
          <w:ilvl w:val="0"/>
          <w:numId w:val="46"/>
        </w:numPr>
        <w:spacing w:before="240"/>
        <w:rPr>
          <w:b/>
          <w:szCs w:val="20"/>
        </w:rPr>
      </w:pPr>
      <w:r w:rsidRPr="00F20FA0">
        <w:rPr>
          <w:rStyle w:val="Strong"/>
          <w:rFonts w:asciiTheme="minorHAnsi" w:hAnsiTheme="minorHAnsi"/>
          <w:sz w:val="20"/>
          <w:szCs w:val="20"/>
        </w:rPr>
        <w:t>Soil landscape:</w:t>
      </w:r>
      <w:r w:rsidRPr="00F20FA0">
        <w:rPr>
          <w:szCs w:val="20"/>
        </w:rPr>
        <w:t xml:space="preserve"> Alluvial Plains of northern Victoria.</w:t>
      </w:r>
      <w:r w:rsidRPr="00F20FA0">
        <w:rPr>
          <w:szCs w:val="20"/>
        </w:rPr>
        <w:br/>
      </w:r>
      <w:r w:rsidRPr="00F20FA0">
        <w:rPr>
          <w:rStyle w:val="Strong"/>
          <w:rFonts w:asciiTheme="minorHAnsi" w:hAnsiTheme="minorHAnsi"/>
          <w:sz w:val="20"/>
          <w:szCs w:val="20"/>
        </w:rPr>
        <w:t>Description:</w:t>
      </w:r>
      <w:r w:rsidRPr="00F20FA0">
        <w:rPr>
          <w:b/>
          <w:szCs w:val="20"/>
        </w:rPr>
        <w:t xml:space="preserve"> </w:t>
      </w:r>
      <w:r w:rsidRPr="00F20FA0">
        <w:rPr>
          <w:szCs w:val="20"/>
        </w:rPr>
        <w:t xml:space="preserve">Alluvial sediments of the Riverine Plains and the </w:t>
      </w:r>
      <w:proofErr w:type="spellStart"/>
      <w:r w:rsidRPr="00F20FA0">
        <w:rPr>
          <w:szCs w:val="20"/>
        </w:rPr>
        <w:t>Natte</w:t>
      </w:r>
      <w:proofErr w:type="spellEnd"/>
      <w:r w:rsidRPr="00F20FA0">
        <w:rPr>
          <w:szCs w:val="20"/>
        </w:rPr>
        <w:t xml:space="preserve"> </w:t>
      </w:r>
      <w:proofErr w:type="spellStart"/>
      <w:r w:rsidRPr="00F20FA0">
        <w:rPr>
          <w:szCs w:val="20"/>
        </w:rPr>
        <w:t>Yallock</w:t>
      </w:r>
      <w:proofErr w:type="spellEnd"/>
      <w:r w:rsidRPr="00F20FA0">
        <w:rPr>
          <w:szCs w:val="20"/>
        </w:rPr>
        <w:t xml:space="preserve"> Basin.</w:t>
      </w:r>
      <w:r w:rsidRPr="00F20FA0">
        <w:rPr>
          <w:szCs w:val="20"/>
        </w:rPr>
        <w:br/>
      </w:r>
      <w:r w:rsidRPr="00F20FA0">
        <w:rPr>
          <w:rStyle w:val="Strong"/>
          <w:rFonts w:asciiTheme="minorHAnsi" w:hAnsiTheme="minorHAnsi"/>
          <w:sz w:val="20"/>
          <w:szCs w:val="20"/>
        </w:rPr>
        <w:t>Principle agricultural land use</w:t>
      </w:r>
      <w:r w:rsidRPr="00F20FA0">
        <w:rPr>
          <w:szCs w:val="20"/>
        </w:rPr>
        <w:t>: Mixed cropping and grazing.</w:t>
      </w:r>
    </w:p>
    <w:p w:rsidR="00F20FA0" w:rsidRPr="00F20FA0" w:rsidRDefault="00F20FA0" w:rsidP="005D4215">
      <w:pPr>
        <w:pStyle w:val="ListParagraph"/>
        <w:numPr>
          <w:ilvl w:val="0"/>
          <w:numId w:val="46"/>
        </w:numPr>
        <w:spacing w:before="240"/>
        <w:rPr>
          <w:b/>
          <w:szCs w:val="20"/>
        </w:rPr>
      </w:pPr>
      <w:r w:rsidRPr="00F20FA0">
        <w:rPr>
          <w:b/>
          <w:szCs w:val="20"/>
        </w:rPr>
        <w:t>Soil landscape:</w:t>
      </w:r>
      <w:r w:rsidRPr="00F20FA0">
        <w:rPr>
          <w:szCs w:val="20"/>
        </w:rPr>
        <w:t xml:space="preserve"> Victorian Riverine Plains.</w:t>
      </w:r>
      <w:r w:rsidRPr="00F20FA0">
        <w:rPr>
          <w:szCs w:val="20"/>
        </w:rPr>
        <w:br/>
      </w:r>
      <w:r w:rsidRPr="00F20FA0">
        <w:rPr>
          <w:b/>
          <w:szCs w:val="20"/>
        </w:rPr>
        <w:t xml:space="preserve">Description: </w:t>
      </w:r>
      <w:r w:rsidRPr="00F20FA0">
        <w:rPr>
          <w:szCs w:val="20"/>
        </w:rPr>
        <w:t>Mainly red and yellow duplex soils, with red and grey clays that are highly suitable for agriculture.</w:t>
      </w:r>
      <w:r w:rsidRPr="00F20FA0">
        <w:rPr>
          <w:szCs w:val="20"/>
        </w:rPr>
        <w:br/>
      </w:r>
      <w:r w:rsidRPr="00F20FA0">
        <w:rPr>
          <w:rStyle w:val="Strong"/>
          <w:rFonts w:asciiTheme="minorHAnsi" w:hAnsiTheme="minorHAnsi"/>
          <w:sz w:val="20"/>
          <w:szCs w:val="20"/>
        </w:rPr>
        <w:t>Principle agricultural land use:</w:t>
      </w:r>
      <w:r w:rsidRPr="00F20FA0">
        <w:rPr>
          <w:szCs w:val="20"/>
        </w:rPr>
        <w:t xml:space="preserve"> Irrigated pastures and crops.</w:t>
      </w:r>
    </w:p>
    <w:p w:rsidR="00F20FA0" w:rsidRPr="00F20FA0" w:rsidRDefault="00F20FA0" w:rsidP="005D4215">
      <w:pPr>
        <w:pStyle w:val="ListParagraph"/>
        <w:numPr>
          <w:ilvl w:val="0"/>
          <w:numId w:val="46"/>
        </w:numPr>
        <w:spacing w:before="240"/>
        <w:rPr>
          <w:szCs w:val="20"/>
        </w:rPr>
      </w:pPr>
      <w:r w:rsidRPr="00F20FA0">
        <w:rPr>
          <w:rStyle w:val="Strong"/>
          <w:rFonts w:asciiTheme="minorHAnsi" w:hAnsiTheme="minorHAnsi"/>
          <w:sz w:val="20"/>
          <w:szCs w:val="20"/>
        </w:rPr>
        <w:t>Soil landscape:</w:t>
      </w:r>
      <w:r w:rsidRPr="00F20FA0">
        <w:rPr>
          <w:szCs w:val="20"/>
        </w:rPr>
        <w:t xml:space="preserve"> Eastern Mallee Plains.</w:t>
      </w:r>
      <w:r w:rsidRPr="00F20FA0">
        <w:rPr>
          <w:szCs w:val="20"/>
        </w:rPr>
        <w:br/>
      </w:r>
      <w:r w:rsidRPr="00F20FA0">
        <w:rPr>
          <w:rStyle w:val="Strong"/>
          <w:rFonts w:asciiTheme="minorHAnsi" w:hAnsiTheme="minorHAnsi"/>
          <w:sz w:val="20"/>
          <w:szCs w:val="20"/>
        </w:rPr>
        <w:t>Description:</w:t>
      </w:r>
      <w:r w:rsidRPr="00F20FA0">
        <w:rPr>
          <w:b/>
          <w:szCs w:val="20"/>
        </w:rPr>
        <w:t xml:space="preserve"> </w:t>
      </w:r>
      <w:r w:rsidRPr="00F20FA0">
        <w:rPr>
          <w:szCs w:val="20"/>
        </w:rPr>
        <w:t>Aeolian sands over marine sediments in the semi-arid lands of northern Victoria.</w:t>
      </w:r>
      <w:r w:rsidRPr="00F20FA0">
        <w:rPr>
          <w:szCs w:val="20"/>
        </w:rPr>
        <w:br/>
      </w:r>
      <w:r w:rsidRPr="00F20FA0">
        <w:rPr>
          <w:rStyle w:val="Strong"/>
          <w:rFonts w:asciiTheme="minorHAnsi" w:hAnsiTheme="minorHAnsi"/>
          <w:sz w:val="20"/>
          <w:szCs w:val="20"/>
        </w:rPr>
        <w:t>Principle agricultural land use:</w:t>
      </w:r>
      <w:r w:rsidRPr="00F20FA0">
        <w:rPr>
          <w:szCs w:val="20"/>
        </w:rPr>
        <w:t xml:space="preserve"> Cropping with some grazing</w:t>
      </w:r>
    </w:p>
    <w:p w:rsidR="00F20FA0" w:rsidRPr="00F20FA0" w:rsidRDefault="00F20FA0" w:rsidP="005D4215">
      <w:pPr>
        <w:pStyle w:val="ListParagraph"/>
        <w:numPr>
          <w:ilvl w:val="0"/>
          <w:numId w:val="46"/>
        </w:numPr>
        <w:spacing w:before="240"/>
        <w:rPr>
          <w:szCs w:val="20"/>
        </w:rPr>
      </w:pPr>
      <w:r w:rsidRPr="00F20FA0">
        <w:rPr>
          <w:rStyle w:val="Strong"/>
          <w:rFonts w:asciiTheme="minorHAnsi" w:hAnsiTheme="minorHAnsi"/>
          <w:sz w:val="20"/>
          <w:szCs w:val="20"/>
        </w:rPr>
        <w:t>Soil landscape:</w:t>
      </w:r>
      <w:r w:rsidRPr="00F20FA0">
        <w:rPr>
          <w:szCs w:val="20"/>
        </w:rPr>
        <w:t xml:space="preserve"> Basaltic plains and scoria cones.</w:t>
      </w:r>
      <w:r w:rsidRPr="00F20FA0">
        <w:rPr>
          <w:szCs w:val="20"/>
        </w:rPr>
        <w:br/>
      </w:r>
      <w:r w:rsidRPr="00F20FA0">
        <w:rPr>
          <w:rStyle w:val="Strong"/>
          <w:rFonts w:asciiTheme="minorHAnsi" w:hAnsiTheme="minorHAnsi"/>
          <w:sz w:val="20"/>
          <w:szCs w:val="20"/>
        </w:rPr>
        <w:t>Description:</w:t>
      </w:r>
      <w:r w:rsidRPr="00F20FA0">
        <w:rPr>
          <w:b/>
          <w:szCs w:val="20"/>
        </w:rPr>
        <w:t xml:space="preserve"> </w:t>
      </w:r>
      <w:r w:rsidRPr="00F20FA0">
        <w:rPr>
          <w:szCs w:val="20"/>
        </w:rPr>
        <w:t>Soils formed on Quaternary basalts in the upper catchments.</w:t>
      </w:r>
      <w:r w:rsidRPr="00F20FA0">
        <w:rPr>
          <w:szCs w:val="20"/>
        </w:rPr>
        <w:br/>
      </w:r>
      <w:r w:rsidRPr="00F20FA0">
        <w:rPr>
          <w:rStyle w:val="Strong"/>
          <w:rFonts w:asciiTheme="minorHAnsi" w:hAnsiTheme="minorHAnsi"/>
          <w:sz w:val="20"/>
          <w:szCs w:val="20"/>
        </w:rPr>
        <w:t>Principle agricultural land use:</w:t>
      </w:r>
      <w:r w:rsidRPr="00F20FA0">
        <w:rPr>
          <w:b/>
          <w:szCs w:val="20"/>
        </w:rPr>
        <w:t xml:space="preserve"> </w:t>
      </w:r>
      <w:r w:rsidRPr="00F20FA0">
        <w:rPr>
          <w:szCs w:val="20"/>
        </w:rPr>
        <w:t>Grazing, cropping and horticulture.</w:t>
      </w:r>
    </w:p>
    <w:p w:rsidR="00F20FA0" w:rsidRPr="00F20FA0" w:rsidRDefault="00F20FA0" w:rsidP="005D4215">
      <w:pPr>
        <w:pStyle w:val="ListParagraph"/>
        <w:numPr>
          <w:ilvl w:val="0"/>
          <w:numId w:val="46"/>
        </w:numPr>
        <w:spacing w:before="240"/>
        <w:rPr>
          <w:szCs w:val="20"/>
        </w:rPr>
      </w:pPr>
      <w:r w:rsidRPr="00F20FA0">
        <w:rPr>
          <w:rStyle w:val="Strong"/>
          <w:rFonts w:asciiTheme="minorHAnsi" w:hAnsiTheme="minorHAnsi"/>
          <w:sz w:val="20"/>
          <w:szCs w:val="20"/>
        </w:rPr>
        <w:t>Soil landscape:</w:t>
      </w:r>
      <w:r w:rsidRPr="00F20FA0">
        <w:rPr>
          <w:szCs w:val="20"/>
        </w:rPr>
        <w:t xml:space="preserve"> Foothills of the Western Uplands.</w:t>
      </w:r>
      <w:r w:rsidRPr="00F20FA0">
        <w:rPr>
          <w:szCs w:val="20"/>
        </w:rPr>
        <w:br/>
      </w:r>
      <w:r w:rsidRPr="00F20FA0">
        <w:rPr>
          <w:rStyle w:val="Strong"/>
          <w:rFonts w:asciiTheme="minorHAnsi" w:hAnsiTheme="minorHAnsi"/>
          <w:sz w:val="20"/>
          <w:szCs w:val="20"/>
        </w:rPr>
        <w:t>Description:</w:t>
      </w:r>
      <w:r w:rsidRPr="00F20FA0">
        <w:rPr>
          <w:b/>
          <w:szCs w:val="20"/>
        </w:rPr>
        <w:t xml:space="preserve"> </w:t>
      </w:r>
      <w:r w:rsidRPr="00F20FA0">
        <w:rPr>
          <w:szCs w:val="20"/>
        </w:rPr>
        <w:t xml:space="preserve">Red </w:t>
      </w:r>
      <w:proofErr w:type="spellStart"/>
      <w:r w:rsidRPr="00F20FA0">
        <w:rPr>
          <w:szCs w:val="20"/>
        </w:rPr>
        <w:t>sodosols</w:t>
      </w:r>
      <w:proofErr w:type="spellEnd"/>
      <w:r w:rsidRPr="00F20FA0">
        <w:rPr>
          <w:szCs w:val="20"/>
        </w:rPr>
        <w:t xml:space="preserve"> on weathered meta-sedimentary rocks.</w:t>
      </w:r>
      <w:r w:rsidRPr="00F20FA0">
        <w:rPr>
          <w:szCs w:val="20"/>
        </w:rPr>
        <w:br/>
      </w:r>
      <w:r w:rsidRPr="00F20FA0">
        <w:rPr>
          <w:rStyle w:val="Strong"/>
          <w:rFonts w:asciiTheme="minorHAnsi" w:hAnsiTheme="minorHAnsi"/>
          <w:sz w:val="20"/>
          <w:szCs w:val="20"/>
        </w:rPr>
        <w:t>Principle agricultural land use:</w:t>
      </w:r>
      <w:r w:rsidRPr="00F20FA0">
        <w:rPr>
          <w:szCs w:val="20"/>
        </w:rPr>
        <w:t xml:space="preserve"> Mixed cropping and grazing.</w:t>
      </w:r>
    </w:p>
    <w:p w:rsidR="00F20FA0" w:rsidRPr="00F20FA0" w:rsidRDefault="00F20FA0" w:rsidP="005D4215">
      <w:pPr>
        <w:pStyle w:val="ListParagraph"/>
        <w:numPr>
          <w:ilvl w:val="0"/>
          <w:numId w:val="46"/>
        </w:numPr>
        <w:spacing w:before="240"/>
        <w:rPr>
          <w:szCs w:val="20"/>
        </w:rPr>
      </w:pPr>
      <w:r w:rsidRPr="00F20FA0">
        <w:rPr>
          <w:rStyle w:val="Strong"/>
          <w:rFonts w:asciiTheme="minorHAnsi" w:hAnsiTheme="minorHAnsi"/>
          <w:sz w:val="20"/>
          <w:szCs w:val="20"/>
        </w:rPr>
        <w:t>Soil landscape:</w:t>
      </w:r>
      <w:r w:rsidRPr="00F20FA0">
        <w:rPr>
          <w:szCs w:val="20"/>
        </w:rPr>
        <w:t xml:space="preserve"> Hilly terrain of the Western Uplands.</w:t>
      </w:r>
      <w:r w:rsidRPr="00F20FA0">
        <w:rPr>
          <w:szCs w:val="20"/>
        </w:rPr>
        <w:br/>
      </w:r>
      <w:r w:rsidRPr="00F20FA0">
        <w:rPr>
          <w:rStyle w:val="Strong"/>
          <w:rFonts w:asciiTheme="minorHAnsi" w:hAnsiTheme="minorHAnsi"/>
          <w:sz w:val="20"/>
          <w:szCs w:val="20"/>
        </w:rPr>
        <w:t>Description:</w:t>
      </w:r>
      <w:r w:rsidRPr="00F20FA0">
        <w:rPr>
          <w:b/>
          <w:szCs w:val="20"/>
        </w:rPr>
        <w:t xml:space="preserve"> </w:t>
      </w:r>
      <w:r w:rsidRPr="00F20FA0">
        <w:rPr>
          <w:szCs w:val="20"/>
        </w:rPr>
        <w:t xml:space="preserve">Red and yellow </w:t>
      </w:r>
      <w:proofErr w:type="spellStart"/>
      <w:r w:rsidRPr="00F20FA0">
        <w:rPr>
          <w:szCs w:val="20"/>
        </w:rPr>
        <w:t>sodosols</w:t>
      </w:r>
      <w:proofErr w:type="spellEnd"/>
      <w:r w:rsidRPr="00F20FA0">
        <w:rPr>
          <w:szCs w:val="20"/>
        </w:rPr>
        <w:t xml:space="preserve"> on moderate to steep hilly terrain.</w:t>
      </w:r>
      <w:r w:rsidRPr="00F20FA0">
        <w:rPr>
          <w:szCs w:val="20"/>
        </w:rPr>
        <w:br/>
      </w:r>
      <w:r w:rsidRPr="00F20FA0">
        <w:rPr>
          <w:rStyle w:val="Strong"/>
          <w:rFonts w:asciiTheme="minorHAnsi" w:hAnsiTheme="minorHAnsi"/>
          <w:sz w:val="20"/>
          <w:szCs w:val="20"/>
        </w:rPr>
        <w:t>Principle agricultural land use:</w:t>
      </w:r>
      <w:r w:rsidRPr="00F20FA0">
        <w:rPr>
          <w:szCs w:val="20"/>
        </w:rPr>
        <w:t xml:space="preserve"> Grazing.</w:t>
      </w:r>
    </w:p>
    <w:p w:rsidR="00250500" w:rsidRDefault="00250500" w:rsidP="00D34F87">
      <w:pPr>
        <w:pStyle w:val="Source"/>
        <w:tabs>
          <w:tab w:val="left" w:pos="8931"/>
        </w:tabs>
      </w:pPr>
      <w:r>
        <w:t>Source: North Central Catchment Management Authority</w:t>
      </w:r>
    </w:p>
    <w:p w:rsidR="00CE37C2" w:rsidRPr="00225D10" w:rsidRDefault="00CE37C2" w:rsidP="00D34F87">
      <w:pPr>
        <w:pStyle w:val="bt"/>
        <w:tabs>
          <w:tab w:val="left" w:pos="8931"/>
        </w:tabs>
      </w:pPr>
      <w:r w:rsidRPr="00225D10">
        <w:t xml:space="preserve">Land use planning can assist in the protection of the </w:t>
      </w:r>
      <w:r w:rsidR="00A92EDB" w:rsidRPr="00225D10">
        <w:t xml:space="preserve">Victoria’s </w:t>
      </w:r>
      <w:r w:rsidRPr="00225D10">
        <w:t xml:space="preserve">soil resource by </w:t>
      </w:r>
      <w:r w:rsidR="00A92EDB" w:rsidRPr="00225D10">
        <w:t xml:space="preserve">ensuring </w:t>
      </w:r>
      <w:r w:rsidRPr="00225D10">
        <w:t>that land use change does not disturb soils to a level that could result in deterioration of the soil assets within each region, or further contribute to pollution of waterways in any significant volume</w:t>
      </w:r>
      <w:r w:rsidR="00A84019">
        <w:t xml:space="preserve">, </w:t>
      </w:r>
      <w:r w:rsidR="007735BF">
        <w:t>for example</w:t>
      </w:r>
      <w:r w:rsidR="00A92EDB" w:rsidRPr="00225D10">
        <w:t xml:space="preserve"> </w:t>
      </w:r>
      <w:r w:rsidRPr="00225D10">
        <w:t xml:space="preserve">by </w:t>
      </w:r>
      <w:r w:rsidR="000A573C">
        <w:t>applying the E</w:t>
      </w:r>
      <w:r w:rsidRPr="00225D10">
        <w:t xml:space="preserve">rosion </w:t>
      </w:r>
      <w:r w:rsidR="000A573C">
        <w:t>M</w:t>
      </w:r>
      <w:r w:rsidRPr="00225D10">
        <w:t xml:space="preserve">anagement </w:t>
      </w:r>
      <w:r w:rsidR="000A573C">
        <w:t>O</w:t>
      </w:r>
      <w:r w:rsidRPr="00225D10">
        <w:t>verlay. Continued development of information to support decision</w:t>
      </w:r>
      <w:r w:rsidR="00A92EDB" w:rsidRPr="00225D10">
        <w:t>-</w:t>
      </w:r>
      <w:r w:rsidRPr="00225D10">
        <w:t>making</w:t>
      </w:r>
      <w:r w:rsidR="000A573C">
        <w:t xml:space="preserve">, </w:t>
      </w:r>
      <w:r w:rsidRPr="00225D10">
        <w:t>such as regional soil plans and capability mapping</w:t>
      </w:r>
      <w:r w:rsidR="000A573C">
        <w:t xml:space="preserve">, </w:t>
      </w:r>
      <w:r w:rsidRPr="00225D10">
        <w:t>will be important to enable growth in productive agriculture and settlements into the future.</w:t>
      </w:r>
    </w:p>
    <w:p w:rsidR="00A95469" w:rsidRDefault="00E74D38" w:rsidP="00D34F87">
      <w:pPr>
        <w:pStyle w:val="bt"/>
        <w:tabs>
          <w:tab w:val="left" w:pos="8931"/>
        </w:tabs>
      </w:pPr>
      <w:r w:rsidRPr="00225D10">
        <w:t xml:space="preserve">Land capability is a commonly used measure of the value of soil for agricultural production. While land capability measured on indicators such as soil quality is useful to profile land and help inform broader strategic planning, it is not the only indicator or driver of the productive capacity of land. Sometimes proximity or security of feed, roads, processors, power and </w:t>
      </w:r>
      <w:r w:rsidRPr="00225D10">
        <w:lastRenderedPageBreak/>
        <w:t xml:space="preserve">water </w:t>
      </w:r>
      <w:r w:rsidR="00A92EDB" w:rsidRPr="00225D10">
        <w:t xml:space="preserve">are </w:t>
      </w:r>
      <w:r w:rsidRPr="00225D10">
        <w:t>more important considerations. Not all agriculture requires good soil or water to be productive for agricultural purposes, therefore soil capability should not be the only indicator of potential of farmland, nor should soil capability be used to discriminate between different types of legitimate agricultural land uses in rural areas.</w:t>
      </w:r>
    </w:p>
    <w:p w:rsidR="00BD2F26" w:rsidRDefault="00CE37C2" w:rsidP="00D34F87">
      <w:pPr>
        <w:pStyle w:val="bt"/>
        <w:tabs>
          <w:tab w:val="left" w:pos="8931"/>
        </w:tabs>
      </w:pPr>
      <w:r w:rsidRPr="00225D10">
        <w:t>Land use planning can identify strategically important agricultural land</w:t>
      </w:r>
      <w:r w:rsidR="00BD2F26" w:rsidRPr="00225D10">
        <w:t xml:space="preserve"> (high quality productive agricultural land)</w:t>
      </w:r>
      <w:r w:rsidRPr="00225D10">
        <w:t xml:space="preserve"> and specify its protection for future agricultural production or to protect it from inappropriate development.</w:t>
      </w:r>
      <w:r w:rsidR="00886AB4" w:rsidRPr="00225D10">
        <w:t xml:space="preserve"> The City of Greater Bendigo has mapped agricultural versatility, </w:t>
      </w:r>
      <w:r w:rsidR="000A573C">
        <w:t>but</w:t>
      </w:r>
      <w:r w:rsidR="00A92EDB" w:rsidRPr="00225D10">
        <w:t xml:space="preserve"> </w:t>
      </w:r>
      <w:r w:rsidR="00886AB4" w:rsidRPr="00225D10">
        <w:t>there is no consistent mapping of strategically importan</w:t>
      </w:r>
      <w:r w:rsidR="00003200" w:rsidRPr="00225D10">
        <w:t>t agricultural land across the r</w:t>
      </w:r>
      <w:r w:rsidR="00886AB4" w:rsidRPr="00225D10">
        <w:t>egion.</w:t>
      </w:r>
      <w:r w:rsidR="00A92EDB" w:rsidRPr="00225D10">
        <w:t xml:space="preserve"> </w:t>
      </w:r>
      <w:r w:rsidR="00BD2F26" w:rsidRPr="00225D10">
        <w:t xml:space="preserve">Each of the </w:t>
      </w:r>
      <w:r w:rsidR="007735BF">
        <w:t>catchment management authorities</w:t>
      </w:r>
      <w:r w:rsidR="00BD2F26" w:rsidRPr="00225D10">
        <w:t xml:space="preserve"> will be developing a regional soil health plan. Land use considerations would be beneficial to those plans.</w:t>
      </w:r>
    </w:p>
    <w:p w:rsidR="00E8192C" w:rsidRPr="00225D10" w:rsidRDefault="00267D13" w:rsidP="00655244">
      <w:pPr>
        <w:pStyle w:val="Heading3"/>
      </w:pPr>
      <w:bookmarkStart w:id="135" w:name="_Toc371951918"/>
      <w:bookmarkStart w:id="136" w:name="_Toc372889298"/>
      <w:bookmarkStart w:id="137" w:name="_Toc374530876"/>
      <w:r w:rsidRPr="00225D10">
        <w:t>Public land</w:t>
      </w:r>
      <w:bookmarkEnd w:id="135"/>
      <w:bookmarkEnd w:id="136"/>
      <w:bookmarkEnd w:id="137"/>
    </w:p>
    <w:p w:rsidR="003E03AE" w:rsidRPr="00225D10" w:rsidRDefault="00BD2F26" w:rsidP="00D34F87">
      <w:pPr>
        <w:pStyle w:val="bt"/>
        <w:tabs>
          <w:tab w:val="left" w:pos="8931"/>
        </w:tabs>
      </w:pPr>
      <w:r w:rsidRPr="00225D10">
        <w:t>There is an extensive network of public land reserves in the Loddon Mallee South region that protect various environmental, economic and social values</w:t>
      </w:r>
      <w:r w:rsidR="00FC52E1" w:rsidRPr="00225D10">
        <w:t xml:space="preserve"> (</w:t>
      </w:r>
      <w:r w:rsidR="00A84019">
        <w:t>refer to</w:t>
      </w:r>
      <w:r w:rsidR="00C56D8B">
        <w:t xml:space="preserve"> </w:t>
      </w:r>
      <w:r w:rsidR="00680EEE">
        <w:fldChar w:fldCharType="begin"/>
      </w:r>
      <w:r w:rsidR="00680EEE">
        <w:instrText xml:space="preserve"> REF _Ref366071949 \h  \* MERGEFORMAT </w:instrText>
      </w:r>
      <w:r w:rsidR="00680EEE">
        <w:fldChar w:fldCharType="separate"/>
      </w:r>
      <w:r w:rsidR="00EF1401">
        <w:t xml:space="preserve">Figure </w:t>
      </w:r>
      <w:r w:rsidR="00EF1401">
        <w:rPr>
          <w:noProof/>
        </w:rPr>
        <w:t>27</w:t>
      </w:r>
      <w:r w:rsidR="00680EEE">
        <w:fldChar w:fldCharType="end"/>
      </w:r>
      <w:r w:rsidR="00C56D8B">
        <w:t>)</w:t>
      </w:r>
      <w:r w:rsidRPr="00225D10">
        <w:t>.</w:t>
      </w:r>
      <w:r w:rsidR="00FC52E1" w:rsidRPr="00225D10">
        <w:t xml:space="preserve"> These</w:t>
      </w:r>
      <w:r w:rsidR="003E03AE" w:rsidRPr="00225D10">
        <w:t xml:space="preserve"> values including</w:t>
      </w:r>
      <w:r w:rsidR="00CE37C2" w:rsidRPr="00225D10">
        <w:t xml:space="preserve"> conserving flora and fauna, protecting water catchments and water supply, providing timber for sustainable forestry, protecting landscape, archaeological and historic values, and providing recreational</w:t>
      </w:r>
      <w:r w:rsidR="003E03AE" w:rsidRPr="00225D10">
        <w:t xml:space="preserve"> and educational opportunities.</w:t>
      </w:r>
      <w:r w:rsidR="00A92EDB" w:rsidRPr="00225D10">
        <w:t xml:space="preserve"> </w:t>
      </w:r>
    </w:p>
    <w:p w:rsidR="0046416B" w:rsidRDefault="007C012D" w:rsidP="00D34F87">
      <w:pPr>
        <w:pStyle w:val="bt"/>
        <w:tabs>
          <w:tab w:val="left" w:pos="8931"/>
        </w:tabs>
      </w:pPr>
      <w:r>
        <w:t>Also</w:t>
      </w:r>
      <w:r w:rsidR="00A92EDB" w:rsidRPr="00225D10">
        <w:t xml:space="preserve"> shown in </w:t>
      </w:r>
      <w:r w:rsidR="00680EEE">
        <w:fldChar w:fldCharType="begin"/>
      </w:r>
      <w:r w:rsidR="00680EEE">
        <w:instrText xml:space="preserve"> REF _Ref366071949 \h  \* MERGEFORMAT </w:instrText>
      </w:r>
      <w:r w:rsidR="00680EEE">
        <w:fldChar w:fldCharType="separate"/>
      </w:r>
      <w:r w:rsidR="00EF1401">
        <w:t xml:space="preserve">Figure </w:t>
      </w:r>
      <w:r w:rsidR="00EF1401">
        <w:rPr>
          <w:noProof/>
        </w:rPr>
        <w:t>27</w:t>
      </w:r>
      <w:r w:rsidR="00680EEE">
        <w:fldChar w:fldCharType="end"/>
      </w:r>
      <w:r w:rsidR="00CE37C2" w:rsidRPr="00225D10">
        <w:t>, public land captures many of the significant natural values of the region, but not all.</w:t>
      </w:r>
    </w:p>
    <w:p w:rsidR="004C15E7" w:rsidRPr="007735BF" w:rsidRDefault="004C15E7" w:rsidP="00D34F87">
      <w:pPr>
        <w:pStyle w:val="bt"/>
        <w:tabs>
          <w:tab w:val="left" w:pos="8931"/>
        </w:tabs>
      </w:pPr>
      <w:r w:rsidRPr="00AE690A">
        <w:t xml:space="preserve">Public land is an important asset for protecting regional ecosystems, and for providing amenity benefits to the region, including through tourism. Public land may also generate income through sustainable forestry. </w:t>
      </w:r>
    </w:p>
    <w:p w:rsidR="004C15E7" w:rsidRPr="00225D10" w:rsidRDefault="004C15E7" w:rsidP="00D34F87">
      <w:pPr>
        <w:pStyle w:val="bt"/>
        <w:tabs>
          <w:tab w:val="left" w:pos="8931"/>
        </w:tabs>
      </w:pPr>
      <w:r>
        <w:t>O</w:t>
      </w:r>
      <w:r w:rsidRPr="00225D10">
        <w:t xml:space="preserve">pportunities may arise for tourism development associated with or linked to public land. The Loddon Mallee South Regional Growth Plan </w:t>
      </w:r>
      <w:r w:rsidR="000A573C">
        <w:t>seeks to</w:t>
      </w:r>
      <w:r w:rsidRPr="00225D10">
        <w:t xml:space="preserve"> foster these opportunities such as the ‘Goldfields – Australia’s Premier Heritage Region’ initiative. There are emerging opportunities for private sector investment in tourism infrastructure within national parks across Victoria. Such opportunities should be encouraged, where appropriate within the region.</w:t>
      </w:r>
    </w:p>
    <w:p w:rsidR="004A1FF9" w:rsidRDefault="004A1FF9">
      <w:pPr>
        <w:pStyle w:val="Caption"/>
      </w:pPr>
      <w:bookmarkStart w:id="138" w:name="_Ref366071949"/>
      <w:r>
        <w:rPr>
          <w:noProof/>
        </w:rPr>
        <w:drawing>
          <wp:anchor distT="0" distB="0" distL="114300" distR="114300" simplePos="0" relativeHeight="251668480" behindDoc="0" locked="0" layoutInCell="1" allowOverlap="1">
            <wp:simplePos x="0" y="0"/>
            <wp:positionH relativeFrom="column">
              <wp:posOffset>20955</wp:posOffset>
            </wp:positionH>
            <wp:positionV relativeFrom="paragraph">
              <wp:posOffset>327025</wp:posOffset>
            </wp:positionV>
            <wp:extent cx="6546850" cy="4483100"/>
            <wp:effectExtent l="19050" t="0" r="6350" b="0"/>
            <wp:wrapTopAndBottom/>
            <wp:docPr id="24" name="Picture 4" descr="Map showing public land in the Loddon Mallee Sout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GIS\RGP\LMS\LMS_public_land_130813.jpg"/>
                    <pic:cNvPicPr>
                      <a:picLocks noChangeAspect="1" noChangeArrowheads="1"/>
                    </pic:cNvPicPr>
                  </pic:nvPicPr>
                  <pic:blipFill>
                    <a:blip r:embed="rId36" cstate="email"/>
                    <a:srcRect/>
                    <a:stretch>
                      <a:fillRect/>
                    </a:stretch>
                  </pic:blipFill>
                  <pic:spPr bwMode="auto">
                    <a:xfrm>
                      <a:off x="0" y="0"/>
                      <a:ext cx="6546850" cy="4483100"/>
                    </a:xfrm>
                    <a:prstGeom prst="rect">
                      <a:avLst/>
                    </a:prstGeom>
                    <a:noFill/>
                    <a:ln w="9525">
                      <a:noFill/>
                      <a:miter lim="800000"/>
                      <a:headEnd/>
                      <a:tailEnd/>
                    </a:ln>
                  </pic:spPr>
                </pic:pic>
              </a:graphicData>
            </a:graphic>
          </wp:anchor>
        </w:drawing>
      </w:r>
      <w:bookmarkStart w:id="139" w:name="_Toc374530822"/>
      <w:r w:rsidR="00BD072D">
        <w:t xml:space="preserve">Figure </w:t>
      </w:r>
      <w:r w:rsidR="00162534" w:rsidRPr="00EC6C49">
        <w:fldChar w:fldCharType="begin"/>
      </w:r>
      <w:r w:rsidR="00BD072D">
        <w:instrText xml:space="preserve"> SEQ Figure \* ARABIC </w:instrText>
      </w:r>
      <w:r w:rsidR="00162534" w:rsidRPr="00EC6C49">
        <w:fldChar w:fldCharType="separate"/>
      </w:r>
      <w:r w:rsidR="00EF1401">
        <w:rPr>
          <w:noProof/>
        </w:rPr>
        <w:t>27</w:t>
      </w:r>
      <w:r w:rsidR="00162534" w:rsidRPr="00EC6C49">
        <w:fldChar w:fldCharType="end"/>
      </w:r>
      <w:bookmarkEnd w:id="138"/>
      <w:r w:rsidR="00BD072D">
        <w:t>: Public land in the Loddon Mallee South region</w:t>
      </w:r>
      <w:bookmarkEnd w:id="139"/>
    </w:p>
    <w:p w:rsidR="00250500" w:rsidRDefault="00250500" w:rsidP="00D34F87">
      <w:pPr>
        <w:pStyle w:val="Source"/>
        <w:tabs>
          <w:tab w:val="left" w:pos="8931"/>
        </w:tabs>
      </w:pPr>
      <w:r>
        <w:lastRenderedPageBreak/>
        <w:t>Source: Department of Transport, Planning and Local Infrastructure</w:t>
      </w:r>
    </w:p>
    <w:p w:rsidR="00CE37C2" w:rsidRPr="00663F7F" w:rsidRDefault="00FC52E1" w:rsidP="00D34F87">
      <w:pPr>
        <w:pStyle w:val="Heading2"/>
        <w:tabs>
          <w:tab w:val="left" w:pos="8931"/>
        </w:tabs>
        <w:rPr>
          <w:rFonts w:cs="Arial"/>
        </w:rPr>
      </w:pPr>
      <w:bookmarkStart w:id="140" w:name="_Toc374530877"/>
      <w:r w:rsidRPr="00663F7F">
        <w:rPr>
          <w:rFonts w:cs="Arial"/>
        </w:rPr>
        <w:t xml:space="preserve">Natural </w:t>
      </w:r>
      <w:r w:rsidR="000949C4" w:rsidRPr="00663F7F">
        <w:rPr>
          <w:rFonts w:cs="Arial"/>
        </w:rPr>
        <w:t>h</w:t>
      </w:r>
      <w:r w:rsidRPr="00663F7F">
        <w:rPr>
          <w:rFonts w:cs="Arial"/>
        </w:rPr>
        <w:t xml:space="preserve">azards and </w:t>
      </w:r>
      <w:r w:rsidR="000949C4" w:rsidRPr="00663F7F">
        <w:rPr>
          <w:rFonts w:cs="Arial"/>
        </w:rPr>
        <w:t>r</w:t>
      </w:r>
      <w:r w:rsidRPr="00663F7F">
        <w:rPr>
          <w:rFonts w:cs="Arial"/>
        </w:rPr>
        <w:t>isks</w:t>
      </w:r>
      <w:bookmarkEnd w:id="140"/>
    </w:p>
    <w:p w:rsidR="00E8192C" w:rsidRPr="00225D10" w:rsidRDefault="00267D13" w:rsidP="00655244">
      <w:pPr>
        <w:pStyle w:val="Heading3"/>
      </w:pPr>
      <w:bookmarkStart w:id="141" w:name="_Toc371951920"/>
      <w:bookmarkStart w:id="142" w:name="_Toc372889300"/>
      <w:bookmarkStart w:id="143" w:name="_Toc374530878"/>
      <w:r w:rsidRPr="00225D10">
        <w:t>Flood</w:t>
      </w:r>
      <w:bookmarkEnd w:id="141"/>
      <w:bookmarkEnd w:id="142"/>
      <w:bookmarkEnd w:id="143"/>
    </w:p>
    <w:p w:rsidR="00CE37C2" w:rsidRPr="00225D10" w:rsidRDefault="00CE37C2" w:rsidP="00D34F87">
      <w:pPr>
        <w:pStyle w:val="bt"/>
        <w:tabs>
          <w:tab w:val="left" w:pos="8931"/>
        </w:tabs>
      </w:pPr>
      <w:r w:rsidRPr="00225D10">
        <w:t xml:space="preserve">While </w:t>
      </w:r>
      <w:r w:rsidR="0028534E">
        <w:t>flood</w:t>
      </w:r>
      <w:r w:rsidR="000A573C">
        <w:t>s are</w:t>
      </w:r>
      <w:r w:rsidRPr="00225D10">
        <w:t xml:space="preserve"> usually a natural event, and important to maintain biological diversity, </w:t>
      </w:r>
      <w:r w:rsidR="000A573C">
        <w:t xml:space="preserve">they </w:t>
      </w:r>
      <w:r w:rsidRPr="00225D10">
        <w:t xml:space="preserve">become a serious problem for the community when water damages property, endangers lives and causes loss of amenity. The Loddon Mallee South region has an extensive history of </w:t>
      </w:r>
      <w:r w:rsidR="0028534E">
        <w:t>flood</w:t>
      </w:r>
      <w:r w:rsidRPr="00225D10">
        <w:t xml:space="preserve">. </w:t>
      </w:r>
      <w:r w:rsidR="000949C4" w:rsidRPr="00225D10">
        <w:t>R</w:t>
      </w:r>
      <w:r w:rsidRPr="00225D10">
        <w:t>ecent floods in 2010</w:t>
      </w:r>
      <w:r w:rsidR="000949C4" w:rsidRPr="00225D10">
        <w:t>–</w:t>
      </w:r>
      <w:r w:rsidRPr="00225D10">
        <w:t xml:space="preserve">11 were the most extensive ever experienced in the region. The Victorian floods of January 2011 were the biggest on record for catchments in the west and north-west of the </w:t>
      </w:r>
      <w:r w:rsidR="000949C4" w:rsidRPr="00225D10">
        <w:t>s</w:t>
      </w:r>
      <w:r w:rsidRPr="00225D10">
        <w:t xml:space="preserve">tate and some areas recorded three to four times the January average rainfall. This event has re-focussed </w:t>
      </w:r>
      <w:r w:rsidR="000949C4" w:rsidRPr="00225D10">
        <w:t xml:space="preserve">efforts </w:t>
      </w:r>
      <w:r w:rsidRPr="00225D10">
        <w:t xml:space="preserve">on the need to effectively plan for and manage such emergencies, including appropriate consideration of </w:t>
      </w:r>
      <w:r w:rsidR="0028534E">
        <w:t>flood</w:t>
      </w:r>
      <w:r w:rsidRPr="00225D10">
        <w:t xml:space="preserve"> in land use planning.</w:t>
      </w:r>
    </w:p>
    <w:p w:rsidR="00CE5245" w:rsidRDefault="000949C4" w:rsidP="00D34F87">
      <w:pPr>
        <w:pStyle w:val="bt"/>
        <w:tabs>
          <w:tab w:val="left" w:pos="8931"/>
        </w:tabs>
      </w:pPr>
      <w:r w:rsidRPr="0048056A">
        <w:t>E</w:t>
      </w:r>
      <w:r w:rsidR="00CE37C2" w:rsidRPr="0048056A">
        <w:t xml:space="preserve">xisting flood overlays </w:t>
      </w:r>
      <w:r w:rsidRPr="0048056A">
        <w:t xml:space="preserve">in the Loddon Mallee South region </w:t>
      </w:r>
      <w:r w:rsidR="00CE37C2" w:rsidRPr="0048056A">
        <w:t xml:space="preserve">are shown </w:t>
      </w:r>
      <w:r w:rsidR="0048056A" w:rsidRPr="0048056A">
        <w:t xml:space="preserve">in </w:t>
      </w:r>
      <w:r w:rsidR="00680EEE">
        <w:fldChar w:fldCharType="begin"/>
      </w:r>
      <w:r w:rsidR="00680EEE">
        <w:instrText xml:space="preserve"> REF _Ref352165808 \h  \* MERGEFORMAT </w:instrText>
      </w:r>
      <w:r w:rsidR="00680EEE">
        <w:fldChar w:fldCharType="separate"/>
      </w:r>
      <w:r w:rsidR="00EF1401" w:rsidRPr="00225D10">
        <w:t xml:space="preserve">Figure </w:t>
      </w:r>
      <w:r w:rsidR="00EF1401">
        <w:rPr>
          <w:noProof/>
        </w:rPr>
        <w:t>28</w:t>
      </w:r>
      <w:r w:rsidR="00680EEE">
        <w:fldChar w:fldCharType="end"/>
      </w:r>
      <w:r w:rsidR="0048056A" w:rsidRPr="0048056A">
        <w:t xml:space="preserve">. Flood studies have been released for various areas of the region by the </w:t>
      </w:r>
      <w:r w:rsidR="000A573C">
        <w:t>catchment man</w:t>
      </w:r>
      <w:r w:rsidR="00EC6C49">
        <w:t>a</w:t>
      </w:r>
      <w:r w:rsidR="000A573C">
        <w:t>gement authorities</w:t>
      </w:r>
      <w:r w:rsidR="0048056A" w:rsidRPr="0048056A">
        <w:t xml:space="preserve"> although some will require updating in light of the most recent floods. The Victorian Floods Review notes that the “North Central CMA advised the VFR that no towns within its catchment had adequate flood mapping, in particular, it noted that for Carisbrook and Creswick, two towns that flooded in the 2010–11 floods, only anecdotal mapping existed” (p 194). The </w:t>
      </w:r>
      <w:r w:rsidR="00A84019">
        <w:t>Victorian Floods Review</w:t>
      </w:r>
      <w:r w:rsidR="00A84019" w:rsidRPr="0048056A">
        <w:t xml:space="preserve"> </w:t>
      </w:r>
      <w:r w:rsidR="0048056A" w:rsidRPr="0048056A">
        <w:t xml:space="preserve">also noted that the North Central </w:t>
      </w:r>
      <w:r w:rsidR="007735BF" w:rsidRPr="0048056A">
        <w:t>C</w:t>
      </w:r>
      <w:r w:rsidR="007735BF">
        <w:t>atchment Management Authority</w:t>
      </w:r>
      <w:r w:rsidR="007735BF" w:rsidRPr="0048056A">
        <w:t xml:space="preserve"> </w:t>
      </w:r>
      <w:r w:rsidR="0048056A" w:rsidRPr="0048056A">
        <w:t xml:space="preserve">identified that new developments in the Central Goldfields, particularly in Carisbrook, had not been referred to them for flood advice. During the floods, these new houses experienced repeated </w:t>
      </w:r>
      <w:r w:rsidR="0028534E">
        <w:t>flood</w:t>
      </w:r>
      <w:r w:rsidR="0048056A" w:rsidRPr="0048056A">
        <w:t xml:space="preserve"> over flood level.</w:t>
      </w:r>
    </w:p>
    <w:p w:rsidR="004A1FF9" w:rsidRDefault="00CE5245">
      <w:pPr>
        <w:pStyle w:val="Caption"/>
      </w:pPr>
      <w:bookmarkStart w:id="144" w:name="_Ref352165808"/>
      <w:bookmarkStart w:id="145" w:name="_Toc352166564"/>
      <w:r>
        <w:rPr>
          <w:noProof/>
        </w:rPr>
        <w:drawing>
          <wp:anchor distT="0" distB="0" distL="114300" distR="114300" simplePos="0" relativeHeight="251669504" behindDoc="0" locked="0" layoutInCell="1" allowOverlap="1">
            <wp:simplePos x="0" y="0"/>
            <wp:positionH relativeFrom="column">
              <wp:posOffset>-17145</wp:posOffset>
            </wp:positionH>
            <wp:positionV relativeFrom="paragraph">
              <wp:posOffset>327660</wp:posOffset>
            </wp:positionV>
            <wp:extent cx="6383020" cy="4381500"/>
            <wp:effectExtent l="19050" t="0" r="0" b="0"/>
            <wp:wrapTopAndBottom/>
            <wp:docPr id="25" name="Picture 5" descr="Map showing flood overlays in the Loddon Mallee Sout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GIS\RGP\LMS\LMS_flood overlays_130813.jpg"/>
                    <pic:cNvPicPr>
                      <a:picLocks noChangeAspect="1" noChangeArrowheads="1"/>
                    </pic:cNvPicPr>
                  </pic:nvPicPr>
                  <pic:blipFill>
                    <a:blip r:embed="rId37" cstate="email"/>
                    <a:srcRect/>
                    <a:stretch>
                      <a:fillRect/>
                    </a:stretch>
                  </pic:blipFill>
                  <pic:spPr bwMode="auto">
                    <a:xfrm>
                      <a:off x="0" y="0"/>
                      <a:ext cx="6383020" cy="4381500"/>
                    </a:xfrm>
                    <a:prstGeom prst="rect">
                      <a:avLst/>
                    </a:prstGeom>
                    <a:noFill/>
                    <a:ln w="9525">
                      <a:noFill/>
                      <a:miter lim="800000"/>
                      <a:headEnd/>
                      <a:tailEnd/>
                    </a:ln>
                  </pic:spPr>
                </pic:pic>
              </a:graphicData>
            </a:graphic>
          </wp:anchor>
        </w:drawing>
      </w:r>
      <w:bookmarkStart w:id="146" w:name="_Toc374530823"/>
      <w:r w:rsidR="00CE30C7" w:rsidRPr="00225D10">
        <w:t xml:space="preserve">Figure </w:t>
      </w:r>
      <w:r w:rsidR="00162534">
        <w:fldChar w:fldCharType="begin"/>
      </w:r>
      <w:r w:rsidR="00154847">
        <w:instrText xml:space="preserve"> SEQ Figure \* ARABIC </w:instrText>
      </w:r>
      <w:r w:rsidR="00162534">
        <w:fldChar w:fldCharType="separate"/>
      </w:r>
      <w:r w:rsidR="00EF1401">
        <w:rPr>
          <w:noProof/>
        </w:rPr>
        <w:t>28</w:t>
      </w:r>
      <w:r w:rsidR="00162534">
        <w:fldChar w:fldCharType="end"/>
      </w:r>
      <w:bookmarkEnd w:id="144"/>
      <w:r w:rsidR="00377F5C">
        <w:t xml:space="preserve">: </w:t>
      </w:r>
      <w:r w:rsidR="00CE30C7" w:rsidRPr="00225D10">
        <w:t>Flood overlays in the Loddon Mallee South region</w:t>
      </w:r>
      <w:bookmarkEnd w:id="145"/>
      <w:bookmarkEnd w:id="146"/>
    </w:p>
    <w:p w:rsidR="00250500" w:rsidRDefault="00250500" w:rsidP="00D34F87">
      <w:pPr>
        <w:pStyle w:val="Source"/>
        <w:tabs>
          <w:tab w:val="left" w:pos="8931"/>
        </w:tabs>
      </w:pPr>
      <w:r>
        <w:t>Source: Department of Transport, Planning and Local Infrastructure</w:t>
      </w:r>
    </w:p>
    <w:p w:rsidR="004C284D" w:rsidRPr="00225D10" w:rsidRDefault="00CE37C2" w:rsidP="00D34F87">
      <w:pPr>
        <w:pStyle w:val="bt"/>
        <w:tabs>
          <w:tab w:val="left" w:pos="8931"/>
        </w:tabs>
      </w:pPr>
      <w:r w:rsidRPr="00225D10">
        <w:t xml:space="preserve">Land use planning is the most effective means of reducing future risks and damages from </w:t>
      </w:r>
      <w:r w:rsidR="0028534E">
        <w:t>flood</w:t>
      </w:r>
      <w:r w:rsidRPr="00225D10">
        <w:t xml:space="preserve">. The North Central </w:t>
      </w:r>
      <w:r w:rsidR="007735BF" w:rsidRPr="00225D10">
        <w:t>C</w:t>
      </w:r>
      <w:r w:rsidR="007735BF">
        <w:t>atchment Management Authority</w:t>
      </w:r>
      <w:r w:rsidR="007735BF" w:rsidRPr="00225D10">
        <w:t xml:space="preserve"> </w:t>
      </w:r>
      <w:r w:rsidRPr="00225D10">
        <w:t xml:space="preserve">is currently undertaking flood studies </w:t>
      </w:r>
      <w:r w:rsidR="00F54C79">
        <w:t xml:space="preserve">for those </w:t>
      </w:r>
      <w:r w:rsidRPr="00225D10">
        <w:t xml:space="preserve">areas </w:t>
      </w:r>
      <w:r w:rsidR="000949C4" w:rsidRPr="00225D10">
        <w:t xml:space="preserve">that </w:t>
      </w:r>
      <w:r w:rsidRPr="00225D10">
        <w:t xml:space="preserve">experienced severe </w:t>
      </w:r>
      <w:r w:rsidR="0028534E">
        <w:t>flood</w:t>
      </w:r>
      <w:r w:rsidRPr="00225D10">
        <w:t xml:space="preserve"> in </w:t>
      </w:r>
      <w:r w:rsidRPr="00225D10">
        <w:lastRenderedPageBreak/>
        <w:t>2010</w:t>
      </w:r>
      <w:r w:rsidR="000949C4" w:rsidRPr="00225D10">
        <w:t>–</w:t>
      </w:r>
      <w:r w:rsidRPr="00225D10">
        <w:t xml:space="preserve">11. This information will be used to update flood overlays in planning schemes where relevant. Further understanding of </w:t>
      </w:r>
      <w:r w:rsidR="0028534E">
        <w:t>flood</w:t>
      </w:r>
      <w:r w:rsidRPr="00225D10">
        <w:t xml:space="preserve"> in the region will also need to be incorporated into planning decisions as future research and modelling is released over time.</w:t>
      </w:r>
    </w:p>
    <w:p w:rsidR="00234E16" w:rsidRPr="00225D10" w:rsidRDefault="00234E16" w:rsidP="00D34F87">
      <w:pPr>
        <w:pStyle w:val="bt"/>
        <w:tabs>
          <w:tab w:val="left" w:pos="8931"/>
        </w:tabs>
      </w:pPr>
      <w:r w:rsidRPr="00225D10">
        <w:t xml:space="preserve">Climate change predictions indicate more extreme flood events may occur in the future. Existing flood risk assessments do not take account of these likely increases in the intensity of storm and flood events. The future increase in flood risk should be considered in strategic planning. </w:t>
      </w:r>
    </w:p>
    <w:p w:rsidR="00CE37C2" w:rsidRPr="00225D10" w:rsidRDefault="00FC52E1" w:rsidP="00D34F87">
      <w:pPr>
        <w:pStyle w:val="bt"/>
        <w:tabs>
          <w:tab w:val="left" w:pos="8931"/>
        </w:tabs>
      </w:pPr>
      <w:r w:rsidRPr="00225D10">
        <w:t xml:space="preserve">Regional land use planning must explicitly consider the implications of </w:t>
      </w:r>
      <w:r w:rsidR="0028534E">
        <w:t>flood</w:t>
      </w:r>
      <w:r w:rsidRPr="00225D10">
        <w:t xml:space="preserve"> on growth, particularly settlement growth. </w:t>
      </w:r>
      <w:r w:rsidR="00CE37C2" w:rsidRPr="00225D10">
        <w:t xml:space="preserve">The </w:t>
      </w:r>
      <w:r w:rsidR="00A84019">
        <w:t>r</w:t>
      </w:r>
      <w:r w:rsidR="007A25AA" w:rsidRPr="00225D10">
        <w:t xml:space="preserve">egional </w:t>
      </w:r>
      <w:r w:rsidR="00A84019">
        <w:t>g</w:t>
      </w:r>
      <w:r w:rsidR="00A84019" w:rsidRPr="00225D10">
        <w:t xml:space="preserve">rowth </w:t>
      </w:r>
      <w:r w:rsidR="00A84019">
        <w:t>p</w:t>
      </w:r>
      <w:r w:rsidR="00A84019" w:rsidRPr="00225D10">
        <w:t xml:space="preserve">lan </w:t>
      </w:r>
      <w:r w:rsidR="00CE37C2" w:rsidRPr="00225D10">
        <w:t xml:space="preserve">shows where </w:t>
      </w:r>
      <w:r w:rsidR="0028534E">
        <w:t>flood</w:t>
      </w:r>
      <w:r w:rsidR="00CE37C2" w:rsidRPr="00225D10">
        <w:t xml:space="preserve"> is a key consideration for </w:t>
      </w:r>
      <w:r w:rsidR="007A25AA" w:rsidRPr="00225D10">
        <w:t xml:space="preserve">the </w:t>
      </w:r>
      <w:r w:rsidR="00CE37C2" w:rsidRPr="00225D10">
        <w:t>growth of specific settlements</w:t>
      </w:r>
      <w:r w:rsidR="007A25AA" w:rsidRPr="00225D10">
        <w:t>,</w:t>
      </w:r>
      <w:r w:rsidR="00CE37C2" w:rsidRPr="00225D10">
        <w:t xml:space="preserve"> and the settlement framework for Bendigo has explicitly considered </w:t>
      </w:r>
      <w:r w:rsidR="0028534E">
        <w:t>flood</w:t>
      </w:r>
      <w:r w:rsidR="00CE37C2" w:rsidRPr="00225D10">
        <w:t xml:space="preserve"> risk in determining future development areas.</w:t>
      </w:r>
      <w:r w:rsidRPr="00225D10">
        <w:t xml:space="preserve"> </w:t>
      </w:r>
      <w:r w:rsidR="0028534E">
        <w:t>Flood</w:t>
      </w:r>
      <w:r w:rsidRPr="00225D10">
        <w:t xml:space="preserve"> is also an issue across the broader landscape.</w:t>
      </w:r>
    </w:p>
    <w:p w:rsidR="004C284D" w:rsidRPr="00225D10" w:rsidRDefault="004C284D" w:rsidP="00D34F87">
      <w:pPr>
        <w:pStyle w:val="bt"/>
        <w:tabs>
          <w:tab w:val="left" w:pos="8931"/>
        </w:tabs>
      </w:pPr>
      <w:r w:rsidRPr="00225D10">
        <w:t xml:space="preserve">Land use planning decisions should be based on the best quality information on </w:t>
      </w:r>
      <w:r w:rsidR="0028534E">
        <w:t>flood</w:t>
      </w:r>
      <w:r w:rsidRPr="00225D10">
        <w:t xml:space="preserve"> hazard to minimise risk to life, property, community infrastructure and environmental assets. </w:t>
      </w:r>
      <w:r w:rsidR="00FC52E1" w:rsidRPr="00225D10">
        <w:t>Flood provisions in planning schemes should be used consistently across the region to avoid inappropriate development</w:t>
      </w:r>
      <w:r w:rsidR="00A84019">
        <w:t xml:space="preserve">, </w:t>
      </w:r>
      <w:r w:rsidR="00FC52E1" w:rsidRPr="00225D10">
        <w:t>or redevelopment</w:t>
      </w:r>
      <w:r w:rsidR="00A84019">
        <w:t xml:space="preserve">, </w:t>
      </w:r>
      <w:r w:rsidR="00FC52E1" w:rsidRPr="00225D10">
        <w:t xml:space="preserve">or require appropriate development responses, as well as apply design responses through the building code. New development will be directed away from areas of highest floodplain hazard and development should not be supported if it increases the flood risk for other sensitive areas or development. </w:t>
      </w:r>
    </w:p>
    <w:p w:rsidR="004C284D" w:rsidRPr="00225D10" w:rsidRDefault="00EC6C49" w:rsidP="00D34F87">
      <w:pPr>
        <w:pStyle w:val="bt"/>
        <w:tabs>
          <w:tab w:val="left" w:pos="8931"/>
        </w:tabs>
      </w:pPr>
      <w:r>
        <w:t>Fl</w:t>
      </w:r>
      <w:r w:rsidRPr="00225D10">
        <w:t>ood mapping</w:t>
      </w:r>
      <w:r>
        <w:t xml:space="preserve"> and planning schemes need to be</w:t>
      </w:r>
      <w:r w:rsidRPr="00225D10">
        <w:t xml:space="preserve"> updated</w:t>
      </w:r>
      <w:r w:rsidRPr="00225D10" w:rsidDel="00EC6C49">
        <w:t xml:space="preserve"> </w:t>
      </w:r>
      <w:r w:rsidR="004C284D" w:rsidRPr="00225D10">
        <w:t xml:space="preserve">to </w:t>
      </w:r>
      <w:r w:rsidRPr="00225D10">
        <w:t xml:space="preserve">accurately reflect </w:t>
      </w:r>
      <w:r>
        <w:t xml:space="preserve">available </w:t>
      </w:r>
      <w:r w:rsidRPr="00225D10">
        <w:t xml:space="preserve">information </w:t>
      </w:r>
      <w:r>
        <w:t>about flood hazard and to</w:t>
      </w:r>
      <w:r w:rsidRPr="00225D10">
        <w:t xml:space="preserve"> </w:t>
      </w:r>
      <w:r w:rsidR="004C284D" w:rsidRPr="00225D10">
        <w:t>prevent future development in flood prone areas.</w:t>
      </w:r>
    </w:p>
    <w:p w:rsidR="00E8192C" w:rsidRPr="00225D10" w:rsidRDefault="00267D13" w:rsidP="00655244">
      <w:pPr>
        <w:pStyle w:val="Heading3"/>
      </w:pPr>
      <w:bookmarkStart w:id="147" w:name="_Toc371951921"/>
      <w:bookmarkStart w:id="148" w:name="_Toc372889301"/>
      <w:bookmarkStart w:id="149" w:name="_Toc374530879"/>
      <w:r w:rsidRPr="00225D10">
        <w:t>Bushfire</w:t>
      </w:r>
      <w:bookmarkEnd w:id="147"/>
      <w:bookmarkEnd w:id="148"/>
      <w:bookmarkEnd w:id="149"/>
    </w:p>
    <w:p w:rsidR="002A5248" w:rsidRPr="00225D10" w:rsidRDefault="00782223" w:rsidP="00D34F87">
      <w:pPr>
        <w:pStyle w:val="bt"/>
        <w:tabs>
          <w:tab w:val="left" w:pos="8931"/>
        </w:tabs>
      </w:pPr>
      <w:r w:rsidRPr="00225D10">
        <w:t>Bushfire</w:t>
      </w:r>
      <w:r w:rsidR="00CE37C2" w:rsidRPr="00225D10">
        <w:t xml:space="preserve"> </w:t>
      </w:r>
      <w:r w:rsidRPr="00225D10">
        <w:t xml:space="preserve">hazard </w:t>
      </w:r>
      <w:r w:rsidR="00CE37C2" w:rsidRPr="00225D10">
        <w:t xml:space="preserve">is a key consideration for future development, particularly given recent changes </w:t>
      </w:r>
      <w:r w:rsidR="00EC6C49">
        <w:t>to</w:t>
      </w:r>
      <w:r w:rsidR="00CE37C2" w:rsidRPr="00225D10">
        <w:t xml:space="preserve"> planning regulations as a result of the 2009 Victorian Bushfires Royal Commission</w:t>
      </w:r>
      <w:r w:rsidR="000C162E">
        <w:t>.</w:t>
      </w:r>
      <w:r w:rsidR="00CE37C2" w:rsidRPr="000C162E">
        <w:rPr>
          <w:rStyle w:val="FootnoteReference"/>
          <w:rFonts w:asciiTheme="minorHAnsi" w:hAnsiTheme="minorHAnsi" w:cs="Arial"/>
          <w:szCs w:val="20"/>
        </w:rPr>
        <w:footnoteReference w:id="27"/>
      </w:r>
      <w:r w:rsidR="00CE37C2" w:rsidRPr="000C162E">
        <w:rPr>
          <w:szCs w:val="20"/>
        </w:rPr>
        <w:t xml:space="preserve"> </w:t>
      </w:r>
      <w:r w:rsidR="00CE37C2" w:rsidRPr="00225D10">
        <w:t>The implications of these changes are still emerging and have been included</w:t>
      </w:r>
      <w:r w:rsidR="007A25AA" w:rsidRPr="00225D10">
        <w:t>,</w:t>
      </w:r>
      <w:r w:rsidR="00CE37C2" w:rsidRPr="00225D10">
        <w:t xml:space="preserve"> where possible</w:t>
      </w:r>
      <w:r w:rsidR="007A25AA" w:rsidRPr="00225D10">
        <w:t>,</w:t>
      </w:r>
      <w:r w:rsidR="00CE37C2" w:rsidRPr="00225D10">
        <w:t xml:space="preserve"> as a consideration in growth planning. Of major significance for land use planning is the requirement to prioritise the protection of human life over other policy considerations, reinforced by an explicit requirement to apply the precautionary principle in decision</w:t>
      </w:r>
      <w:r w:rsidR="007A25AA" w:rsidRPr="00225D10">
        <w:t>-</w:t>
      </w:r>
      <w:r w:rsidR="00CE37C2" w:rsidRPr="00225D10">
        <w:t>making when assessing the risk to life, property and community infrastructure.</w:t>
      </w:r>
    </w:p>
    <w:p w:rsidR="0048056A" w:rsidRPr="0048056A" w:rsidRDefault="00CE37C2" w:rsidP="00D34F87">
      <w:pPr>
        <w:pStyle w:val="bt"/>
        <w:tabs>
          <w:tab w:val="left" w:pos="8931"/>
        </w:tabs>
      </w:pPr>
      <w:r w:rsidRPr="00225D10">
        <w:t xml:space="preserve">Predictions indicate that as the climate changes there will be an increase in the number of extreme fire index days each </w:t>
      </w:r>
      <w:r w:rsidRPr="0048056A">
        <w:t xml:space="preserve">year. Bushfire frequency and intensity is likely to increase as a result of climate change.  </w:t>
      </w:r>
      <w:bookmarkStart w:id="150" w:name="_Ref352165833"/>
    </w:p>
    <w:p w:rsidR="0048056A" w:rsidRPr="0048056A" w:rsidRDefault="0048056A" w:rsidP="00D34F87">
      <w:pPr>
        <w:pStyle w:val="bt"/>
        <w:tabs>
          <w:tab w:val="left" w:pos="8931"/>
        </w:tabs>
      </w:pPr>
      <w:r w:rsidRPr="0048056A">
        <w:t xml:space="preserve">The Loddon Mallee South region has significant bushfire hazard, not just from large treed areas, but also from grasslands in the region. Many landscapes that are most attractive to residents and tourists are at the highest risk from bushfire. The </w:t>
      </w:r>
      <w:r w:rsidR="00A366CB">
        <w:t xml:space="preserve">application of the </w:t>
      </w:r>
      <w:r w:rsidRPr="0048056A">
        <w:t xml:space="preserve">existing Bushfire Management </w:t>
      </w:r>
      <w:r w:rsidR="00EC6C49">
        <w:t>Overlay</w:t>
      </w:r>
      <w:r w:rsidRPr="0048056A">
        <w:t xml:space="preserve"> </w:t>
      </w:r>
      <w:r w:rsidR="00A366CB">
        <w:t>to</w:t>
      </w:r>
      <w:r w:rsidRPr="0048056A">
        <w:t xml:space="preserve"> the region is shown in </w:t>
      </w:r>
      <w:r w:rsidR="00680EEE">
        <w:fldChar w:fldCharType="begin"/>
      </w:r>
      <w:r w:rsidR="00680EEE">
        <w:instrText xml:space="preserve"> REF _Ref353353560 \h  \* MERGEFORMAT </w:instrText>
      </w:r>
      <w:r w:rsidR="00680EEE">
        <w:fldChar w:fldCharType="separate"/>
      </w:r>
      <w:r w:rsidR="00EF1401" w:rsidRPr="00225D10">
        <w:t xml:space="preserve">Figure </w:t>
      </w:r>
      <w:r w:rsidR="00EF1401">
        <w:rPr>
          <w:noProof/>
        </w:rPr>
        <w:t>29</w:t>
      </w:r>
      <w:r w:rsidR="00680EEE">
        <w:fldChar w:fldCharType="end"/>
      </w:r>
      <w:r w:rsidRPr="0048056A">
        <w:t xml:space="preserve">. This overlay </w:t>
      </w:r>
      <w:r w:rsidR="00A366CB">
        <w:t xml:space="preserve">is to </w:t>
      </w:r>
      <w:r w:rsidRPr="0048056A">
        <w:t>be</w:t>
      </w:r>
      <w:r w:rsidR="000B533A">
        <w:t xml:space="preserve"> updated</w:t>
      </w:r>
      <w:r w:rsidRPr="0048056A">
        <w:t xml:space="preserve"> to reflect the most recent understanding of bushfire hazard.</w:t>
      </w:r>
    </w:p>
    <w:p w:rsidR="0048056A" w:rsidRPr="0048056A" w:rsidRDefault="0048056A" w:rsidP="00D34F87">
      <w:pPr>
        <w:pStyle w:val="bt"/>
        <w:tabs>
          <w:tab w:val="left" w:pos="8931"/>
        </w:tabs>
      </w:pPr>
      <w:r w:rsidRPr="0048056A">
        <w:t>Pressures to develop in highly attractive areas in the Loddon Mallee South region are likely to continue, and present significant challenges for land use planning. Regional and localised planning should consider bushfire hazard in detail, with the assistance of planning tools</w:t>
      </w:r>
      <w:r w:rsidR="00A84019">
        <w:t xml:space="preserve">, </w:t>
      </w:r>
      <w:r w:rsidRPr="0048056A">
        <w:t xml:space="preserve">such as </w:t>
      </w:r>
      <w:r w:rsidR="00A366CB">
        <w:t xml:space="preserve">the </w:t>
      </w:r>
      <w:r w:rsidRPr="0048056A">
        <w:t xml:space="preserve">Bushfire Management </w:t>
      </w:r>
      <w:r w:rsidR="00EC6C49">
        <w:t>Overlay</w:t>
      </w:r>
      <w:r w:rsidRPr="0048056A">
        <w:t xml:space="preserve">, Regional Bushfire Planning Assessments and </w:t>
      </w:r>
      <w:r w:rsidR="00A366CB">
        <w:t xml:space="preserve">the mapping of </w:t>
      </w:r>
      <w:r w:rsidRPr="0048056A">
        <w:t>Bushfire Prone Areas, as well as input from key stakeholders such as the Country Fire Authority.</w:t>
      </w:r>
    </w:p>
    <w:p w:rsidR="0048056A" w:rsidRPr="0048056A" w:rsidRDefault="0048056A" w:rsidP="00D34F87">
      <w:pPr>
        <w:pStyle w:val="bt"/>
        <w:tabs>
          <w:tab w:val="left" w:pos="8931"/>
        </w:tabs>
      </w:pPr>
      <w:r w:rsidRPr="0048056A">
        <w:t xml:space="preserve">In line with 2009 Victorian Bushfires Royal Commission recommendations, new development should be substantially restricted in the areas of highest bushfire risk, while giving due consideration to biodiversity conservation. Strategic and settlement planning need to clearly demonstrate how bushfire risk has been considered and how a response to risk has informed that planning. </w:t>
      </w:r>
    </w:p>
    <w:p w:rsidR="0048056A" w:rsidRPr="0048056A" w:rsidRDefault="0048056A" w:rsidP="00D34F87">
      <w:pPr>
        <w:pStyle w:val="bt"/>
        <w:tabs>
          <w:tab w:val="left" w:pos="8931"/>
        </w:tabs>
      </w:pPr>
      <w:r w:rsidRPr="0048056A">
        <w:lastRenderedPageBreak/>
        <w:t xml:space="preserve">The </w:t>
      </w:r>
      <w:r w:rsidR="00A84019">
        <w:t>r</w:t>
      </w:r>
      <w:r w:rsidRPr="0048056A">
        <w:t xml:space="preserve">egional </w:t>
      </w:r>
      <w:r w:rsidR="00A84019">
        <w:t>g</w:t>
      </w:r>
      <w:r w:rsidR="00A84019" w:rsidRPr="0048056A">
        <w:t xml:space="preserve">rowth </w:t>
      </w:r>
      <w:r w:rsidR="00A84019">
        <w:t>p</w:t>
      </w:r>
      <w:r w:rsidR="00A84019" w:rsidRPr="0048056A">
        <w:t xml:space="preserve">lan </w:t>
      </w:r>
      <w:r w:rsidRPr="0048056A">
        <w:t xml:space="preserve">shows where bushfire risk is a key consideration for growth of specific settlements. The settlement framework </w:t>
      </w:r>
      <w:r w:rsidR="00997C90">
        <w:t xml:space="preserve">for </w:t>
      </w:r>
      <w:r w:rsidRPr="0048056A">
        <w:t>Bendigo has explicitly considered bushfire risk in determining future areas for new development. Bushfire risks to tourism and landscape values also need to be considered when considering non-urban changes in land use in the region.</w:t>
      </w:r>
    </w:p>
    <w:p w:rsidR="00CE5245" w:rsidRDefault="0048056A" w:rsidP="00D34F87">
      <w:pPr>
        <w:pStyle w:val="bt"/>
        <w:tabs>
          <w:tab w:val="left" w:pos="8931"/>
        </w:tabs>
      </w:pPr>
      <w:r w:rsidRPr="0048056A">
        <w:t xml:space="preserve">Bushfire risk will need to be assessed to a finer level when more detailed planning is underway at a municipal level. Regional Bushfire Planning Assessments identify where a significant bushfire hazard may affect land use planning, and identify features such as settlements, urban interfaces and single access roads. They are a resource to assist councils to support community resilience to bushfire with their strategic planning such as preparing a planning scheme amendment. </w:t>
      </w:r>
    </w:p>
    <w:p w:rsidR="004A1FF9" w:rsidRDefault="00CE5245">
      <w:pPr>
        <w:pStyle w:val="Caption"/>
      </w:pPr>
      <w:bookmarkStart w:id="151" w:name="_Ref353353560"/>
      <w:r>
        <w:rPr>
          <w:noProof/>
        </w:rPr>
        <w:drawing>
          <wp:anchor distT="0" distB="0" distL="114300" distR="114300" simplePos="0" relativeHeight="251670528" behindDoc="0" locked="0" layoutInCell="1" allowOverlap="1">
            <wp:simplePos x="0" y="0"/>
            <wp:positionH relativeFrom="column">
              <wp:posOffset>20955</wp:posOffset>
            </wp:positionH>
            <wp:positionV relativeFrom="paragraph">
              <wp:posOffset>327025</wp:posOffset>
            </wp:positionV>
            <wp:extent cx="6495415" cy="4508500"/>
            <wp:effectExtent l="19050" t="0" r="635" b="0"/>
            <wp:wrapTopAndBottom/>
            <wp:docPr id="26" name="Picture 6" descr="Map showing Bushfire Management Overlays in the Loddon Mallee Sout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GIS\RGP\LMS\LMS_BMO_130813.jpg"/>
                    <pic:cNvPicPr>
                      <a:picLocks noChangeAspect="1" noChangeArrowheads="1"/>
                    </pic:cNvPicPr>
                  </pic:nvPicPr>
                  <pic:blipFill>
                    <a:blip r:embed="rId38" cstate="email"/>
                    <a:srcRect/>
                    <a:stretch>
                      <a:fillRect/>
                    </a:stretch>
                  </pic:blipFill>
                  <pic:spPr bwMode="auto">
                    <a:xfrm>
                      <a:off x="0" y="0"/>
                      <a:ext cx="6495415" cy="4508500"/>
                    </a:xfrm>
                    <a:prstGeom prst="rect">
                      <a:avLst/>
                    </a:prstGeom>
                    <a:noFill/>
                    <a:ln w="9525">
                      <a:noFill/>
                      <a:miter lim="800000"/>
                      <a:headEnd/>
                      <a:tailEnd/>
                    </a:ln>
                  </pic:spPr>
                </pic:pic>
              </a:graphicData>
            </a:graphic>
          </wp:anchor>
        </w:drawing>
      </w:r>
      <w:bookmarkStart w:id="152" w:name="_Toc374530824"/>
      <w:r w:rsidR="00CE30C7" w:rsidRPr="00225D10">
        <w:t xml:space="preserve">Figure </w:t>
      </w:r>
      <w:r w:rsidR="00162534">
        <w:fldChar w:fldCharType="begin"/>
      </w:r>
      <w:r w:rsidR="00154847">
        <w:instrText xml:space="preserve"> SEQ Figure \* ARABIC </w:instrText>
      </w:r>
      <w:r w:rsidR="00162534">
        <w:fldChar w:fldCharType="separate"/>
      </w:r>
      <w:r w:rsidR="00EF1401">
        <w:rPr>
          <w:noProof/>
        </w:rPr>
        <w:t>29</w:t>
      </w:r>
      <w:r w:rsidR="00162534">
        <w:fldChar w:fldCharType="end"/>
      </w:r>
      <w:bookmarkEnd w:id="150"/>
      <w:bookmarkEnd w:id="151"/>
      <w:r w:rsidR="00377F5C">
        <w:t xml:space="preserve">: </w:t>
      </w:r>
      <w:r w:rsidR="00CF7800">
        <w:t>Bushfire Management Overlays in</w:t>
      </w:r>
      <w:r w:rsidR="00CE30C7" w:rsidRPr="00225D10">
        <w:t xml:space="preserve"> the Loddon Mallee South region</w:t>
      </w:r>
      <w:bookmarkEnd w:id="152"/>
    </w:p>
    <w:p w:rsidR="008574D0" w:rsidRDefault="008574D0" w:rsidP="00D34F87">
      <w:pPr>
        <w:pStyle w:val="Source"/>
        <w:tabs>
          <w:tab w:val="left" w:pos="8931"/>
        </w:tabs>
      </w:pPr>
      <w:r>
        <w:t>Source: Department of Transport, Planning and Local Infrastructure</w:t>
      </w:r>
    </w:p>
    <w:p w:rsidR="00E8192C" w:rsidRPr="00225D10" w:rsidRDefault="00267D13" w:rsidP="00655244">
      <w:pPr>
        <w:pStyle w:val="Heading3"/>
      </w:pPr>
      <w:bookmarkStart w:id="153" w:name="_Toc371951922"/>
      <w:bookmarkStart w:id="154" w:name="_Toc372889302"/>
      <w:bookmarkStart w:id="155" w:name="_Toc374530880"/>
      <w:r w:rsidRPr="00225D10">
        <w:t>Climate change</w:t>
      </w:r>
      <w:bookmarkEnd w:id="153"/>
      <w:bookmarkEnd w:id="154"/>
      <w:bookmarkEnd w:id="155"/>
    </w:p>
    <w:p w:rsidR="00226F84" w:rsidRPr="00225D10" w:rsidRDefault="00226F84" w:rsidP="00D34F87">
      <w:pPr>
        <w:pStyle w:val="bt"/>
        <w:tabs>
          <w:tab w:val="left" w:pos="8931"/>
        </w:tabs>
      </w:pPr>
      <w:r w:rsidRPr="00225D10">
        <w:t xml:space="preserve">Predicted changes in rainfall, temperature and evaporation as a result of climate change suggest the Loddon Mallee South region will be hotter and drier than </w:t>
      </w:r>
      <w:r w:rsidR="001934FE" w:rsidRPr="00225D10">
        <w:t xml:space="preserve">it is </w:t>
      </w:r>
      <w:r w:rsidRPr="00225D10">
        <w:t>today. Bushfire risk is expected to increase</w:t>
      </w:r>
      <w:r w:rsidR="001934FE" w:rsidRPr="00225D10">
        <w:t>,</w:t>
      </w:r>
      <w:r w:rsidRPr="00225D10">
        <w:t xml:space="preserve"> and although rainfall is expected to decline, the intensity of heavy rainfall is likely to rise, potentially resulting in severe floods. Drought may become more common. This will have long-term consequences for the region, including:</w:t>
      </w:r>
    </w:p>
    <w:p w:rsidR="00226F84" w:rsidRPr="00225D10" w:rsidRDefault="001934FE" w:rsidP="00D34F87">
      <w:pPr>
        <w:pStyle w:val="ListParagraphSummary"/>
        <w:tabs>
          <w:tab w:val="left" w:pos="8931"/>
        </w:tabs>
      </w:pPr>
      <w:r w:rsidRPr="00225D10">
        <w:t>i</w:t>
      </w:r>
      <w:r w:rsidR="00226F84" w:rsidRPr="00225D10">
        <w:t>mplications on water</w:t>
      </w:r>
      <w:r w:rsidR="003D4211" w:rsidRPr="00225D10">
        <w:rPr>
          <w:b/>
          <w:szCs w:val="18"/>
        </w:rPr>
        <w:t xml:space="preserve"> </w:t>
      </w:r>
      <w:r w:rsidR="008D37E7" w:rsidRPr="00225D10">
        <w:t xml:space="preserve">supply and reliability, as detailed in the relevant </w:t>
      </w:r>
      <w:r w:rsidR="00A84019">
        <w:t>w</w:t>
      </w:r>
      <w:r w:rsidR="00A84019" w:rsidRPr="00225D10">
        <w:t xml:space="preserve">ater </w:t>
      </w:r>
      <w:r w:rsidR="00A84019">
        <w:t>s</w:t>
      </w:r>
      <w:r w:rsidR="00A84019" w:rsidRPr="00225D10">
        <w:t xml:space="preserve">upply </w:t>
      </w:r>
      <w:r w:rsidR="00A84019">
        <w:t>d</w:t>
      </w:r>
      <w:r w:rsidR="00A84019" w:rsidRPr="00225D10">
        <w:t xml:space="preserve">emand </w:t>
      </w:r>
      <w:r w:rsidR="00A84019">
        <w:t>s</w:t>
      </w:r>
      <w:r w:rsidR="00A84019" w:rsidRPr="00225D10">
        <w:t>trategies</w:t>
      </w:r>
    </w:p>
    <w:p w:rsidR="00226F84" w:rsidRPr="00225D10" w:rsidRDefault="001934FE" w:rsidP="00D34F87">
      <w:pPr>
        <w:pStyle w:val="ListParagraphSummary"/>
        <w:tabs>
          <w:tab w:val="left" w:pos="8931"/>
        </w:tabs>
      </w:pPr>
      <w:proofErr w:type="gramStart"/>
      <w:r w:rsidRPr="00225D10">
        <w:t>a</w:t>
      </w:r>
      <w:r w:rsidR="00226F84" w:rsidRPr="00225D10">
        <w:t>ltered</w:t>
      </w:r>
      <w:proofErr w:type="gramEnd"/>
      <w:r w:rsidR="00226F84" w:rsidRPr="00225D10">
        <w:t xml:space="preserve"> agricultural commodities within the region, particularly in </w:t>
      </w:r>
      <w:r w:rsidR="00F031C7" w:rsidRPr="00225D10">
        <w:t>dry land</w:t>
      </w:r>
      <w:r w:rsidR="00226F84" w:rsidRPr="00225D10">
        <w:t xml:space="preserve"> farming areas</w:t>
      </w:r>
      <w:r w:rsidR="003C5B57">
        <w:t>. I</w:t>
      </w:r>
      <w:r w:rsidR="00226F84" w:rsidRPr="00225D10">
        <w:t xml:space="preserve">rrigation areas may need to consider less water in the longer term, but the irrigation system will still be present within the 30 year timeframe of </w:t>
      </w:r>
      <w:r w:rsidRPr="00225D10">
        <w:t xml:space="preserve">the </w:t>
      </w:r>
      <w:r w:rsidR="00A84019">
        <w:t>r</w:t>
      </w:r>
      <w:r w:rsidRPr="00225D10">
        <w:t xml:space="preserve">egional </w:t>
      </w:r>
      <w:r w:rsidR="00A84019">
        <w:t>g</w:t>
      </w:r>
      <w:r w:rsidR="00A84019" w:rsidRPr="00225D10">
        <w:t xml:space="preserve">rowth </w:t>
      </w:r>
      <w:r w:rsidR="00A84019">
        <w:t>p</w:t>
      </w:r>
      <w:r w:rsidR="00A84019" w:rsidRPr="00225D10">
        <w:t>lan</w:t>
      </w:r>
    </w:p>
    <w:p w:rsidR="00226F84" w:rsidRPr="00225D10" w:rsidRDefault="001934FE" w:rsidP="00D34F87">
      <w:pPr>
        <w:pStyle w:val="ListParagraphSummary"/>
        <w:tabs>
          <w:tab w:val="left" w:pos="8931"/>
        </w:tabs>
      </w:pPr>
      <w:r w:rsidRPr="00225D10">
        <w:t>d</w:t>
      </w:r>
      <w:r w:rsidR="00226F84" w:rsidRPr="00225D10">
        <w:t xml:space="preserve">amage to infrastructure, industries and agriculture from severe weather events and </w:t>
      </w:r>
      <w:r w:rsidR="00861E57">
        <w:t>natural</w:t>
      </w:r>
      <w:r w:rsidR="00861E57" w:rsidRPr="00225D10">
        <w:t xml:space="preserve"> </w:t>
      </w:r>
      <w:r w:rsidR="00226F84" w:rsidRPr="00225D10">
        <w:t>hazards</w:t>
      </w:r>
    </w:p>
    <w:p w:rsidR="0000597E" w:rsidRDefault="001934FE" w:rsidP="00D34F87">
      <w:pPr>
        <w:pStyle w:val="ListParagraphSummary"/>
        <w:tabs>
          <w:tab w:val="left" w:pos="8931"/>
        </w:tabs>
      </w:pPr>
      <w:r w:rsidRPr="00225D10">
        <w:t>p</w:t>
      </w:r>
      <w:r w:rsidR="00226F84" w:rsidRPr="00225D10">
        <w:t>ressures on natural ecosystems</w:t>
      </w:r>
    </w:p>
    <w:p w:rsidR="00226F84" w:rsidRPr="00225D10" w:rsidRDefault="001934FE" w:rsidP="00D34F87">
      <w:pPr>
        <w:pStyle w:val="ListParagraphSummary"/>
        <w:tabs>
          <w:tab w:val="left" w:pos="8931"/>
        </w:tabs>
      </w:pPr>
      <w:r w:rsidRPr="00225D10">
        <w:lastRenderedPageBreak/>
        <w:t>i</w:t>
      </w:r>
      <w:r w:rsidR="00226F84" w:rsidRPr="00225D10">
        <w:t>mplications for communities, such as human health, energy use, housing needs and service provision</w:t>
      </w:r>
      <w:r w:rsidR="00226F84" w:rsidRPr="000C162E">
        <w:rPr>
          <w:rStyle w:val="FootnoteReference"/>
          <w:rFonts w:asciiTheme="minorHAnsi" w:hAnsiTheme="minorHAnsi" w:cs="Arial"/>
          <w:szCs w:val="20"/>
        </w:rPr>
        <w:footnoteReference w:id="28"/>
      </w:r>
    </w:p>
    <w:p w:rsidR="00226F84" w:rsidRPr="00225D10" w:rsidRDefault="001934FE" w:rsidP="00D34F87">
      <w:pPr>
        <w:pStyle w:val="ListParagraphSummary"/>
        <w:tabs>
          <w:tab w:val="left" w:pos="8931"/>
        </w:tabs>
      </w:pPr>
      <w:proofErr w:type="gramStart"/>
      <w:r w:rsidRPr="00225D10">
        <w:t>a</w:t>
      </w:r>
      <w:r w:rsidR="00226F84" w:rsidRPr="00225D10">
        <w:t>n</w:t>
      </w:r>
      <w:proofErr w:type="gramEnd"/>
      <w:r w:rsidR="00226F84" w:rsidRPr="00225D10">
        <w:t xml:space="preserve"> increasing likelihood of more extreme events such as heat waves, </w:t>
      </w:r>
      <w:r w:rsidR="0028534E">
        <w:t>bush</w:t>
      </w:r>
      <w:r w:rsidR="00A366CB">
        <w:t>f</w:t>
      </w:r>
      <w:r w:rsidR="0028534E">
        <w:t>ire</w:t>
      </w:r>
      <w:r w:rsidR="00226F84" w:rsidRPr="00225D10">
        <w:t xml:space="preserve"> and </w:t>
      </w:r>
      <w:r w:rsidR="0028534E">
        <w:t>flood</w:t>
      </w:r>
      <w:r w:rsidR="009B6FFA">
        <w:t>.</w:t>
      </w:r>
      <w:r w:rsidR="00226F84" w:rsidRPr="00225D10">
        <w:rPr>
          <w:rStyle w:val="FootnoteReference"/>
          <w:rFonts w:asciiTheme="minorHAnsi" w:hAnsiTheme="minorHAnsi"/>
          <w:szCs w:val="24"/>
        </w:rPr>
        <w:footnoteReference w:id="29"/>
      </w:r>
    </w:p>
    <w:p w:rsidR="00226F84" w:rsidRPr="00225D10" w:rsidRDefault="00226F84" w:rsidP="00D34F87">
      <w:pPr>
        <w:pStyle w:val="bt"/>
        <w:tabs>
          <w:tab w:val="left" w:pos="8931"/>
        </w:tabs>
      </w:pPr>
      <w:r w:rsidRPr="00225D10">
        <w:t xml:space="preserve">Regional and local planning should respond to opportunities for innovation and industry development arising from climate change and </w:t>
      </w:r>
      <w:r w:rsidR="00861E57" w:rsidRPr="00050045">
        <w:t>initiatives that support national and global action to reduce greenhouse gas emissions</w:t>
      </w:r>
      <w:r w:rsidRPr="00225D10">
        <w:t xml:space="preserve"> and where appropriate remov</w:t>
      </w:r>
      <w:r w:rsidR="00CE5245">
        <w:t>e any barriers to such action.</w:t>
      </w:r>
    </w:p>
    <w:p w:rsidR="00226F84" w:rsidRPr="00225D10" w:rsidRDefault="001934FE" w:rsidP="00D34F87">
      <w:pPr>
        <w:pStyle w:val="bt"/>
        <w:tabs>
          <w:tab w:val="left" w:pos="8931"/>
        </w:tabs>
      </w:pPr>
      <w:r w:rsidRPr="00225D10">
        <w:t xml:space="preserve">A </w:t>
      </w:r>
      <w:r w:rsidR="00226F84" w:rsidRPr="00225D10">
        <w:t xml:space="preserve">key consideration for the </w:t>
      </w:r>
      <w:r w:rsidR="00A84019">
        <w:t>r</w:t>
      </w:r>
      <w:r w:rsidR="00226F84" w:rsidRPr="00225D10">
        <w:t xml:space="preserve">egional </w:t>
      </w:r>
      <w:r w:rsidR="00A84019">
        <w:t>g</w:t>
      </w:r>
      <w:r w:rsidR="00A84019" w:rsidRPr="00225D10">
        <w:t xml:space="preserve">rowth </w:t>
      </w:r>
      <w:r w:rsidR="00A84019">
        <w:t>p</w:t>
      </w:r>
      <w:r w:rsidR="00A84019" w:rsidRPr="00225D10">
        <w:t xml:space="preserve">lan </w:t>
      </w:r>
      <w:r w:rsidR="00226F84" w:rsidRPr="00225D10">
        <w:t>is how land use planning can help improve the region’s resilience and ability to adapt to change as its impacts emerge, rather than the magnitude of potential change. For example</w:t>
      </w:r>
      <w:r w:rsidRPr="00225D10">
        <w:t>,</w:t>
      </w:r>
      <w:r w:rsidR="00226F84" w:rsidRPr="00225D10">
        <w:t xml:space="preserve"> land use in rural areas will still predominantly be farm</w:t>
      </w:r>
      <w:r w:rsidR="003C5B57">
        <w:t>ing</w:t>
      </w:r>
      <w:r w:rsidR="00226F84" w:rsidRPr="00225D10">
        <w:t xml:space="preserve">, but commodities that can successfully be cultivated on that land may change as </w:t>
      </w:r>
      <w:r w:rsidRPr="00225D10">
        <w:t xml:space="preserve">the </w:t>
      </w:r>
      <w:r w:rsidR="00226F84" w:rsidRPr="00225D10">
        <w:t>climate change</w:t>
      </w:r>
      <w:r w:rsidRPr="00225D10">
        <w:t>s</w:t>
      </w:r>
      <w:r w:rsidR="00226F84" w:rsidRPr="00225D10">
        <w:t>. Economic diversification may also occur to include other commodities and industries</w:t>
      </w:r>
      <w:r w:rsidR="00A84019">
        <w:t xml:space="preserve">, </w:t>
      </w:r>
      <w:r w:rsidR="00DB4ACA">
        <w:t>for example,</w:t>
      </w:r>
      <w:r w:rsidR="00226F84" w:rsidRPr="00225D10">
        <w:t xml:space="preserve"> </w:t>
      </w:r>
      <w:r w:rsidR="00721633" w:rsidRPr="00225D10">
        <w:t>c</w:t>
      </w:r>
      <w:r w:rsidR="00226F84" w:rsidRPr="00225D10">
        <w:t>arbon farming, renewable energies or new industries.</w:t>
      </w:r>
      <w:r w:rsidR="004F1D60" w:rsidRPr="00225D10">
        <w:t xml:space="preserve"> There will also be a likely increase in exposure to natural hazards.</w:t>
      </w:r>
    </w:p>
    <w:p w:rsidR="00226F84" w:rsidRPr="00225D10" w:rsidRDefault="00226F84" w:rsidP="00D34F87">
      <w:pPr>
        <w:pStyle w:val="bt"/>
        <w:tabs>
          <w:tab w:val="left" w:pos="8931"/>
        </w:tabs>
      </w:pPr>
      <w:r w:rsidRPr="00225D10">
        <w:t xml:space="preserve">In terms of supporting the region’s resilience, key </w:t>
      </w:r>
      <w:r w:rsidR="00721633" w:rsidRPr="00225D10">
        <w:t xml:space="preserve">questions </w:t>
      </w:r>
      <w:r w:rsidRPr="00225D10">
        <w:t xml:space="preserve">for the Loddon Mallee South </w:t>
      </w:r>
      <w:r w:rsidR="00721633" w:rsidRPr="00225D10">
        <w:t>r</w:t>
      </w:r>
      <w:r w:rsidRPr="00225D10">
        <w:t>egion include:</w:t>
      </w:r>
    </w:p>
    <w:p w:rsidR="00226F84" w:rsidRPr="00225D10" w:rsidRDefault="00226F84" w:rsidP="00D34F87">
      <w:pPr>
        <w:pStyle w:val="ListParagraphSummary"/>
        <w:tabs>
          <w:tab w:val="left" w:pos="8931"/>
        </w:tabs>
      </w:pPr>
      <w:r w:rsidRPr="00225D10">
        <w:t xml:space="preserve">As commodities shift, what </w:t>
      </w:r>
      <w:r w:rsidR="003C5B57">
        <w:t>e</w:t>
      </w:r>
      <w:r w:rsidRPr="00225D10">
        <w:t>ffect might this have on the supporting industries and freight task within the region?</w:t>
      </w:r>
    </w:p>
    <w:p w:rsidR="00226F84" w:rsidRPr="00225D10" w:rsidRDefault="00226F84" w:rsidP="00D34F87">
      <w:pPr>
        <w:pStyle w:val="ListParagraphSummary"/>
        <w:tabs>
          <w:tab w:val="left" w:pos="8931"/>
        </w:tabs>
      </w:pPr>
      <w:r w:rsidRPr="00225D10">
        <w:t>What land use implications might these changes have?</w:t>
      </w:r>
    </w:p>
    <w:p w:rsidR="00226F84" w:rsidRPr="00225D10" w:rsidRDefault="00226F84" w:rsidP="00D34F87">
      <w:pPr>
        <w:pStyle w:val="ListParagraphSummary"/>
        <w:tabs>
          <w:tab w:val="left" w:pos="8931"/>
        </w:tabs>
      </w:pPr>
      <w:r w:rsidRPr="00225D10">
        <w:t>What implications might these potential changes have on the settlements in the region?</w:t>
      </w:r>
    </w:p>
    <w:p w:rsidR="00226F84" w:rsidRPr="00225D10" w:rsidRDefault="00226F84" w:rsidP="00D34F87">
      <w:pPr>
        <w:pStyle w:val="ListParagraphSummary"/>
        <w:tabs>
          <w:tab w:val="left" w:pos="8931"/>
        </w:tabs>
      </w:pPr>
      <w:r w:rsidRPr="00225D10">
        <w:t xml:space="preserve">What adaptability does the </w:t>
      </w:r>
      <w:r w:rsidR="003C5B57">
        <w:t>r</w:t>
      </w:r>
      <w:r w:rsidRPr="00225D10">
        <w:t>egional</w:t>
      </w:r>
      <w:r w:rsidR="003C5B57">
        <w:t xml:space="preserve"> g</w:t>
      </w:r>
      <w:r w:rsidRPr="00225D10">
        <w:t xml:space="preserve">rowth </w:t>
      </w:r>
      <w:r w:rsidR="003C5B57">
        <w:t>p</w:t>
      </w:r>
      <w:r w:rsidRPr="00225D10">
        <w:t xml:space="preserve">lan need to include </w:t>
      </w:r>
      <w:proofErr w:type="gramStart"/>
      <w:r w:rsidRPr="00225D10">
        <w:t>to enable</w:t>
      </w:r>
      <w:proofErr w:type="gramEnd"/>
      <w:r w:rsidRPr="00225D10">
        <w:t xml:space="preserve"> this shift to occur, and ultimately strengthen the region’s economy?</w:t>
      </w:r>
    </w:p>
    <w:p w:rsidR="001E6C39" w:rsidRDefault="00226F84" w:rsidP="00D34F87">
      <w:pPr>
        <w:pStyle w:val="bt"/>
        <w:tabs>
          <w:tab w:val="left" w:pos="8931"/>
        </w:tabs>
      </w:pPr>
      <w:r w:rsidRPr="00225D10">
        <w:t xml:space="preserve">Consideration should </w:t>
      </w:r>
      <w:r w:rsidR="003C5B57">
        <w:t xml:space="preserve">also </w:t>
      </w:r>
      <w:r w:rsidRPr="00225D10">
        <w:t xml:space="preserve">be given to the appropriate design of urban areas to address potential risks of climate change on settlements (such as increased urban heat </w:t>
      </w:r>
      <w:r w:rsidR="00721633" w:rsidRPr="00225D10">
        <w:t xml:space="preserve">island </w:t>
      </w:r>
      <w:r w:rsidRPr="00225D10">
        <w:t>effects).</w:t>
      </w:r>
    </w:p>
    <w:p w:rsidR="001E6C39" w:rsidRDefault="00267D13" w:rsidP="00655244">
      <w:pPr>
        <w:pStyle w:val="Heading3"/>
      </w:pPr>
      <w:bookmarkStart w:id="156" w:name="_Toc371951923"/>
      <w:bookmarkStart w:id="157" w:name="_Toc372889303"/>
      <w:bookmarkStart w:id="158" w:name="_Toc374530881"/>
      <w:r w:rsidRPr="00225D10">
        <w:t>Soil health threats</w:t>
      </w:r>
      <w:bookmarkEnd w:id="156"/>
      <w:bookmarkEnd w:id="157"/>
      <w:bookmarkEnd w:id="158"/>
    </w:p>
    <w:p w:rsidR="00CE37C2" w:rsidRPr="00225D10" w:rsidRDefault="00CE37C2" w:rsidP="00D34F87">
      <w:pPr>
        <w:pStyle w:val="Heading4"/>
        <w:tabs>
          <w:tab w:val="left" w:pos="8931"/>
        </w:tabs>
      </w:pPr>
      <w:r w:rsidRPr="00225D10">
        <w:t>Salinity</w:t>
      </w:r>
    </w:p>
    <w:p w:rsidR="00CE37C2" w:rsidRPr="00225D10" w:rsidRDefault="00CE37C2" w:rsidP="00D34F87">
      <w:pPr>
        <w:pStyle w:val="bt"/>
        <w:tabs>
          <w:tab w:val="left" w:pos="8931"/>
        </w:tabs>
      </w:pPr>
      <w:r w:rsidRPr="00225D10">
        <w:t xml:space="preserve">Since Victoria was extensively settled, the replacement of native vegetation with crops and pastures, along with the rise of irrigation developments </w:t>
      </w:r>
      <w:r w:rsidR="000C1A08" w:rsidRPr="00225D10">
        <w:t xml:space="preserve">has </w:t>
      </w:r>
      <w:r w:rsidRPr="00225D10">
        <w:t xml:space="preserve">resulted in changes to the water balance. Throughout many areas of Victoria, this </w:t>
      </w:r>
      <w:r w:rsidR="000C1A08" w:rsidRPr="00225D10">
        <w:t xml:space="preserve">altered </w:t>
      </w:r>
      <w:r w:rsidRPr="00225D10">
        <w:t xml:space="preserve">water balance has seen an increase in the height of saline groundwater, resulting in groundwater discharging to the surface in some areas. Discharge areas become saline, often waterlogged, </w:t>
      </w:r>
      <w:r w:rsidR="000C1A08" w:rsidRPr="00225D10">
        <w:t xml:space="preserve">which </w:t>
      </w:r>
      <w:r w:rsidR="004173A8" w:rsidRPr="00225D10">
        <w:t xml:space="preserve">results in soil erosion and the ability to </w:t>
      </w:r>
      <w:r w:rsidRPr="00225D10">
        <w:t xml:space="preserve">support </w:t>
      </w:r>
      <w:r w:rsidR="00E00D66" w:rsidRPr="00225D10">
        <w:t xml:space="preserve">only </w:t>
      </w:r>
      <w:r w:rsidRPr="00225D10">
        <w:t>salt</w:t>
      </w:r>
      <w:r w:rsidR="00E00D66" w:rsidRPr="00225D10">
        <w:t>-</w:t>
      </w:r>
      <w:r w:rsidRPr="00225D10">
        <w:t xml:space="preserve">tolerant vegetation. Rising groundwater is as much an environmental problem as </w:t>
      </w:r>
      <w:r w:rsidR="004173A8" w:rsidRPr="00225D10">
        <w:t xml:space="preserve">it is </w:t>
      </w:r>
      <w:r w:rsidRPr="00225D10">
        <w:t>an issue to agriculture and urban areas.</w:t>
      </w:r>
    </w:p>
    <w:p w:rsidR="00CE37C2" w:rsidRPr="00225D10" w:rsidRDefault="00CE37C2" w:rsidP="00D34F87">
      <w:pPr>
        <w:pStyle w:val="bt"/>
        <w:tabs>
          <w:tab w:val="left" w:pos="8931"/>
        </w:tabs>
      </w:pPr>
      <w:r w:rsidRPr="00225D10">
        <w:t xml:space="preserve">Urban salinity is an emerging problem across Victoria, causing damage to many natural and built assets including buildings, bridges, pipelines, cemeteries, parks and gardens, lakes and waterways. Salinity also affects private homes and gardens. Salinity in urban areas can cause significant damage to structures such as pavements, roads, bricks and mortar, and can corrode and damage underground pipes. It can also result in dying gardens, bare soils or soils that can only </w:t>
      </w:r>
      <w:r w:rsidR="004173A8" w:rsidRPr="00225D10">
        <w:t xml:space="preserve">support </w:t>
      </w:r>
      <w:r w:rsidRPr="00225D10">
        <w:t>salt-tolerant species</w:t>
      </w:r>
      <w:r w:rsidR="004173A8" w:rsidRPr="00225D10">
        <w:t>.</w:t>
      </w:r>
    </w:p>
    <w:p w:rsidR="00B9045E" w:rsidRPr="00225D10" w:rsidRDefault="00CE37C2" w:rsidP="00D34F87">
      <w:pPr>
        <w:pStyle w:val="bt"/>
        <w:tabs>
          <w:tab w:val="left" w:pos="8931"/>
        </w:tabs>
      </w:pPr>
      <w:r w:rsidRPr="00225D10">
        <w:t>The impacts of salinity both in urban and rural areas decreased during the extended drought</w:t>
      </w:r>
      <w:r w:rsidR="00E00D66" w:rsidRPr="00225D10">
        <w:t xml:space="preserve"> but </w:t>
      </w:r>
      <w:r w:rsidRPr="00225D10">
        <w:t xml:space="preserve">the problem was only temporarily halted. The return to wetter years has seen a return of many salinity-related problems.  </w:t>
      </w:r>
    </w:p>
    <w:p w:rsidR="00CE37C2" w:rsidRPr="00225D10" w:rsidRDefault="00CE37C2" w:rsidP="00D34F87">
      <w:pPr>
        <w:pStyle w:val="bt"/>
        <w:tabs>
          <w:tab w:val="left" w:pos="8931"/>
        </w:tabs>
      </w:pPr>
      <w:r w:rsidRPr="00225D10">
        <w:t xml:space="preserve">Salinity issues are a key consideration for some settlements within </w:t>
      </w:r>
      <w:r w:rsidR="00E00D66" w:rsidRPr="00225D10">
        <w:t xml:space="preserve">the Loddon Mallee South </w:t>
      </w:r>
      <w:r w:rsidRPr="00225D10">
        <w:t>region. The history of urban salinity in Bendigo is well documented and an ongoing issue. Specific planning tools and guidelines have been developed with the City of Greater Bendigo to help with land use planning. These tools are used across the state, and are found on the Victorian Resources Online website</w:t>
      </w:r>
      <w:r w:rsidR="000C162E">
        <w:t>.</w:t>
      </w:r>
      <w:r w:rsidRPr="000C162E">
        <w:rPr>
          <w:szCs w:val="20"/>
          <w:vertAlign w:val="superscript"/>
        </w:rPr>
        <w:footnoteReference w:id="30"/>
      </w:r>
    </w:p>
    <w:p w:rsidR="0048056A" w:rsidRDefault="003C5B57" w:rsidP="00D34F87">
      <w:pPr>
        <w:pStyle w:val="bt"/>
        <w:tabs>
          <w:tab w:val="left" w:pos="8931"/>
        </w:tabs>
      </w:pPr>
      <w:r>
        <w:lastRenderedPageBreak/>
        <w:t xml:space="preserve">The </w:t>
      </w:r>
      <w:r w:rsidR="00CE37C2" w:rsidRPr="00225D10">
        <w:t xml:space="preserve">Salinity Management </w:t>
      </w:r>
      <w:r w:rsidR="00EC6C49">
        <w:t>Overlay</w:t>
      </w:r>
      <w:r w:rsidR="007C012D">
        <w:t xml:space="preserve"> (Figure 30)</w:t>
      </w:r>
      <w:r w:rsidR="00CE37C2" w:rsidRPr="00225D10">
        <w:t xml:space="preserve"> </w:t>
      </w:r>
      <w:r>
        <w:t>is</w:t>
      </w:r>
      <w:r w:rsidR="00CE37C2" w:rsidRPr="00225D10">
        <w:t xml:space="preserve"> used in some local government areas to highlight salinity issues</w:t>
      </w:r>
      <w:r w:rsidR="00E00D66" w:rsidRPr="00225D10">
        <w:t xml:space="preserve">. </w:t>
      </w:r>
      <w:r>
        <w:t>It is</w:t>
      </w:r>
      <w:r w:rsidR="00E00D66" w:rsidRPr="00225D10">
        <w:t xml:space="preserve"> </w:t>
      </w:r>
      <w:r w:rsidR="00CE37C2" w:rsidRPr="00225D10">
        <w:t xml:space="preserve">generally </w:t>
      </w:r>
      <w:r>
        <w:t xml:space="preserve">used to </w:t>
      </w:r>
      <w:r w:rsidR="00CE37C2" w:rsidRPr="00225D10">
        <w:t>identify areas subject to saline ground water discharge or high ground water recharge. Part of the purpose of th</w:t>
      </w:r>
      <w:r>
        <w:t>is</w:t>
      </w:r>
      <w:r w:rsidR="00CE37C2" w:rsidRPr="00225D10">
        <w:t xml:space="preserve"> overlay is to prevent damage to buildings and infrastructure from saline discharge and </w:t>
      </w:r>
      <w:r w:rsidR="00E00D66" w:rsidRPr="00225D10">
        <w:t xml:space="preserve">a </w:t>
      </w:r>
      <w:r w:rsidR="00CE37C2" w:rsidRPr="00225D10">
        <w:t>high watertable. S</w:t>
      </w:r>
      <w:r w:rsidR="00E00D66" w:rsidRPr="00225D10">
        <w:t xml:space="preserve">alinity Management </w:t>
      </w:r>
      <w:r w:rsidR="00EC6C49">
        <w:t>Overlay</w:t>
      </w:r>
      <w:r w:rsidR="00E00D66" w:rsidRPr="00225D10">
        <w:t xml:space="preserve"> </w:t>
      </w:r>
      <w:r w:rsidR="00CE37C2" w:rsidRPr="00225D10">
        <w:t xml:space="preserve">could be </w:t>
      </w:r>
      <w:r w:rsidR="00E00D66" w:rsidRPr="00225D10">
        <w:t xml:space="preserve">used </w:t>
      </w:r>
      <w:r w:rsidR="00CE37C2" w:rsidRPr="00225D10">
        <w:t>more consistently across the region to assist planning decisions in urban areas and areas of rural residential development.</w:t>
      </w:r>
      <w:r w:rsidR="00EB4E2A" w:rsidRPr="00225D10">
        <w:t xml:space="preserve"> </w:t>
      </w:r>
      <w:r w:rsidR="00CE37C2" w:rsidRPr="00225D10">
        <w:t xml:space="preserve">The presence and use of </w:t>
      </w:r>
      <w:r w:rsidR="00547235">
        <w:t xml:space="preserve">the </w:t>
      </w:r>
      <w:r w:rsidR="00CE37C2" w:rsidRPr="00225D10">
        <w:t>S</w:t>
      </w:r>
      <w:r w:rsidR="00E00D66" w:rsidRPr="00225D10">
        <w:t xml:space="preserve">alinity Management </w:t>
      </w:r>
      <w:r w:rsidR="00EC6C49">
        <w:t>Overlay</w:t>
      </w:r>
      <w:r w:rsidR="00E00D66" w:rsidRPr="00225D10">
        <w:t xml:space="preserve"> </w:t>
      </w:r>
      <w:r w:rsidR="00CE37C2" w:rsidRPr="00225D10">
        <w:t xml:space="preserve">for specific local government areas has informed the mapping of salinity considerations for urban growth in the </w:t>
      </w:r>
      <w:r w:rsidR="00A84019">
        <w:t>r</w:t>
      </w:r>
      <w:r w:rsidR="00E00D66" w:rsidRPr="00225D10">
        <w:t xml:space="preserve">egional </w:t>
      </w:r>
      <w:r w:rsidR="00A84019">
        <w:t>g</w:t>
      </w:r>
      <w:r w:rsidR="00A84019" w:rsidRPr="00225D10">
        <w:t xml:space="preserve">rowth </w:t>
      </w:r>
      <w:r w:rsidR="00A84019">
        <w:t>p</w:t>
      </w:r>
      <w:r w:rsidR="00A84019" w:rsidRPr="00225D10">
        <w:t>lan</w:t>
      </w:r>
      <w:r w:rsidR="00CE37C2" w:rsidRPr="00225D10">
        <w:t>.</w:t>
      </w:r>
      <w:r w:rsidR="00DC795A" w:rsidRPr="00225D10">
        <w:t xml:space="preserve"> </w:t>
      </w:r>
      <w:r w:rsidR="00B9045E" w:rsidRPr="00225D10">
        <w:t xml:space="preserve">The impacts of salinity on new development and the impacts of new development on salinity management need to be carefully considered. </w:t>
      </w:r>
    </w:p>
    <w:p w:rsidR="00CE30C7" w:rsidRDefault="00CE1B9D" w:rsidP="00D34F87">
      <w:pPr>
        <w:pStyle w:val="Caption"/>
        <w:tabs>
          <w:tab w:val="left" w:pos="8931"/>
        </w:tabs>
      </w:pPr>
      <w:r>
        <w:rPr>
          <w:noProof/>
        </w:rPr>
        <w:drawing>
          <wp:anchor distT="0" distB="0" distL="114300" distR="114300" simplePos="0" relativeHeight="251671552" behindDoc="0" locked="0" layoutInCell="1" allowOverlap="1">
            <wp:simplePos x="0" y="0"/>
            <wp:positionH relativeFrom="column">
              <wp:posOffset>-17780</wp:posOffset>
            </wp:positionH>
            <wp:positionV relativeFrom="paragraph">
              <wp:posOffset>333375</wp:posOffset>
            </wp:positionV>
            <wp:extent cx="6461125" cy="4406900"/>
            <wp:effectExtent l="19050" t="0" r="0" b="0"/>
            <wp:wrapTopAndBottom/>
            <wp:docPr id="29" name="Picture 7" descr="Map showing Salinity Management Overlays in the Loddon Mallee Sout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GIS\RGP\LMS\LMS_SMO_130813.jpg"/>
                    <pic:cNvPicPr>
                      <a:picLocks noChangeAspect="1" noChangeArrowheads="1"/>
                    </pic:cNvPicPr>
                  </pic:nvPicPr>
                  <pic:blipFill>
                    <a:blip r:embed="rId39" cstate="email"/>
                    <a:srcRect/>
                    <a:stretch>
                      <a:fillRect/>
                    </a:stretch>
                  </pic:blipFill>
                  <pic:spPr bwMode="auto">
                    <a:xfrm>
                      <a:off x="0" y="0"/>
                      <a:ext cx="6461125" cy="4406900"/>
                    </a:xfrm>
                    <a:prstGeom prst="rect">
                      <a:avLst/>
                    </a:prstGeom>
                    <a:noFill/>
                    <a:ln w="9525">
                      <a:noFill/>
                      <a:miter lim="800000"/>
                      <a:headEnd/>
                      <a:tailEnd/>
                    </a:ln>
                  </pic:spPr>
                </pic:pic>
              </a:graphicData>
            </a:graphic>
          </wp:anchor>
        </w:drawing>
      </w:r>
      <w:bookmarkStart w:id="159" w:name="_Toc374530825"/>
      <w:r w:rsidR="00CE30C7" w:rsidRPr="00225D10">
        <w:t xml:space="preserve">Figure </w:t>
      </w:r>
      <w:r w:rsidR="00162534">
        <w:fldChar w:fldCharType="begin"/>
      </w:r>
      <w:r w:rsidR="00154847">
        <w:instrText xml:space="preserve"> SEQ Figure \* ARABIC </w:instrText>
      </w:r>
      <w:r w:rsidR="00162534">
        <w:fldChar w:fldCharType="separate"/>
      </w:r>
      <w:r w:rsidR="00EF1401">
        <w:rPr>
          <w:noProof/>
        </w:rPr>
        <w:t>30</w:t>
      </w:r>
      <w:r w:rsidR="00162534">
        <w:fldChar w:fldCharType="end"/>
      </w:r>
      <w:r w:rsidR="00377F5C">
        <w:t xml:space="preserve">: </w:t>
      </w:r>
      <w:r w:rsidR="003753D6">
        <w:t>Salinity Management Overlays in</w:t>
      </w:r>
      <w:r w:rsidR="00CE30C7" w:rsidRPr="00225D10">
        <w:t xml:space="preserve"> the Loddon Mallee South region</w:t>
      </w:r>
      <w:bookmarkEnd w:id="159"/>
    </w:p>
    <w:p w:rsidR="00250500" w:rsidRDefault="00250500" w:rsidP="00D34F87">
      <w:pPr>
        <w:pStyle w:val="Source"/>
        <w:tabs>
          <w:tab w:val="left" w:pos="8931"/>
        </w:tabs>
      </w:pPr>
      <w:r>
        <w:t>Source: Department of Transport, Planning and Local Infrastructure</w:t>
      </w:r>
    </w:p>
    <w:p w:rsidR="00CE37C2" w:rsidRPr="00225D10" w:rsidRDefault="00CE37C2" w:rsidP="00D34F87">
      <w:pPr>
        <w:pStyle w:val="Heading4"/>
        <w:tabs>
          <w:tab w:val="left" w:pos="8931"/>
        </w:tabs>
      </w:pPr>
      <w:r w:rsidRPr="00225D10">
        <w:t xml:space="preserve">Potentially </w:t>
      </w:r>
      <w:r w:rsidR="000C1A08" w:rsidRPr="00225D10">
        <w:t>c</w:t>
      </w:r>
      <w:r w:rsidRPr="00225D10">
        <w:t xml:space="preserve">ontaminated </w:t>
      </w:r>
      <w:r w:rsidR="000C1A08" w:rsidRPr="00225D10">
        <w:t>l</w:t>
      </w:r>
      <w:r w:rsidRPr="00225D10">
        <w:t>and</w:t>
      </w:r>
    </w:p>
    <w:p w:rsidR="000C51F9" w:rsidRDefault="00CE37C2" w:rsidP="00D34F87">
      <w:pPr>
        <w:pStyle w:val="bt"/>
        <w:tabs>
          <w:tab w:val="left" w:pos="8931"/>
        </w:tabs>
      </w:pPr>
      <w:r w:rsidRPr="00225D10">
        <w:t>Contaminated sites are land, and often also groundwater, where chemical and metal concentrations exceed those specified in policies and regulations. Contaminated sites may pose immediate or longer-term risks to human health and the environment, depending on the type and extent of contamination and on how the site is used.</w:t>
      </w:r>
    </w:p>
    <w:p w:rsidR="00376140" w:rsidRPr="00225D10" w:rsidRDefault="00CE37C2" w:rsidP="00D34F87">
      <w:pPr>
        <w:pStyle w:val="bt"/>
        <w:tabs>
          <w:tab w:val="left" w:pos="8931"/>
        </w:tabs>
      </w:pPr>
      <w:r w:rsidRPr="00225D10">
        <w:t xml:space="preserve">There are many areas that may contain contaminated land in the </w:t>
      </w:r>
      <w:r w:rsidR="00E00D66" w:rsidRPr="00225D10">
        <w:t xml:space="preserve">Loddon Mallee South </w:t>
      </w:r>
      <w:r w:rsidRPr="00225D10">
        <w:t xml:space="preserve">region, particularly </w:t>
      </w:r>
      <w:r w:rsidR="00E00D66" w:rsidRPr="00225D10">
        <w:t xml:space="preserve">as a result of the region’s </w:t>
      </w:r>
      <w:r w:rsidRPr="00225D10">
        <w:t>gold mining history. Many of these areas could be subject to development pressures, either through infill or urban expansion, given the high occurrence of historic mining sites associated with existing settlements.</w:t>
      </w:r>
      <w:r w:rsidR="00376140" w:rsidRPr="00225D10">
        <w:t xml:space="preserve"> </w:t>
      </w:r>
      <w:r w:rsidRPr="00225D10">
        <w:t>There are also many individual properties that may have contaminated land due to historic land use and management.</w:t>
      </w:r>
    </w:p>
    <w:p w:rsidR="00123D84" w:rsidRDefault="00CE37C2" w:rsidP="00D34F87">
      <w:pPr>
        <w:pStyle w:val="bt"/>
        <w:tabs>
          <w:tab w:val="left" w:pos="8931"/>
        </w:tabs>
      </w:pPr>
      <w:r w:rsidRPr="00225D10">
        <w:t xml:space="preserve">Given </w:t>
      </w:r>
      <w:r w:rsidR="00E00D66" w:rsidRPr="00225D10">
        <w:t xml:space="preserve">that the exact location of many </w:t>
      </w:r>
      <w:r w:rsidRPr="00225D10">
        <w:t xml:space="preserve">potentially contaminated sites is not known, this poses a direct challenge for land use planning, particularly as residential development expands and infill </w:t>
      </w:r>
      <w:r w:rsidR="00E00D66" w:rsidRPr="00225D10">
        <w:t xml:space="preserve">development occurs on </w:t>
      </w:r>
      <w:r w:rsidRPr="00225D10">
        <w:t xml:space="preserve">sites </w:t>
      </w:r>
      <w:r w:rsidR="00E00D66" w:rsidRPr="00225D10">
        <w:t xml:space="preserve">with </w:t>
      </w:r>
      <w:r w:rsidRPr="00225D10">
        <w:t xml:space="preserve">a complex history. The existence of contamination can significantly restrict the viable uses of affected land, unless the contamination is </w:t>
      </w:r>
      <w:r w:rsidRPr="00225D10">
        <w:lastRenderedPageBreak/>
        <w:t>remediated</w:t>
      </w:r>
      <w:r w:rsidR="00A84019">
        <w:t xml:space="preserve">, </w:t>
      </w:r>
      <w:r w:rsidRPr="00225D10">
        <w:t>which often involves costly removal and treatment.</w:t>
      </w:r>
      <w:r w:rsidR="00376140" w:rsidRPr="00225D10">
        <w:t xml:space="preserve"> </w:t>
      </w:r>
      <w:r w:rsidR="00547235">
        <w:t>C</w:t>
      </w:r>
      <w:r w:rsidRPr="00225D10">
        <w:t>onsideration of potential contamination in planning for future growth</w:t>
      </w:r>
      <w:r w:rsidR="00547235">
        <w:t xml:space="preserve"> is needed</w:t>
      </w:r>
      <w:r w:rsidRPr="00225D10">
        <w:t xml:space="preserve"> particularly </w:t>
      </w:r>
      <w:r w:rsidR="00547235">
        <w:t>when</w:t>
      </w:r>
      <w:r w:rsidRPr="00225D10">
        <w:t xml:space="preserve"> planning is occurring at a more detailed level. </w:t>
      </w:r>
    </w:p>
    <w:p w:rsidR="00CE37C2" w:rsidRPr="00225D10" w:rsidRDefault="00CE37C2" w:rsidP="00D34F87">
      <w:pPr>
        <w:pStyle w:val="Heading4"/>
        <w:tabs>
          <w:tab w:val="left" w:pos="8931"/>
        </w:tabs>
      </w:pPr>
      <w:r w:rsidRPr="00225D10">
        <w:t xml:space="preserve">Acid </w:t>
      </w:r>
      <w:r w:rsidR="000C1A08" w:rsidRPr="00225D10">
        <w:t>s</w:t>
      </w:r>
      <w:r w:rsidRPr="00225D10">
        <w:t xml:space="preserve">ulfate </w:t>
      </w:r>
      <w:r w:rsidR="000C1A08" w:rsidRPr="00225D10">
        <w:t>s</w:t>
      </w:r>
      <w:r w:rsidRPr="00225D10">
        <w:t>oils</w:t>
      </w:r>
    </w:p>
    <w:p w:rsidR="00330E63" w:rsidRPr="00225D10" w:rsidRDefault="00CE37C2" w:rsidP="00D34F87">
      <w:pPr>
        <w:pStyle w:val="bt"/>
        <w:tabs>
          <w:tab w:val="left" w:pos="8931"/>
        </w:tabs>
      </w:pPr>
      <w:r w:rsidRPr="00225D10">
        <w:t xml:space="preserve">According to mapping available on the Australian Soil Resource Information System, there is a high probability that </w:t>
      </w:r>
      <w:r w:rsidR="00E00D66" w:rsidRPr="00225D10">
        <w:t>a</w:t>
      </w:r>
      <w:r w:rsidR="00330E63" w:rsidRPr="00225D10">
        <w:t xml:space="preserve">cid </w:t>
      </w:r>
      <w:r w:rsidR="00E00D66" w:rsidRPr="00225D10">
        <w:t>s</w:t>
      </w:r>
      <w:r w:rsidR="00330E63" w:rsidRPr="00225D10">
        <w:t xml:space="preserve">ulfate </w:t>
      </w:r>
      <w:r w:rsidR="00E00D66" w:rsidRPr="00225D10">
        <w:t>s</w:t>
      </w:r>
      <w:r w:rsidR="00330E63" w:rsidRPr="00225D10">
        <w:t xml:space="preserve">oils </w:t>
      </w:r>
      <w:r w:rsidRPr="00225D10">
        <w:t>might occur in the Loddon Mallee South region, predominantly associated with wetland sites</w:t>
      </w:r>
      <w:r w:rsidR="00754B4F">
        <w:t>.</w:t>
      </w:r>
      <w:r w:rsidRPr="00754B4F">
        <w:rPr>
          <w:rStyle w:val="FootnoteReference"/>
          <w:rFonts w:asciiTheme="minorHAnsi" w:hAnsiTheme="minorHAnsi" w:cs="Arial"/>
          <w:szCs w:val="20"/>
        </w:rPr>
        <w:footnoteReference w:id="31"/>
      </w:r>
    </w:p>
    <w:p w:rsidR="00376140" w:rsidRPr="00225D10" w:rsidRDefault="00330E63" w:rsidP="00D34F87">
      <w:pPr>
        <w:pStyle w:val="bt"/>
        <w:tabs>
          <w:tab w:val="left" w:pos="8931"/>
        </w:tabs>
      </w:pPr>
      <w:r w:rsidRPr="00225D10">
        <w:t>A</w:t>
      </w:r>
      <w:r w:rsidR="00E00D66" w:rsidRPr="00225D10">
        <w:t>cid sul</w:t>
      </w:r>
      <w:r w:rsidR="00583484" w:rsidRPr="00225D10">
        <w:t>fate</w:t>
      </w:r>
      <w:r w:rsidR="00E00D66" w:rsidRPr="00225D10">
        <w:t xml:space="preserve"> soils </w:t>
      </w:r>
      <w:r w:rsidRPr="00225D10">
        <w:t xml:space="preserve">can pose significant threats to human health, agricultural production and infrastructure, and </w:t>
      </w:r>
      <w:r w:rsidR="00AF207A" w:rsidRPr="00225D10">
        <w:t>is an important consideration</w:t>
      </w:r>
      <w:r w:rsidRPr="00225D10">
        <w:t xml:space="preserve"> in land use planning. Generally these soils should not be disturbed. The Victorian Best Practice Guidelines for Assessing and Managing Coastal Acid Sulfate Soils has been produced to guide landowners, developers, planners and decision</w:t>
      </w:r>
      <w:r w:rsidR="00E00D66" w:rsidRPr="00225D10">
        <w:t>-</w:t>
      </w:r>
      <w:r w:rsidRPr="00225D10">
        <w:t xml:space="preserve">makers through a risk identification approach </w:t>
      </w:r>
      <w:r w:rsidR="00231B2C" w:rsidRPr="00225D10">
        <w:t xml:space="preserve">to </w:t>
      </w:r>
      <w:r w:rsidRPr="00225D10">
        <w:t xml:space="preserve">assist </w:t>
      </w:r>
      <w:r w:rsidR="00231B2C" w:rsidRPr="00225D10">
        <w:t xml:space="preserve">with the </w:t>
      </w:r>
      <w:r w:rsidRPr="00225D10">
        <w:t>assessment and management of coastal</w:t>
      </w:r>
      <w:r w:rsidR="00231B2C" w:rsidRPr="00225D10">
        <w:t xml:space="preserve"> acid sul</w:t>
      </w:r>
      <w:r w:rsidR="00583484" w:rsidRPr="00225D10">
        <w:t>fate</w:t>
      </w:r>
      <w:r w:rsidR="00231B2C" w:rsidRPr="00225D10">
        <w:t xml:space="preserve"> soils</w:t>
      </w:r>
      <w:r w:rsidRPr="00225D10">
        <w:t xml:space="preserve">, and may have some applicability to inland </w:t>
      </w:r>
      <w:r w:rsidR="000E6F61" w:rsidRPr="00225D10">
        <w:t>acid sul</w:t>
      </w:r>
      <w:r w:rsidR="00FD1F13" w:rsidRPr="00225D10">
        <w:t>fate</w:t>
      </w:r>
      <w:r w:rsidR="000E6F61" w:rsidRPr="00225D10">
        <w:t xml:space="preserve"> soils</w:t>
      </w:r>
      <w:r w:rsidRPr="00225D10">
        <w:t>.</w:t>
      </w:r>
    </w:p>
    <w:p w:rsidR="00D05221" w:rsidRPr="00225D10" w:rsidRDefault="00CE37C2" w:rsidP="00D34F87">
      <w:pPr>
        <w:pStyle w:val="bt"/>
        <w:tabs>
          <w:tab w:val="left" w:pos="8931"/>
        </w:tabs>
      </w:pPr>
      <w:r w:rsidRPr="00225D10">
        <w:t xml:space="preserve">It is important that land use planners and managers identify areas where development is best avoided due to acid sulfate soils. Already, there are many examples of costly mistakes in Australia involving considerable damage to land, buildings and waterways as a result of disturbing </w:t>
      </w:r>
      <w:r w:rsidR="000E6F61" w:rsidRPr="00225D10">
        <w:t>these soils in coastal areas</w:t>
      </w:r>
      <w:r w:rsidRPr="00225D10">
        <w:t xml:space="preserve">. </w:t>
      </w:r>
      <w:r w:rsidR="00C072B0" w:rsidRPr="00225D10">
        <w:t xml:space="preserve">The </w:t>
      </w:r>
      <w:r w:rsidR="00547235">
        <w:t>r</w:t>
      </w:r>
      <w:r w:rsidR="00330E63" w:rsidRPr="00225D10">
        <w:t xml:space="preserve">egional </w:t>
      </w:r>
      <w:r w:rsidR="00547235">
        <w:t>g</w:t>
      </w:r>
      <w:r w:rsidR="00330E63" w:rsidRPr="00225D10">
        <w:t xml:space="preserve">rowth </w:t>
      </w:r>
      <w:r w:rsidR="00547235">
        <w:t>p</w:t>
      </w:r>
      <w:r w:rsidR="005D4DE2" w:rsidRPr="00225D10">
        <w:t>lan</w:t>
      </w:r>
      <w:r w:rsidR="00C072B0" w:rsidRPr="00225D10">
        <w:t xml:space="preserve"> </w:t>
      </w:r>
      <w:r w:rsidR="00547235">
        <w:t xml:space="preserve">identifies the </w:t>
      </w:r>
      <w:r w:rsidR="00C072B0" w:rsidRPr="00225D10">
        <w:t xml:space="preserve">need to include consideration of </w:t>
      </w:r>
      <w:r w:rsidR="000E6F61" w:rsidRPr="00225D10">
        <w:t xml:space="preserve">acid sulfate soils </w:t>
      </w:r>
      <w:r w:rsidR="00C072B0" w:rsidRPr="00225D10">
        <w:t>in future land</w:t>
      </w:r>
      <w:r w:rsidR="00FD1F13" w:rsidRPr="00225D10">
        <w:t xml:space="preserve"> </w:t>
      </w:r>
      <w:r w:rsidR="00C072B0" w:rsidRPr="00225D10">
        <w:t>use planning.</w:t>
      </w:r>
      <w:r w:rsidR="00330E63" w:rsidRPr="00225D10">
        <w:t xml:space="preserve"> </w:t>
      </w:r>
      <w:r w:rsidR="00FD1F13" w:rsidRPr="00225D10">
        <w:t xml:space="preserve">These soils </w:t>
      </w:r>
      <w:r w:rsidR="00330E63" w:rsidRPr="00225D10">
        <w:t>should not be disturbed.</w:t>
      </w:r>
      <w:r w:rsidR="00D05221" w:rsidRPr="00225D10">
        <w:br w:type="page"/>
      </w:r>
    </w:p>
    <w:p w:rsidR="00A91D0D" w:rsidRPr="00663F7F" w:rsidRDefault="00837A08" w:rsidP="00D34F87">
      <w:pPr>
        <w:pStyle w:val="Heading1"/>
        <w:tabs>
          <w:tab w:val="left" w:pos="8931"/>
        </w:tabs>
      </w:pPr>
      <w:bookmarkStart w:id="160" w:name="_Toc352154215"/>
      <w:bookmarkStart w:id="161" w:name="_Toc374530882"/>
      <w:bookmarkEnd w:id="160"/>
      <w:r w:rsidRPr="00663F7F">
        <w:lastRenderedPageBreak/>
        <w:t xml:space="preserve">Transport and </w:t>
      </w:r>
      <w:r w:rsidR="00DC114E" w:rsidRPr="00663F7F">
        <w:t>i</w:t>
      </w:r>
      <w:r w:rsidR="00A91D0D" w:rsidRPr="00663F7F">
        <w:t>nfrastructure</w:t>
      </w:r>
      <w:bookmarkEnd w:id="161"/>
    </w:p>
    <w:p w:rsidR="004A1FF9" w:rsidRPr="001B459D" w:rsidRDefault="00BD072D" w:rsidP="001B459D">
      <w:pPr>
        <w:pStyle w:val="bt"/>
        <w:rPr>
          <w:rStyle w:val="Strong"/>
        </w:rPr>
      </w:pPr>
      <w:r w:rsidRPr="001B459D">
        <w:rPr>
          <w:rStyle w:val="Strong"/>
        </w:rPr>
        <w:t>Key findings</w:t>
      </w:r>
    </w:p>
    <w:p w:rsidR="00A91D0D" w:rsidRPr="00250500" w:rsidRDefault="00A91D0D" w:rsidP="00D34F87">
      <w:pPr>
        <w:pStyle w:val="ListParagraphSummary"/>
        <w:shd w:val="clear" w:color="auto" w:fill="F5EEC3"/>
        <w:tabs>
          <w:tab w:val="left" w:pos="8931"/>
        </w:tabs>
      </w:pPr>
      <w:r w:rsidRPr="00250500">
        <w:t xml:space="preserve">The geographical location of the region is </w:t>
      </w:r>
      <w:proofErr w:type="gramStart"/>
      <w:r w:rsidRPr="00250500">
        <w:t>a strength</w:t>
      </w:r>
      <w:proofErr w:type="gramEnd"/>
      <w:r w:rsidRPr="00250500">
        <w:t xml:space="preserve">. Freeways and regional fast rail mean </w:t>
      </w:r>
      <w:r w:rsidR="009533DE" w:rsidRPr="00250500">
        <w:t xml:space="preserve">the City of Greater </w:t>
      </w:r>
      <w:r w:rsidRPr="00250500">
        <w:t xml:space="preserve">Bendigo and the wider </w:t>
      </w:r>
      <w:proofErr w:type="gramStart"/>
      <w:r w:rsidRPr="00250500">
        <w:t xml:space="preserve">region </w:t>
      </w:r>
      <w:r w:rsidR="00AF207A" w:rsidRPr="00250500">
        <w:t>are</w:t>
      </w:r>
      <w:proofErr w:type="gramEnd"/>
      <w:r w:rsidRPr="00250500">
        <w:t xml:space="preserve"> networked into the fast</w:t>
      </w:r>
      <w:r w:rsidR="00D76911" w:rsidRPr="00250500">
        <w:t>-</w:t>
      </w:r>
      <w:r w:rsidRPr="00250500">
        <w:t>growing central Victorian region as well as metropolitan Melbourne.</w:t>
      </w:r>
      <w:r w:rsidR="008D021C" w:rsidRPr="00250500">
        <w:t xml:space="preserve"> The trunk rail and road routes forming the spine of the corridor provide access to national and overseas destinations for people and freight as well as </w:t>
      </w:r>
      <w:r w:rsidR="00D76911" w:rsidRPr="00250500">
        <w:t xml:space="preserve">for </w:t>
      </w:r>
      <w:r w:rsidR="008D021C" w:rsidRPr="00250500">
        <w:t>carrying local and regional traffic.</w:t>
      </w:r>
    </w:p>
    <w:p w:rsidR="00A91D0D" w:rsidRPr="00250500" w:rsidRDefault="00D76911" w:rsidP="00D34F87">
      <w:pPr>
        <w:pStyle w:val="ListParagraphSummary"/>
        <w:shd w:val="clear" w:color="auto" w:fill="F5EEC3"/>
        <w:tabs>
          <w:tab w:val="left" w:pos="8931"/>
        </w:tabs>
      </w:pPr>
      <w:r w:rsidRPr="00250500">
        <w:t>The g</w:t>
      </w:r>
      <w:r w:rsidR="00A91D0D" w:rsidRPr="00250500">
        <w:t xml:space="preserve">rowth potential of </w:t>
      </w:r>
      <w:r w:rsidR="009533DE" w:rsidRPr="00250500">
        <w:t xml:space="preserve">the City of Greater </w:t>
      </w:r>
      <w:r w:rsidR="00A91D0D" w:rsidRPr="00250500">
        <w:t xml:space="preserve">Bendigo’s hinterland towns will be influenced by </w:t>
      </w:r>
      <w:r w:rsidR="008D37E7" w:rsidRPr="00250500">
        <w:t>provision of sewer</w:t>
      </w:r>
      <w:r w:rsidR="00547235">
        <w:t>age</w:t>
      </w:r>
      <w:r w:rsidR="008D37E7" w:rsidRPr="00250500">
        <w:t xml:space="preserve"> which must be weighed against the appropriateness of a Domestic Wastewater Management Plan </w:t>
      </w:r>
      <w:r w:rsidR="00547235">
        <w:t>and</w:t>
      </w:r>
      <w:r w:rsidR="008D37E7" w:rsidRPr="00250500">
        <w:t xml:space="preserve"> associated costs to the landowner</w:t>
      </w:r>
      <w:r w:rsidR="00D74610" w:rsidRPr="00250500">
        <w:t>.</w:t>
      </w:r>
    </w:p>
    <w:p w:rsidR="00D74610" w:rsidRPr="00250500" w:rsidRDefault="008D37E7" w:rsidP="00D34F87">
      <w:pPr>
        <w:pStyle w:val="ListParagraphSummary"/>
        <w:shd w:val="clear" w:color="auto" w:fill="F5EEC3"/>
        <w:tabs>
          <w:tab w:val="left" w:pos="8931"/>
        </w:tabs>
      </w:pPr>
      <w:r w:rsidRPr="00250500">
        <w:t>Provision of sewerage to small towns and rural settlements is not often a viable solution and not always a solution to water supply catchment health</w:t>
      </w:r>
      <w:r w:rsidR="00250500">
        <w:t>.</w:t>
      </w:r>
    </w:p>
    <w:p w:rsidR="00A91D0D" w:rsidRPr="00250500" w:rsidRDefault="00A91D0D" w:rsidP="00D34F87">
      <w:pPr>
        <w:pStyle w:val="ListParagraphSummary"/>
        <w:shd w:val="clear" w:color="auto" w:fill="F5EEC3"/>
        <w:tabs>
          <w:tab w:val="left" w:pos="8931"/>
        </w:tabs>
      </w:pPr>
      <w:r w:rsidRPr="00250500">
        <w:t>There are likely to be water supply reductions due to climate change.</w:t>
      </w:r>
    </w:p>
    <w:p w:rsidR="000E2D40" w:rsidRPr="00250500" w:rsidRDefault="000E2D40" w:rsidP="00D34F87">
      <w:pPr>
        <w:pStyle w:val="ListParagraphSummary"/>
        <w:shd w:val="clear" w:color="auto" w:fill="F5EEC3"/>
        <w:tabs>
          <w:tab w:val="left" w:pos="8931"/>
        </w:tabs>
      </w:pPr>
      <w:r w:rsidRPr="00250500">
        <w:t xml:space="preserve">Consultation during development of the </w:t>
      </w:r>
      <w:r w:rsidR="002F2904" w:rsidRPr="00250500">
        <w:t>r</w:t>
      </w:r>
      <w:r w:rsidR="00D76911" w:rsidRPr="00250500">
        <w:t xml:space="preserve">egional </w:t>
      </w:r>
      <w:r w:rsidR="002F2904" w:rsidRPr="00250500">
        <w:t xml:space="preserve">growth plan </w:t>
      </w:r>
      <w:r w:rsidRPr="00250500">
        <w:t>noted the importance of having a secure and high quality water supply to support the economy of the region, in particular intensive industries.</w:t>
      </w:r>
    </w:p>
    <w:p w:rsidR="00A91D0D" w:rsidRPr="00250500" w:rsidRDefault="00A91D0D" w:rsidP="00D34F87">
      <w:pPr>
        <w:pStyle w:val="ListParagraphSummary"/>
        <w:shd w:val="clear" w:color="auto" w:fill="F5EEC3"/>
        <w:tabs>
          <w:tab w:val="left" w:pos="8931"/>
        </w:tabs>
      </w:pPr>
      <w:r w:rsidRPr="00250500">
        <w:t>There are significant gaps in the region’s telecommunications infrastructure, which is a competitive disadvantage.</w:t>
      </w:r>
    </w:p>
    <w:p w:rsidR="00146692" w:rsidRPr="00250500" w:rsidRDefault="00146692" w:rsidP="00D34F87">
      <w:pPr>
        <w:pStyle w:val="ListParagraphSummary"/>
        <w:shd w:val="clear" w:color="auto" w:fill="F5EEC3"/>
        <w:tabs>
          <w:tab w:val="left" w:pos="8931"/>
        </w:tabs>
      </w:pPr>
      <w:r w:rsidRPr="00250500">
        <w:t>The majority of waste generated within the region is disposed of at sites outside the region.</w:t>
      </w:r>
    </w:p>
    <w:p w:rsidR="004A1FF9" w:rsidRPr="001B459D" w:rsidRDefault="00BD072D" w:rsidP="001B459D">
      <w:pPr>
        <w:pStyle w:val="bt"/>
        <w:rPr>
          <w:rStyle w:val="Strong"/>
        </w:rPr>
      </w:pPr>
      <w:r w:rsidRPr="001B459D">
        <w:rPr>
          <w:rStyle w:val="Strong"/>
        </w:rPr>
        <w:t>Key implications</w:t>
      </w:r>
    </w:p>
    <w:p w:rsidR="00A91D0D" w:rsidRPr="00225D10" w:rsidRDefault="00A91D0D" w:rsidP="00D34F87">
      <w:pPr>
        <w:pStyle w:val="ListParagraphSummary"/>
        <w:shd w:val="clear" w:color="auto" w:fill="F5EEC3"/>
        <w:tabs>
          <w:tab w:val="left" w:pos="8931"/>
        </w:tabs>
      </w:pPr>
      <w:r w:rsidRPr="00225D10">
        <w:t xml:space="preserve">Proximity and access to Melbourne creates </w:t>
      </w:r>
      <w:r w:rsidR="00D76911" w:rsidRPr="00225D10">
        <w:t>‘</w:t>
      </w:r>
      <w:r w:rsidRPr="00225D10">
        <w:t>commuter towns</w:t>
      </w:r>
      <w:r w:rsidR="00D76911" w:rsidRPr="00225D10">
        <w:t>’</w:t>
      </w:r>
      <w:r w:rsidRPr="00225D10">
        <w:t xml:space="preserve"> with many people living in the region but travelling to Melbourne for employment.</w:t>
      </w:r>
    </w:p>
    <w:p w:rsidR="00A91D0D" w:rsidRPr="00225D10" w:rsidRDefault="00362A33" w:rsidP="00D34F87">
      <w:pPr>
        <w:pStyle w:val="ListParagraphSummary"/>
        <w:shd w:val="clear" w:color="auto" w:fill="F5EEC3"/>
        <w:tabs>
          <w:tab w:val="left" w:pos="8931"/>
        </w:tabs>
      </w:pPr>
      <w:r w:rsidRPr="00225D10">
        <w:t>The c</w:t>
      </w:r>
      <w:r w:rsidR="00A91D0D" w:rsidRPr="00225D10">
        <w:t>osts associated with infrastructure improvements may not be feasible</w:t>
      </w:r>
      <w:r w:rsidR="002F2904">
        <w:t>,</w:t>
      </w:r>
      <w:r w:rsidRPr="00225D10">
        <w:t xml:space="preserve"> </w:t>
      </w:r>
      <w:r w:rsidR="00DB4ACA">
        <w:t>for example,</w:t>
      </w:r>
      <w:r w:rsidR="00A91D0D" w:rsidRPr="00225D10">
        <w:t xml:space="preserve"> </w:t>
      </w:r>
      <w:r w:rsidRPr="00225D10">
        <w:t>s</w:t>
      </w:r>
      <w:r w:rsidR="00A91D0D" w:rsidRPr="00225D10">
        <w:t>ewer per lot delivery.</w:t>
      </w:r>
    </w:p>
    <w:p w:rsidR="00A91D0D" w:rsidRPr="00225D10" w:rsidRDefault="00A91D0D" w:rsidP="00D34F87">
      <w:pPr>
        <w:pStyle w:val="ListParagraphSummary"/>
        <w:shd w:val="clear" w:color="auto" w:fill="F5EEC3"/>
        <w:tabs>
          <w:tab w:val="left" w:pos="8931"/>
        </w:tabs>
      </w:pPr>
      <w:r w:rsidRPr="00225D10">
        <w:t>Increased population growth will put further pressure on water supply.</w:t>
      </w:r>
    </w:p>
    <w:p w:rsidR="000E2D40" w:rsidRPr="00225D10" w:rsidRDefault="000E2D40" w:rsidP="00D34F87">
      <w:pPr>
        <w:pStyle w:val="ListParagraphSummary"/>
        <w:shd w:val="clear" w:color="auto" w:fill="F5EEC3"/>
        <w:tabs>
          <w:tab w:val="left" w:pos="8931"/>
        </w:tabs>
      </w:pPr>
      <w:r w:rsidRPr="00225D10">
        <w:t xml:space="preserve">Integrated </w:t>
      </w:r>
      <w:r w:rsidR="002F2904">
        <w:t>w</w:t>
      </w:r>
      <w:r w:rsidR="002F2904" w:rsidRPr="00225D10">
        <w:t xml:space="preserve">ater </w:t>
      </w:r>
      <w:r w:rsidR="002F2904">
        <w:t>c</w:t>
      </w:r>
      <w:r w:rsidR="002F2904" w:rsidRPr="00225D10">
        <w:t xml:space="preserve">ycle </w:t>
      </w:r>
      <w:r w:rsidR="002F2904">
        <w:t>s</w:t>
      </w:r>
      <w:r w:rsidR="002F2904" w:rsidRPr="00225D10">
        <w:t xml:space="preserve">trategies </w:t>
      </w:r>
      <w:r w:rsidRPr="00225D10">
        <w:t xml:space="preserve">will </w:t>
      </w:r>
      <w:r w:rsidR="008D37E7" w:rsidRPr="00225D10">
        <w:t>influence and refine</w:t>
      </w:r>
      <w:r w:rsidR="00D74610" w:rsidRPr="00225D10" w:rsidDel="00D74610">
        <w:t xml:space="preserve"> </w:t>
      </w:r>
      <w:r w:rsidRPr="00225D10">
        <w:t xml:space="preserve">the future directions and growth proposed in the </w:t>
      </w:r>
      <w:r w:rsidR="00547235">
        <w:t xml:space="preserve">regional growth </w:t>
      </w:r>
      <w:r w:rsidR="00DB4ACA">
        <w:t>p</w:t>
      </w:r>
      <w:r w:rsidRPr="00225D10">
        <w:t xml:space="preserve">lan as they are developed and revised into the future. </w:t>
      </w:r>
      <w:r w:rsidR="00362A33" w:rsidRPr="00225D10">
        <w:t xml:space="preserve">In addition, </w:t>
      </w:r>
      <w:r w:rsidRPr="00225D10">
        <w:t xml:space="preserve">the </w:t>
      </w:r>
      <w:r w:rsidR="00DB4ACA">
        <w:t>p</w:t>
      </w:r>
      <w:r w:rsidRPr="00225D10">
        <w:t xml:space="preserve">lan will need to adapt </w:t>
      </w:r>
      <w:r w:rsidR="00362A33" w:rsidRPr="00225D10">
        <w:t xml:space="preserve">to </w:t>
      </w:r>
      <w:r w:rsidRPr="00225D10">
        <w:t>any updated predictions of water supply as S</w:t>
      </w:r>
      <w:r w:rsidR="00362A33" w:rsidRPr="00225D10">
        <w:t xml:space="preserve">ustainable Water </w:t>
      </w:r>
      <w:r w:rsidRPr="00225D10">
        <w:t>S</w:t>
      </w:r>
      <w:r w:rsidR="00362A33" w:rsidRPr="00225D10">
        <w:t>trategies</w:t>
      </w:r>
      <w:r w:rsidRPr="00225D10">
        <w:t xml:space="preserve"> are implemented. </w:t>
      </w:r>
    </w:p>
    <w:p w:rsidR="00146692" w:rsidRPr="00225D10" w:rsidRDefault="00146692" w:rsidP="00D34F87">
      <w:pPr>
        <w:pStyle w:val="ListParagraphSummary"/>
        <w:shd w:val="clear" w:color="auto" w:fill="F5EEC3"/>
        <w:tabs>
          <w:tab w:val="left" w:pos="8931"/>
        </w:tabs>
      </w:pPr>
      <w:r w:rsidRPr="00225D10">
        <w:t xml:space="preserve">The amount of waste generated </w:t>
      </w:r>
      <w:r w:rsidR="00362A33" w:rsidRPr="00225D10">
        <w:t xml:space="preserve">in the region </w:t>
      </w:r>
      <w:r w:rsidRPr="00225D10">
        <w:t xml:space="preserve">will continue to increase with further population growth, with limited </w:t>
      </w:r>
      <w:r w:rsidR="00362A33" w:rsidRPr="00225D10">
        <w:t xml:space="preserve">regional </w:t>
      </w:r>
      <w:r w:rsidRPr="00225D10">
        <w:t xml:space="preserve">options for disposal. </w:t>
      </w:r>
    </w:p>
    <w:p w:rsidR="004A1FF9" w:rsidRPr="001B459D" w:rsidRDefault="00BD072D" w:rsidP="001B459D">
      <w:pPr>
        <w:pStyle w:val="bt"/>
        <w:rPr>
          <w:rStyle w:val="Strong"/>
        </w:rPr>
      </w:pPr>
      <w:r w:rsidRPr="001B459D">
        <w:rPr>
          <w:rStyle w:val="Strong"/>
        </w:rPr>
        <w:t>Key challenges</w:t>
      </w:r>
    </w:p>
    <w:p w:rsidR="00BF35CA" w:rsidRDefault="00BF35CA" w:rsidP="00D34F87">
      <w:pPr>
        <w:pStyle w:val="ListParagraphSummary"/>
        <w:shd w:val="clear" w:color="auto" w:fill="F5EEC3"/>
        <w:tabs>
          <w:tab w:val="left" w:pos="8931"/>
        </w:tabs>
      </w:pPr>
      <w:r w:rsidRPr="00225D10">
        <w:t>Maximis</w:t>
      </w:r>
      <w:r w:rsidR="00362A33" w:rsidRPr="00225D10">
        <w:t>ing</w:t>
      </w:r>
      <w:r w:rsidRPr="00225D10">
        <w:t xml:space="preserve"> the strategic position of the transport network to encourage settlement and economic growth </w:t>
      </w:r>
      <w:r w:rsidR="00362A33" w:rsidRPr="00225D10">
        <w:t xml:space="preserve">close to </w:t>
      </w:r>
      <w:r w:rsidRPr="00225D10">
        <w:t>existing transport infrastructure.</w:t>
      </w:r>
    </w:p>
    <w:p w:rsidR="009533DE" w:rsidRPr="00225D10" w:rsidRDefault="009533DE" w:rsidP="00D34F87">
      <w:pPr>
        <w:pStyle w:val="ListParagraphSummary"/>
        <w:shd w:val="clear" w:color="auto" w:fill="F5EEC3"/>
        <w:tabs>
          <w:tab w:val="left" w:pos="8931"/>
        </w:tabs>
      </w:pPr>
      <w:r w:rsidRPr="005A3D63">
        <w:t>Ensure that the current and future operation of major infrastructure of state and regional significance</w:t>
      </w:r>
      <w:r w:rsidR="002F2904">
        <w:t>,</w:t>
      </w:r>
      <w:r w:rsidRPr="005A3D63">
        <w:t xml:space="preserve"> including highways, railways, airports, communications networks and energy generation and distribution systems</w:t>
      </w:r>
      <w:r w:rsidR="002F2904">
        <w:t>,</w:t>
      </w:r>
      <w:r w:rsidRPr="005A3D63">
        <w:t xml:space="preserve"> is not adversely affected by urban development in adjacent areas</w:t>
      </w:r>
      <w:r w:rsidR="00DB4ACA">
        <w:t>.</w:t>
      </w:r>
    </w:p>
    <w:p w:rsidR="00A91D0D" w:rsidRPr="00225D10" w:rsidRDefault="00A91D0D" w:rsidP="00D34F87">
      <w:pPr>
        <w:pStyle w:val="ListParagraphSummary"/>
        <w:shd w:val="clear" w:color="auto" w:fill="F5EEC3"/>
        <w:tabs>
          <w:tab w:val="left" w:pos="8931"/>
        </w:tabs>
      </w:pPr>
      <w:r w:rsidRPr="00225D10">
        <w:t xml:space="preserve">Improving and upgrading </w:t>
      </w:r>
      <w:r w:rsidR="00BF35CA" w:rsidRPr="00225D10">
        <w:t xml:space="preserve">transport and </w:t>
      </w:r>
      <w:r w:rsidRPr="00225D10">
        <w:t xml:space="preserve">infrastructure to keep pace with increasing population growth. </w:t>
      </w:r>
    </w:p>
    <w:p w:rsidR="00BF35CA" w:rsidRPr="00225D10" w:rsidRDefault="00BF35CA" w:rsidP="00D34F87">
      <w:pPr>
        <w:pStyle w:val="ListParagraphSummary"/>
        <w:shd w:val="clear" w:color="auto" w:fill="F5EEC3"/>
        <w:tabs>
          <w:tab w:val="left" w:pos="8931"/>
        </w:tabs>
      </w:pPr>
      <w:r w:rsidRPr="00225D10">
        <w:t>Set</w:t>
      </w:r>
      <w:r w:rsidR="00362A33" w:rsidRPr="00225D10">
        <w:t>ting</w:t>
      </w:r>
      <w:r w:rsidRPr="00225D10">
        <w:t xml:space="preserve"> aside land to future proof road and rail projects using zoning and overlays.</w:t>
      </w:r>
    </w:p>
    <w:p w:rsidR="00A91D0D" w:rsidRPr="00225D10" w:rsidRDefault="00A91D0D" w:rsidP="00D34F87">
      <w:pPr>
        <w:pStyle w:val="ListParagraphSummary"/>
        <w:shd w:val="clear" w:color="auto" w:fill="F5EEC3"/>
        <w:tabs>
          <w:tab w:val="left" w:pos="8931"/>
        </w:tabs>
      </w:pPr>
      <w:r w:rsidRPr="00225D10">
        <w:t>Maintaining liveability in towns and regional centres through proactive infrastructure provision.</w:t>
      </w:r>
    </w:p>
    <w:p w:rsidR="00011566" w:rsidRPr="00225D10" w:rsidRDefault="00011566" w:rsidP="00D34F87">
      <w:pPr>
        <w:pStyle w:val="ListParagraphSummary"/>
        <w:shd w:val="clear" w:color="auto" w:fill="F5EEC3"/>
        <w:tabs>
          <w:tab w:val="left" w:pos="8931"/>
        </w:tabs>
      </w:pPr>
      <w:r w:rsidRPr="00225D10">
        <w:t>Providing improved transport connectivity between the network of settlements to support population and employment growth.</w:t>
      </w:r>
    </w:p>
    <w:p w:rsidR="00146692" w:rsidRPr="00225D10" w:rsidRDefault="00146692" w:rsidP="00D34F87">
      <w:pPr>
        <w:pStyle w:val="ListParagraphSummary"/>
        <w:shd w:val="clear" w:color="auto" w:fill="F5EEC3"/>
        <w:tabs>
          <w:tab w:val="left" w:pos="8931"/>
        </w:tabs>
      </w:pPr>
      <w:r w:rsidRPr="00225D10">
        <w:t>Plan</w:t>
      </w:r>
      <w:r w:rsidR="00362A33" w:rsidRPr="00225D10">
        <w:t>ning</w:t>
      </w:r>
      <w:r w:rsidRPr="00225D10">
        <w:t xml:space="preserve"> for flexible and adaptable freight connectivity to the transport network to cater for changes in commodities and freight logistics into the future.</w:t>
      </w:r>
    </w:p>
    <w:p w:rsidR="00A91D0D" w:rsidRPr="00225D10" w:rsidRDefault="00A91D0D" w:rsidP="00D34F87">
      <w:pPr>
        <w:pStyle w:val="ListParagraphSummary"/>
        <w:shd w:val="clear" w:color="auto" w:fill="F5EEC3"/>
        <w:tabs>
          <w:tab w:val="left" w:pos="8931"/>
        </w:tabs>
      </w:pPr>
      <w:r w:rsidRPr="00225D10">
        <w:t>Ensuring long-term water supply for urban and rural use.</w:t>
      </w:r>
    </w:p>
    <w:p w:rsidR="000E2D40" w:rsidRPr="00225D10" w:rsidRDefault="000E2D40" w:rsidP="00D34F87">
      <w:pPr>
        <w:pStyle w:val="ListParagraphSummary"/>
        <w:shd w:val="clear" w:color="auto" w:fill="F5EEC3"/>
        <w:tabs>
          <w:tab w:val="left" w:pos="8931"/>
        </w:tabs>
      </w:pPr>
      <w:r w:rsidRPr="00225D10">
        <w:t>Enabling and supporting land use changes that relate to structural adjustment in agricultural industries and other rural industries as a result of changes in wate</w:t>
      </w:r>
      <w:r w:rsidR="00B25C9C" w:rsidRPr="00225D10">
        <w:t xml:space="preserve">r availability and distribution, including land use planning support for new </w:t>
      </w:r>
      <w:r w:rsidR="00F031C7" w:rsidRPr="00225D10">
        <w:t>dry land</w:t>
      </w:r>
      <w:r w:rsidR="00B25C9C" w:rsidRPr="00225D10">
        <w:t xml:space="preserve"> areas to determine an appropriate future for them.</w:t>
      </w:r>
    </w:p>
    <w:p w:rsidR="00B079AE" w:rsidRPr="00225D10" w:rsidRDefault="00146692" w:rsidP="00D34F87">
      <w:pPr>
        <w:pStyle w:val="ListParagraphSummary"/>
        <w:shd w:val="clear" w:color="auto" w:fill="F5EEC3"/>
        <w:tabs>
          <w:tab w:val="left" w:pos="8931"/>
        </w:tabs>
      </w:pPr>
      <w:r w:rsidRPr="00225D10">
        <w:t>Determining</w:t>
      </w:r>
      <w:r w:rsidR="00A91D0D" w:rsidRPr="00225D10">
        <w:t xml:space="preserve"> barriers to infrastructure provision as well as planned investment.</w:t>
      </w:r>
    </w:p>
    <w:p w:rsidR="00374422" w:rsidRDefault="00146692" w:rsidP="00D34F87">
      <w:pPr>
        <w:pStyle w:val="ListParagraphSummary"/>
        <w:shd w:val="clear" w:color="auto" w:fill="F5EEC3"/>
        <w:tabs>
          <w:tab w:val="left" w:pos="8931"/>
        </w:tabs>
      </w:pPr>
      <w:r w:rsidRPr="00225D10">
        <w:t xml:space="preserve">Developing an integrated approach to </w:t>
      </w:r>
      <w:r w:rsidR="00362A33" w:rsidRPr="00225D10">
        <w:t xml:space="preserve">future </w:t>
      </w:r>
      <w:r w:rsidRPr="00225D10">
        <w:t>waste management</w:t>
      </w:r>
      <w:r w:rsidR="008E0FF7">
        <w:t xml:space="preserve"> and resource recovery</w:t>
      </w:r>
      <w:r w:rsidRPr="00225D10">
        <w:t xml:space="preserve"> as the region grows.</w:t>
      </w:r>
    </w:p>
    <w:p w:rsidR="000D2EEF" w:rsidRDefault="00146692" w:rsidP="00D34F87">
      <w:pPr>
        <w:pStyle w:val="ListParagraphSummary"/>
        <w:shd w:val="clear" w:color="auto" w:fill="F5EEC3"/>
        <w:tabs>
          <w:tab w:val="left" w:pos="8931"/>
        </w:tabs>
      </w:pPr>
      <w:r w:rsidRPr="00225D10">
        <w:lastRenderedPageBreak/>
        <w:t>Encouraging and supporting advanced technology developments that can convert waste into energy or fuel products in the region.</w:t>
      </w:r>
    </w:p>
    <w:p w:rsidR="00CE30C7" w:rsidRPr="00225D10" w:rsidRDefault="00FA55A6" w:rsidP="00D34F87">
      <w:pPr>
        <w:pStyle w:val="ListParagraphSummary"/>
        <w:shd w:val="clear" w:color="auto" w:fill="F5EEC3"/>
        <w:tabs>
          <w:tab w:val="left" w:pos="8931"/>
        </w:tabs>
      </w:pPr>
      <w:r w:rsidRPr="00225D10">
        <w:t>Ensur</w:t>
      </w:r>
      <w:r w:rsidR="000D2EEF">
        <w:t>ing</w:t>
      </w:r>
      <w:r w:rsidRPr="00225D10">
        <w:t xml:space="preserve"> that current and future operation of major transport infrastructure of </w:t>
      </w:r>
      <w:r w:rsidR="002F2904">
        <w:t>n</w:t>
      </w:r>
      <w:r w:rsidR="002F2904" w:rsidRPr="00225D10">
        <w:t>ational</w:t>
      </w:r>
      <w:r w:rsidRPr="00225D10">
        <w:t xml:space="preserve">, </w:t>
      </w:r>
      <w:r w:rsidR="002F2904">
        <w:t>s</w:t>
      </w:r>
      <w:r w:rsidR="002F2904" w:rsidRPr="00225D10">
        <w:t xml:space="preserve">tate </w:t>
      </w:r>
      <w:r w:rsidRPr="00225D10">
        <w:t xml:space="preserve">or regional significance is not adversely affected by development. </w:t>
      </w:r>
    </w:p>
    <w:p w:rsidR="00CE30C7" w:rsidRPr="00225D10" w:rsidRDefault="00FA55A6" w:rsidP="00D34F87">
      <w:pPr>
        <w:pStyle w:val="ListParagraphSummary"/>
        <w:shd w:val="clear" w:color="auto" w:fill="F5EEC3"/>
        <w:tabs>
          <w:tab w:val="left" w:pos="8931"/>
        </w:tabs>
      </w:pPr>
      <w:r w:rsidRPr="00225D10">
        <w:t>Directing growth to locations with the capacity for infrastructure enhancement</w:t>
      </w:r>
      <w:r w:rsidR="000D2EEF">
        <w:t>.</w:t>
      </w:r>
    </w:p>
    <w:p w:rsidR="00FA55A6" w:rsidRPr="00225D10" w:rsidRDefault="00FA55A6" w:rsidP="00D34F87">
      <w:pPr>
        <w:pStyle w:val="ListParagraphSummary"/>
        <w:shd w:val="clear" w:color="auto" w:fill="F5EEC3"/>
        <w:tabs>
          <w:tab w:val="left" w:pos="8931"/>
        </w:tabs>
      </w:pPr>
      <w:r w:rsidRPr="00225D10">
        <w:t>Land use planning that enables sufficient urban density to support a viable and effective public transport system.</w:t>
      </w:r>
    </w:p>
    <w:p w:rsidR="00D177CD" w:rsidRPr="00663F7F" w:rsidRDefault="00216FA6" w:rsidP="00D34F87">
      <w:pPr>
        <w:pStyle w:val="Heading2"/>
        <w:tabs>
          <w:tab w:val="left" w:pos="8931"/>
        </w:tabs>
        <w:rPr>
          <w:rFonts w:cs="Arial"/>
        </w:rPr>
      </w:pPr>
      <w:bookmarkStart w:id="162" w:name="_Toc374530883"/>
      <w:r w:rsidRPr="00663F7F">
        <w:rPr>
          <w:rFonts w:cs="Arial"/>
        </w:rPr>
        <w:t>Policy context</w:t>
      </w:r>
      <w:r w:rsidR="00D74610" w:rsidRPr="00663F7F">
        <w:rPr>
          <w:rFonts w:cs="Arial"/>
        </w:rPr>
        <w:t xml:space="preserve"> transport</w:t>
      </w:r>
      <w:bookmarkEnd w:id="162"/>
    </w:p>
    <w:p w:rsidR="00B079AE" w:rsidRPr="00250500" w:rsidRDefault="00B079AE" w:rsidP="00D34F87">
      <w:pPr>
        <w:pStyle w:val="Heading4"/>
        <w:tabs>
          <w:tab w:val="left" w:pos="8931"/>
        </w:tabs>
      </w:pPr>
      <w:bookmarkStart w:id="163" w:name="_Toc299614792"/>
      <w:bookmarkStart w:id="164" w:name="_Toc315088980"/>
      <w:r w:rsidRPr="00250500">
        <w:t xml:space="preserve">Victorian Freight and Logistics Plan </w:t>
      </w:r>
    </w:p>
    <w:p w:rsidR="00B079AE" w:rsidRPr="00225D10" w:rsidRDefault="00374422" w:rsidP="00D34F87">
      <w:pPr>
        <w:pStyle w:val="bt"/>
        <w:tabs>
          <w:tab w:val="left" w:pos="8931"/>
        </w:tabs>
      </w:pPr>
      <w:r>
        <w:t>T</w:t>
      </w:r>
      <w:r w:rsidR="003E20F5" w:rsidRPr="00225D10">
        <w:t xml:space="preserve">he </w:t>
      </w:r>
      <w:r w:rsidR="00B079AE" w:rsidRPr="00225D10">
        <w:t>Victorian Freight and Logistics Plan</w:t>
      </w:r>
      <w:r>
        <w:t xml:space="preserve"> (Victoria</w:t>
      </w:r>
      <w:r w:rsidR="001D6EF7">
        <w:t xml:space="preserve"> the Freight State) was released in </w:t>
      </w:r>
      <w:r w:rsidR="00376ADD" w:rsidRPr="00225D10">
        <w:t>2013</w:t>
      </w:r>
      <w:r w:rsidR="00B079AE" w:rsidRPr="00225D10">
        <w:t>. Th</w:t>
      </w:r>
      <w:r w:rsidR="003E20F5" w:rsidRPr="00225D10">
        <w:t xml:space="preserve">is </w:t>
      </w:r>
      <w:r w:rsidR="00B079AE" w:rsidRPr="00225D10">
        <w:t>plan examine</w:t>
      </w:r>
      <w:r w:rsidR="001D6EF7">
        <w:t>s</w:t>
      </w:r>
      <w:r w:rsidR="00B079AE" w:rsidRPr="00225D10">
        <w:t xml:space="preserve"> long</w:t>
      </w:r>
      <w:r w:rsidR="003E20F5" w:rsidRPr="00225D10">
        <w:t>-</w:t>
      </w:r>
      <w:r w:rsidR="00B079AE" w:rsidRPr="00225D10">
        <w:t>term freight forecasts for Victoria up to the year 2050 and use</w:t>
      </w:r>
      <w:r w:rsidR="001D6EF7">
        <w:t>s</w:t>
      </w:r>
      <w:r w:rsidR="00B079AE" w:rsidRPr="00225D10">
        <w:t xml:space="preserve"> these forecasts to create and model a wide range of freight network scenarios </w:t>
      </w:r>
      <w:r w:rsidR="003E20F5" w:rsidRPr="00225D10">
        <w:t xml:space="preserve">to </w:t>
      </w:r>
      <w:r w:rsidR="00B079AE" w:rsidRPr="00225D10">
        <w:t>inform decision</w:t>
      </w:r>
      <w:r w:rsidR="003E20F5" w:rsidRPr="00225D10">
        <w:t>-</w:t>
      </w:r>
      <w:r w:rsidR="00B079AE" w:rsidRPr="00225D10">
        <w:t xml:space="preserve">making for future projects and initiatives. </w:t>
      </w:r>
      <w:r w:rsidR="003E20F5" w:rsidRPr="00225D10">
        <w:t xml:space="preserve">It </w:t>
      </w:r>
      <w:r w:rsidR="00B079AE" w:rsidRPr="00225D10">
        <w:t>also encompass</w:t>
      </w:r>
      <w:r w:rsidR="001D6EF7">
        <w:t>es</w:t>
      </w:r>
      <w:r w:rsidR="00B079AE" w:rsidRPr="00225D10">
        <w:t xml:space="preserve"> previous policy such as Growing Freight on Rail and the Transport Solutions Framework.</w:t>
      </w:r>
    </w:p>
    <w:bookmarkEnd w:id="163"/>
    <w:bookmarkEnd w:id="164"/>
    <w:p w:rsidR="00B079AE" w:rsidRPr="00250500" w:rsidRDefault="00B079AE" w:rsidP="00D34F87">
      <w:pPr>
        <w:pStyle w:val="Heading4"/>
        <w:tabs>
          <w:tab w:val="left" w:pos="8931"/>
        </w:tabs>
      </w:pPr>
      <w:r w:rsidRPr="00250500">
        <w:t xml:space="preserve">Victoria’s </w:t>
      </w:r>
      <w:r w:rsidR="0030307E" w:rsidRPr="00250500">
        <w:t>s</w:t>
      </w:r>
      <w:r w:rsidRPr="00250500">
        <w:t>ubmission to Infrastructure Australia (2012)</w:t>
      </w:r>
    </w:p>
    <w:p w:rsidR="003E20F5" w:rsidRPr="00225D10" w:rsidRDefault="008F4331" w:rsidP="00D34F87">
      <w:pPr>
        <w:pStyle w:val="bt"/>
        <w:tabs>
          <w:tab w:val="left" w:pos="8931"/>
        </w:tabs>
      </w:pPr>
      <w:r w:rsidRPr="00225D10">
        <w:t xml:space="preserve">The </w:t>
      </w:r>
      <w:r w:rsidR="000D2EEF">
        <w:t>S</w:t>
      </w:r>
      <w:r w:rsidR="007C5534">
        <w:t xml:space="preserve">tate </w:t>
      </w:r>
      <w:r w:rsidR="000D2EEF">
        <w:t>G</w:t>
      </w:r>
      <w:r w:rsidR="007C5534">
        <w:t>overnment</w:t>
      </w:r>
      <w:r w:rsidR="00B079AE" w:rsidRPr="00225D10">
        <w:t xml:space="preserve"> submitted a number of projects to Infrastructure Australia in 2011. The 2012 submission update</w:t>
      </w:r>
      <w:r w:rsidR="0030307E" w:rsidRPr="00225D10">
        <w:t>d</w:t>
      </w:r>
      <w:r w:rsidR="00B079AE" w:rsidRPr="00225D10">
        <w:t xml:space="preserve"> </w:t>
      </w:r>
      <w:r w:rsidR="0030307E" w:rsidRPr="00225D10">
        <w:t xml:space="preserve">this </w:t>
      </w:r>
      <w:r w:rsidR="00B079AE" w:rsidRPr="00225D10">
        <w:t>submission</w:t>
      </w:r>
      <w:r w:rsidR="0030307E" w:rsidRPr="00225D10">
        <w:t xml:space="preserve">, and includes </w:t>
      </w:r>
      <w:r w:rsidR="00B079AE" w:rsidRPr="00225D10">
        <w:t xml:space="preserve">a number of projects arising </w:t>
      </w:r>
      <w:r w:rsidR="0030307E" w:rsidRPr="00225D10">
        <w:t xml:space="preserve">from </w:t>
      </w:r>
      <w:r w:rsidR="00B079AE" w:rsidRPr="00225D10">
        <w:t xml:space="preserve">the development of </w:t>
      </w:r>
      <w:r w:rsidR="0030307E" w:rsidRPr="00225D10">
        <w:t xml:space="preserve">the </w:t>
      </w:r>
      <w:r w:rsidR="000D2EEF">
        <w:t xml:space="preserve">new </w:t>
      </w:r>
      <w:r w:rsidR="00894B31">
        <w:t>m</w:t>
      </w:r>
      <w:r w:rsidR="00B079AE" w:rsidRPr="00225D10">
        <w:t xml:space="preserve">etropolitan </w:t>
      </w:r>
      <w:r w:rsidR="00894B31">
        <w:t>p</w:t>
      </w:r>
      <w:r w:rsidR="00B079AE" w:rsidRPr="00225D10">
        <w:t xml:space="preserve">lanning </w:t>
      </w:r>
      <w:r w:rsidR="00894B31">
        <w:t>s</w:t>
      </w:r>
      <w:r w:rsidR="00B079AE" w:rsidRPr="00225D10">
        <w:t xml:space="preserve">trategy, </w:t>
      </w:r>
      <w:r w:rsidR="00647515" w:rsidRPr="00647515">
        <w:rPr>
          <w:i/>
        </w:rPr>
        <w:t>Plan Melbourne</w:t>
      </w:r>
      <w:r w:rsidR="00894B31">
        <w:t xml:space="preserve">, </w:t>
      </w:r>
      <w:r w:rsidR="007C5534">
        <w:t>regional growth plan</w:t>
      </w:r>
      <w:r w:rsidR="00B079AE" w:rsidRPr="00225D10">
        <w:t>s and the Victorian Freight and Logistics Plan. Projects submitted to</w:t>
      </w:r>
      <w:r w:rsidR="0030307E" w:rsidRPr="00225D10">
        <w:t xml:space="preserve"> Infrastructure Australia</w:t>
      </w:r>
      <w:r w:rsidR="00B079AE" w:rsidRPr="00225D10">
        <w:t xml:space="preserve"> </w:t>
      </w:r>
      <w:r w:rsidR="0030307E" w:rsidRPr="00225D10">
        <w:t xml:space="preserve">that are </w:t>
      </w:r>
      <w:r w:rsidR="00B079AE" w:rsidRPr="00225D10">
        <w:t>relevant to the Loddon Mallee South region include:</w:t>
      </w:r>
    </w:p>
    <w:p w:rsidR="00B079AE" w:rsidRPr="00225D10" w:rsidRDefault="00B079AE" w:rsidP="00D34F87">
      <w:pPr>
        <w:pStyle w:val="ListParagraphSummary"/>
        <w:tabs>
          <w:tab w:val="left" w:pos="8931"/>
        </w:tabs>
        <w:rPr>
          <w:rFonts w:eastAsia="Calibri"/>
        </w:rPr>
      </w:pPr>
      <w:r w:rsidRPr="00225D10">
        <w:rPr>
          <w:rFonts w:eastAsia="Calibri"/>
        </w:rPr>
        <w:t>Managed motorways</w:t>
      </w:r>
    </w:p>
    <w:p w:rsidR="00B079AE" w:rsidRPr="00225D10" w:rsidRDefault="00B079AE" w:rsidP="00D34F87">
      <w:pPr>
        <w:pStyle w:val="ListParagraphSummary"/>
        <w:tabs>
          <w:tab w:val="left" w:pos="8931"/>
        </w:tabs>
        <w:rPr>
          <w:rFonts w:eastAsia="Calibri"/>
        </w:rPr>
      </w:pPr>
      <w:r w:rsidRPr="00225D10">
        <w:rPr>
          <w:rFonts w:eastAsia="Calibri"/>
        </w:rPr>
        <w:t>Port of Hastings</w:t>
      </w:r>
    </w:p>
    <w:p w:rsidR="00B079AE" w:rsidRPr="00225D10" w:rsidRDefault="00B079AE" w:rsidP="00D34F87">
      <w:pPr>
        <w:pStyle w:val="ListParagraphSummary"/>
        <w:tabs>
          <w:tab w:val="left" w:pos="8931"/>
        </w:tabs>
        <w:rPr>
          <w:rFonts w:eastAsia="Calibri"/>
        </w:rPr>
      </w:pPr>
      <w:r w:rsidRPr="00225D10">
        <w:rPr>
          <w:rFonts w:eastAsia="Calibri"/>
        </w:rPr>
        <w:t>Calder Freeway</w:t>
      </w:r>
    </w:p>
    <w:p w:rsidR="00B079AE" w:rsidRPr="00225D10" w:rsidRDefault="00B079AE" w:rsidP="00D34F87">
      <w:pPr>
        <w:pStyle w:val="ListParagraphSummary"/>
        <w:tabs>
          <w:tab w:val="left" w:pos="8931"/>
        </w:tabs>
        <w:rPr>
          <w:rFonts w:eastAsia="Calibri"/>
        </w:rPr>
      </w:pPr>
      <w:r w:rsidRPr="00225D10">
        <w:rPr>
          <w:rFonts w:eastAsia="Calibri"/>
        </w:rPr>
        <w:t>Calder Highway Alt</w:t>
      </w:r>
      <w:r w:rsidR="0030307E" w:rsidRPr="00225D10">
        <w:rPr>
          <w:rFonts w:eastAsia="Calibri"/>
        </w:rPr>
        <w:t>ernative</w:t>
      </w:r>
    </w:p>
    <w:p w:rsidR="00B079AE" w:rsidRPr="00225D10" w:rsidRDefault="00B079AE" w:rsidP="00D34F87">
      <w:pPr>
        <w:pStyle w:val="ListParagraphSummary"/>
        <w:tabs>
          <w:tab w:val="left" w:pos="8931"/>
        </w:tabs>
        <w:rPr>
          <w:rFonts w:eastAsia="Calibri"/>
        </w:rPr>
      </w:pPr>
      <w:r w:rsidRPr="00225D10">
        <w:rPr>
          <w:rFonts w:eastAsia="Calibri"/>
        </w:rPr>
        <w:t>Metropolitan Intermodal System</w:t>
      </w:r>
    </w:p>
    <w:p w:rsidR="00B079AE" w:rsidRPr="00225D10" w:rsidRDefault="00B079AE" w:rsidP="00D34F87">
      <w:pPr>
        <w:pStyle w:val="ListParagraphSummary"/>
        <w:tabs>
          <w:tab w:val="left" w:pos="8931"/>
        </w:tabs>
        <w:rPr>
          <w:rFonts w:eastAsia="Calibri"/>
        </w:rPr>
      </w:pPr>
      <w:r w:rsidRPr="00225D10">
        <w:rPr>
          <w:rFonts w:eastAsia="Calibri"/>
        </w:rPr>
        <w:t>Rail Revival Study</w:t>
      </w:r>
    </w:p>
    <w:p w:rsidR="00B079AE" w:rsidRPr="00225D10" w:rsidRDefault="00B079AE" w:rsidP="00D34F87">
      <w:pPr>
        <w:pStyle w:val="ListParagraphSummary"/>
        <w:tabs>
          <w:tab w:val="left" w:pos="8931"/>
        </w:tabs>
        <w:rPr>
          <w:rFonts w:eastAsia="Calibri"/>
        </w:rPr>
      </w:pPr>
      <w:r w:rsidRPr="00225D10">
        <w:rPr>
          <w:rFonts w:eastAsia="Calibri"/>
        </w:rPr>
        <w:t>Upgrade regional passenger lines</w:t>
      </w:r>
      <w:r w:rsidR="0030307E" w:rsidRPr="00225D10">
        <w:rPr>
          <w:rFonts w:eastAsia="Calibri"/>
        </w:rPr>
        <w:t>.</w:t>
      </w:r>
    </w:p>
    <w:p w:rsidR="00B079AE" w:rsidRPr="00225D10" w:rsidRDefault="00B079AE" w:rsidP="00D34F87">
      <w:pPr>
        <w:pStyle w:val="Heading4"/>
        <w:tabs>
          <w:tab w:val="left" w:pos="8931"/>
        </w:tabs>
      </w:pPr>
      <w:r w:rsidRPr="00225D10">
        <w:t>The National Airports Safeguarding Framework (2012)</w:t>
      </w:r>
    </w:p>
    <w:p w:rsidR="00B079AE" w:rsidRPr="00225D10" w:rsidRDefault="00B079AE" w:rsidP="00D34F87">
      <w:pPr>
        <w:pStyle w:val="bt"/>
        <w:tabs>
          <w:tab w:val="left" w:pos="8931"/>
        </w:tabs>
      </w:pPr>
      <w:r w:rsidRPr="00225D10">
        <w:t xml:space="preserve">The </w:t>
      </w:r>
      <w:r w:rsidR="002F2904">
        <w:t>f</w:t>
      </w:r>
      <w:r w:rsidR="002F2904" w:rsidRPr="00225D10">
        <w:t xml:space="preserve">ederal </w:t>
      </w:r>
      <w:r w:rsidR="002F2904">
        <w:t>g</w:t>
      </w:r>
      <w:r w:rsidR="002F2904" w:rsidRPr="00225D10">
        <w:t xml:space="preserve">overnment’s </w:t>
      </w:r>
      <w:r w:rsidRPr="00225D10">
        <w:t>2009 Aviation White Paper proposed the development of a national land use planning framework that would:</w:t>
      </w:r>
    </w:p>
    <w:p w:rsidR="00B079AE" w:rsidRPr="00225D10" w:rsidRDefault="0030307E" w:rsidP="00D34F87">
      <w:pPr>
        <w:pStyle w:val="ListParagraphSummary"/>
        <w:tabs>
          <w:tab w:val="left" w:pos="8931"/>
        </w:tabs>
      </w:pPr>
      <w:r w:rsidRPr="00225D10">
        <w:t>i</w:t>
      </w:r>
      <w:r w:rsidR="00B079AE" w:rsidRPr="00225D10">
        <w:t>mprove community amenity by minimising aircraft noise-sensi</w:t>
      </w:r>
      <w:r w:rsidR="00DB3DC6" w:rsidRPr="00225D10">
        <w:t>tive developments near airports</w:t>
      </w:r>
      <w:r w:rsidR="00A43B7F">
        <w:t xml:space="preserve"> </w:t>
      </w:r>
      <w:r w:rsidR="00B079AE" w:rsidRPr="00225D10">
        <w:t>including through the use of additional noise metrics and improved noise-disclosure mechanisms</w:t>
      </w:r>
    </w:p>
    <w:p w:rsidR="00B079AE" w:rsidRPr="00225D10" w:rsidRDefault="0030307E" w:rsidP="00D34F87">
      <w:pPr>
        <w:pStyle w:val="ListParagraphSummary"/>
        <w:tabs>
          <w:tab w:val="left" w:pos="8931"/>
        </w:tabs>
      </w:pPr>
      <w:proofErr w:type="gramStart"/>
      <w:r w:rsidRPr="00225D10">
        <w:t>i</w:t>
      </w:r>
      <w:r w:rsidR="00B079AE" w:rsidRPr="00225D10">
        <w:t>mprove</w:t>
      </w:r>
      <w:proofErr w:type="gramEnd"/>
      <w:r w:rsidR="00B079AE" w:rsidRPr="00225D10">
        <w:t xml:space="preserve"> safety outcomes by ensuring aviation safety requirements are recognised in land use planning decisions through guidelines being adopted by jurisdictions on various safety-related issues.</w:t>
      </w:r>
    </w:p>
    <w:p w:rsidR="00B079AE" w:rsidRPr="00225D10" w:rsidRDefault="00B079AE" w:rsidP="00D34F87">
      <w:pPr>
        <w:pStyle w:val="bt"/>
        <w:tabs>
          <w:tab w:val="left" w:pos="8931"/>
        </w:tabs>
      </w:pPr>
      <w:r w:rsidRPr="00225D10">
        <w:t xml:space="preserve">In 2012 the National Airports Safeguarding Advisory Group started work on developing the National Airports Safeguarding Framework. The </w:t>
      </w:r>
      <w:r w:rsidR="002726A9" w:rsidRPr="00225D10">
        <w:t>f</w:t>
      </w:r>
      <w:r w:rsidRPr="00225D10">
        <w:t>ramework has a number of guidance notes including:</w:t>
      </w:r>
    </w:p>
    <w:p w:rsidR="00B079AE" w:rsidRPr="00225D10" w:rsidRDefault="0030307E" w:rsidP="00D34F87">
      <w:pPr>
        <w:pStyle w:val="ListParagraphSummary"/>
        <w:tabs>
          <w:tab w:val="left" w:pos="8931"/>
        </w:tabs>
      </w:pPr>
      <w:r w:rsidRPr="00225D10">
        <w:t>t</w:t>
      </w:r>
      <w:r w:rsidR="00B079AE" w:rsidRPr="00225D10">
        <w:t xml:space="preserve">he principles of the </w:t>
      </w:r>
      <w:r w:rsidR="002726A9" w:rsidRPr="00225D10">
        <w:t>f</w:t>
      </w:r>
      <w:r w:rsidR="00B079AE" w:rsidRPr="00225D10">
        <w:t>ramework</w:t>
      </w:r>
    </w:p>
    <w:p w:rsidR="00B079AE" w:rsidRPr="00225D10" w:rsidRDefault="0030307E" w:rsidP="00D34F87">
      <w:pPr>
        <w:pStyle w:val="ListParagraphSummary"/>
        <w:tabs>
          <w:tab w:val="left" w:pos="8931"/>
        </w:tabs>
      </w:pPr>
      <w:r w:rsidRPr="00225D10">
        <w:t>m</w:t>
      </w:r>
      <w:r w:rsidR="00B079AE" w:rsidRPr="00225D10">
        <w:t>easures for managing impacts of aircraft noise</w:t>
      </w:r>
    </w:p>
    <w:p w:rsidR="00B079AE" w:rsidRPr="00225D10" w:rsidRDefault="0030307E" w:rsidP="00D34F87">
      <w:pPr>
        <w:pStyle w:val="ListParagraphSummary"/>
        <w:tabs>
          <w:tab w:val="left" w:pos="8931"/>
        </w:tabs>
      </w:pPr>
      <w:r w:rsidRPr="00225D10">
        <w:t>m</w:t>
      </w:r>
      <w:r w:rsidR="00B079AE" w:rsidRPr="00225D10">
        <w:t>anaging the risk of building generated windshear and turbulence at airports</w:t>
      </w:r>
    </w:p>
    <w:p w:rsidR="00B079AE" w:rsidRPr="00225D10" w:rsidRDefault="002726A9" w:rsidP="00D34F87">
      <w:pPr>
        <w:pStyle w:val="ListParagraphSummary"/>
        <w:tabs>
          <w:tab w:val="left" w:pos="8931"/>
        </w:tabs>
      </w:pPr>
      <w:r w:rsidRPr="00225D10">
        <w:t>m</w:t>
      </w:r>
      <w:r w:rsidR="00B079AE" w:rsidRPr="00225D10">
        <w:t>anaging risk of wildlife strikes in the vicinity of airports</w:t>
      </w:r>
    </w:p>
    <w:p w:rsidR="00B079AE" w:rsidRPr="00225D10" w:rsidRDefault="002726A9" w:rsidP="00D34F87">
      <w:pPr>
        <w:pStyle w:val="ListParagraphSummary"/>
        <w:tabs>
          <w:tab w:val="left" w:pos="8931"/>
        </w:tabs>
      </w:pPr>
      <w:r w:rsidRPr="00225D10">
        <w:t>m</w:t>
      </w:r>
      <w:r w:rsidR="00B079AE" w:rsidRPr="00225D10">
        <w:t>anaging the risk of wind turbines as physical obstacles to air navigation</w:t>
      </w:r>
    </w:p>
    <w:p w:rsidR="00B079AE" w:rsidRPr="00225D10" w:rsidRDefault="002726A9" w:rsidP="00D34F87">
      <w:pPr>
        <w:pStyle w:val="ListParagraphSummary"/>
        <w:tabs>
          <w:tab w:val="left" w:pos="8931"/>
        </w:tabs>
      </w:pPr>
      <w:proofErr w:type="gramStart"/>
      <w:r w:rsidRPr="00225D10">
        <w:t>m</w:t>
      </w:r>
      <w:r w:rsidR="00B079AE" w:rsidRPr="00225D10">
        <w:t>anaging</w:t>
      </w:r>
      <w:proofErr w:type="gramEnd"/>
      <w:r w:rsidR="00B079AE" w:rsidRPr="00225D10">
        <w:t xml:space="preserve"> the risk of intrusions into the protected airspace of airports</w:t>
      </w:r>
      <w:r w:rsidR="009B6FFA">
        <w:t>.</w:t>
      </w:r>
    </w:p>
    <w:p w:rsidR="004A1FF9" w:rsidRDefault="000D2EEF">
      <w:pPr>
        <w:pStyle w:val="bt"/>
      </w:pPr>
      <w:r>
        <w:t>T</w:t>
      </w:r>
      <w:r w:rsidR="00B079AE" w:rsidRPr="00225D10">
        <w:t>he national land use planning framework will ensure future airport operations and their economic viability are not constrained by incompatible residential development.</w:t>
      </w:r>
    </w:p>
    <w:p w:rsidR="00CE30C7" w:rsidRPr="00225D10" w:rsidRDefault="00B079AE" w:rsidP="00D34F87">
      <w:pPr>
        <w:pStyle w:val="bt"/>
        <w:tabs>
          <w:tab w:val="left" w:pos="8931"/>
        </w:tabs>
      </w:pPr>
      <w:r w:rsidRPr="00225D10">
        <w:lastRenderedPageBreak/>
        <w:t xml:space="preserve">Each </w:t>
      </w:r>
      <w:r w:rsidR="007C5534">
        <w:t xml:space="preserve">state </w:t>
      </w:r>
      <w:r w:rsidR="00F031C7">
        <w:t>government</w:t>
      </w:r>
      <w:r w:rsidRPr="00225D10">
        <w:t xml:space="preserve"> is to implement the framework into </w:t>
      </w:r>
      <w:r w:rsidR="008061B1">
        <w:t>its</w:t>
      </w:r>
      <w:r w:rsidRPr="00225D10">
        <w:t xml:space="preserve"> respective planning system.</w:t>
      </w:r>
    </w:p>
    <w:p w:rsidR="00B079AE" w:rsidRPr="00663F7F" w:rsidRDefault="00216FA6" w:rsidP="00D34F87">
      <w:pPr>
        <w:pStyle w:val="Heading2"/>
        <w:tabs>
          <w:tab w:val="left" w:pos="8931"/>
        </w:tabs>
        <w:rPr>
          <w:rFonts w:cs="Arial"/>
        </w:rPr>
      </w:pPr>
      <w:bookmarkStart w:id="165" w:name="_Toc374530884"/>
      <w:r w:rsidRPr="00663F7F">
        <w:rPr>
          <w:rFonts w:cs="Arial"/>
        </w:rPr>
        <w:t xml:space="preserve">Transport in the Loddon Mallee South </w:t>
      </w:r>
      <w:r w:rsidR="004B4391" w:rsidRPr="00663F7F">
        <w:rPr>
          <w:rFonts w:cs="Arial"/>
        </w:rPr>
        <w:t>r</w:t>
      </w:r>
      <w:r w:rsidRPr="00663F7F">
        <w:rPr>
          <w:rFonts w:cs="Arial"/>
        </w:rPr>
        <w:t>egion</w:t>
      </w:r>
      <w:bookmarkEnd w:id="165"/>
    </w:p>
    <w:p w:rsidR="002F2904" w:rsidRDefault="00B079AE" w:rsidP="00D34F87">
      <w:pPr>
        <w:pStyle w:val="bt"/>
        <w:tabs>
          <w:tab w:val="left" w:pos="8931"/>
        </w:tabs>
      </w:pPr>
      <w:r w:rsidRPr="00225D10">
        <w:t xml:space="preserve">The backbone of the transport network in the Loddon Mallee South </w:t>
      </w:r>
      <w:r w:rsidR="003D5FE0" w:rsidRPr="00225D10">
        <w:t>r</w:t>
      </w:r>
      <w:r w:rsidRPr="00225D10">
        <w:t xml:space="preserve">egion is provided by the major interstate transport corridor that forms part of the ‘National Land Transport Network’ (as designated by the Federal Government) – the Calder corridor. This corridor has a major freeway/highway and railway line that runs in parallel and provides for passenger and freight movement. </w:t>
      </w:r>
    </w:p>
    <w:p w:rsidR="00B079AE" w:rsidRPr="00225D10" w:rsidRDefault="00B079AE" w:rsidP="00D34F87">
      <w:pPr>
        <w:pStyle w:val="bt"/>
        <w:tabs>
          <w:tab w:val="left" w:pos="8931"/>
        </w:tabs>
      </w:pPr>
      <w:r w:rsidRPr="00225D10">
        <w:t xml:space="preserve">The most populous settlements in the </w:t>
      </w:r>
      <w:r w:rsidR="00003200" w:rsidRPr="00225D10">
        <w:t>region</w:t>
      </w:r>
      <w:r w:rsidR="000D2EEF">
        <w:t xml:space="preserve">, </w:t>
      </w:r>
      <w:r w:rsidRPr="00225D10">
        <w:t xml:space="preserve">Bendigo, Gisborne, </w:t>
      </w:r>
      <w:r w:rsidR="00E621A8" w:rsidRPr="00225D10">
        <w:t>Castlemaine and Kyneton</w:t>
      </w:r>
      <w:r w:rsidR="00FF3401">
        <w:t>,</w:t>
      </w:r>
      <w:r w:rsidR="003D5FE0" w:rsidRPr="00225D10">
        <w:t xml:space="preserve"> </w:t>
      </w:r>
      <w:r w:rsidRPr="00225D10">
        <w:t xml:space="preserve">are located </w:t>
      </w:r>
      <w:r w:rsidR="003D5FE0" w:rsidRPr="00225D10">
        <w:t xml:space="preserve">in </w:t>
      </w:r>
      <w:r w:rsidRPr="00225D10">
        <w:t xml:space="preserve">this corridor as well as settlements such as </w:t>
      </w:r>
      <w:r w:rsidR="00E621A8" w:rsidRPr="00225D10">
        <w:t>Woodend, Malmsbury and Harcourt</w:t>
      </w:r>
      <w:r w:rsidRPr="00225D10">
        <w:t>. Th</w:t>
      </w:r>
      <w:r w:rsidR="00FF3401">
        <w:t>is access route</w:t>
      </w:r>
      <w:r w:rsidRPr="00225D10">
        <w:t xml:space="preserve"> has shap</w:t>
      </w:r>
      <w:r w:rsidR="00FF3401">
        <w:t>ed</w:t>
      </w:r>
      <w:r w:rsidRPr="00225D10">
        <w:t xml:space="preserve"> the Loddon Mallee </w:t>
      </w:r>
      <w:r w:rsidR="003D5FE0" w:rsidRPr="00225D10">
        <w:t>South r</w:t>
      </w:r>
      <w:r w:rsidRPr="00225D10">
        <w:t xml:space="preserve">egion since the early gold rush of the 1800s and this is likely to continue into the future. </w:t>
      </w:r>
    </w:p>
    <w:p w:rsidR="00B079AE" w:rsidRPr="00225D10" w:rsidRDefault="00B079AE" w:rsidP="00D34F87">
      <w:pPr>
        <w:pStyle w:val="bt"/>
        <w:tabs>
          <w:tab w:val="left" w:pos="8931"/>
        </w:tabs>
      </w:pPr>
      <w:r w:rsidRPr="00225D10">
        <w:t xml:space="preserve">Apart from the Calder corridor, a number of other important transport links form part of the transport network in the </w:t>
      </w:r>
      <w:r w:rsidR="003D5FE0" w:rsidRPr="00225D10">
        <w:t>r</w:t>
      </w:r>
      <w:r w:rsidRPr="00225D10">
        <w:t>egion</w:t>
      </w:r>
      <w:r w:rsidR="00376ADD" w:rsidRPr="00225D10">
        <w:t>.</w:t>
      </w:r>
    </w:p>
    <w:p w:rsidR="00E8192C" w:rsidRPr="00225D10" w:rsidRDefault="00267D13" w:rsidP="00655244">
      <w:pPr>
        <w:pStyle w:val="Heading3"/>
      </w:pPr>
      <w:bookmarkStart w:id="166" w:name="_Toc329092303"/>
      <w:bookmarkStart w:id="167" w:name="_Toc371951927"/>
      <w:bookmarkStart w:id="168" w:name="_Toc372889307"/>
      <w:bookmarkStart w:id="169" w:name="_Toc374530885"/>
      <w:r w:rsidRPr="00225D10">
        <w:t>Road traffic flows</w:t>
      </w:r>
      <w:bookmarkEnd w:id="166"/>
      <w:bookmarkEnd w:id="167"/>
      <w:bookmarkEnd w:id="168"/>
      <w:bookmarkEnd w:id="169"/>
    </w:p>
    <w:p w:rsidR="00B079AE" w:rsidRPr="00225D10" w:rsidRDefault="00B079AE" w:rsidP="00D34F87">
      <w:pPr>
        <w:pStyle w:val="bt"/>
        <w:tabs>
          <w:tab w:val="left" w:pos="8931"/>
        </w:tabs>
      </w:pPr>
      <w:r w:rsidRPr="00225D10">
        <w:t xml:space="preserve">The </w:t>
      </w:r>
      <w:r w:rsidR="00BB2E99" w:rsidRPr="00225D10">
        <w:t>r</w:t>
      </w:r>
      <w:r w:rsidRPr="00225D10">
        <w:t>egion benefits from its geographical location</w:t>
      </w:r>
      <w:r w:rsidR="002F2904">
        <w:t xml:space="preserve">, </w:t>
      </w:r>
      <w:r w:rsidRPr="00225D10">
        <w:t>being in the centr</w:t>
      </w:r>
      <w:r w:rsidR="00FF3401">
        <w:t>e</w:t>
      </w:r>
      <w:r w:rsidRPr="00225D10">
        <w:t xml:space="preserve"> of a relatively compact state</w:t>
      </w:r>
      <w:r w:rsidR="002F2904">
        <w:t>,</w:t>
      </w:r>
      <w:r w:rsidRPr="00225D10">
        <w:t xml:space="preserve"> as well as the existing road network connecting it to other regional areas and to Melbourne. This road infrastructure is critical to the export performance of the region, and the efficiency of its labour market. There are </w:t>
      </w:r>
      <w:r w:rsidR="002F2904">
        <w:t>s</w:t>
      </w:r>
      <w:r w:rsidR="009B6FFA">
        <w:t>even</w:t>
      </w:r>
      <w:r w:rsidR="002F2904" w:rsidRPr="00225D10">
        <w:t xml:space="preserve"> </w:t>
      </w:r>
      <w:r w:rsidRPr="00225D10">
        <w:t xml:space="preserve">major </w:t>
      </w:r>
      <w:r w:rsidR="002F2904">
        <w:t>highway corridors</w:t>
      </w:r>
      <w:r w:rsidR="002F2904" w:rsidRPr="00225D10">
        <w:t xml:space="preserve"> </w:t>
      </w:r>
      <w:r w:rsidRPr="00225D10">
        <w:t xml:space="preserve">within the </w:t>
      </w:r>
      <w:r w:rsidR="00FF3401">
        <w:t>r</w:t>
      </w:r>
      <w:r w:rsidRPr="00225D10">
        <w:t xml:space="preserve">egion: </w:t>
      </w:r>
    </w:p>
    <w:p w:rsidR="00B079AE" w:rsidRPr="00225D10" w:rsidRDefault="00B079AE" w:rsidP="00D34F87">
      <w:pPr>
        <w:pStyle w:val="ListParagraphSummary"/>
        <w:tabs>
          <w:tab w:val="left" w:pos="8931"/>
        </w:tabs>
      </w:pPr>
      <w:r w:rsidRPr="00225D10">
        <w:t>Calder Freeway/Calder Highway (</w:t>
      </w:r>
      <w:r w:rsidR="00BB2E99" w:rsidRPr="00225D10">
        <w:t xml:space="preserve">south from Bendigo </w:t>
      </w:r>
      <w:r w:rsidRPr="00225D10">
        <w:t xml:space="preserve">to Melbourne and </w:t>
      </w:r>
      <w:r w:rsidR="00BB2E99" w:rsidRPr="00225D10">
        <w:t xml:space="preserve">north-west from Bendigo to </w:t>
      </w:r>
      <w:r w:rsidR="00A43B7F">
        <w:t>Mildura)</w:t>
      </w:r>
    </w:p>
    <w:p w:rsidR="00FF3401" w:rsidRDefault="004543FF" w:rsidP="00D34F87">
      <w:pPr>
        <w:pStyle w:val="ListParagraphSummary"/>
        <w:tabs>
          <w:tab w:val="left" w:pos="8931"/>
        </w:tabs>
      </w:pPr>
      <w:r>
        <w:t>Midland Highway</w:t>
      </w:r>
      <w:r w:rsidR="00FF3401">
        <w:t xml:space="preserve"> (south from Bendigo to Ballarat</w:t>
      </w:r>
      <w:r>
        <w:t xml:space="preserve"> and east from Bendigo to Shepparton</w:t>
      </w:r>
      <w:r w:rsidR="00B079AE" w:rsidRPr="00225D10">
        <w:t>)</w:t>
      </w:r>
    </w:p>
    <w:p w:rsidR="00B079AE" w:rsidRPr="00225D10" w:rsidRDefault="00FF3401" w:rsidP="00D34F87">
      <w:pPr>
        <w:pStyle w:val="ListParagraphSummary"/>
        <w:tabs>
          <w:tab w:val="left" w:pos="8931"/>
        </w:tabs>
      </w:pPr>
      <w:r>
        <w:t>Northern Highway (north from Bendigo to Echuca)</w:t>
      </w:r>
    </w:p>
    <w:p w:rsidR="00B079AE" w:rsidRPr="00225D10" w:rsidRDefault="00B079AE" w:rsidP="00D34F87">
      <w:pPr>
        <w:pStyle w:val="ListParagraphSummary"/>
        <w:tabs>
          <w:tab w:val="left" w:pos="8931"/>
        </w:tabs>
      </w:pPr>
      <w:r w:rsidRPr="00225D10">
        <w:t>Pyrenees Highway (west from Castlemaine</w:t>
      </w:r>
      <w:r w:rsidR="005C4808" w:rsidRPr="00225D10">
        <w:t xml:space="preserve"> to Ararat </w:t>
      </w:r>
      <w:r w:rsidRPr="00225D10">
        <w:t>)</w:t>
      </w:r>
    </w:p>
    <w:p w:rsidR="002F2904" w:rsidRDefault="00B079AE" w:rsidP="00D34F87">
      <w:pPr>
        <w:pStyle w:val="ListParagraphSummary"/>
        <w:tabs>
          <w:tab w:val="left" w:pos="8931"/>
        </w:tabs>
      </w:pPr>
      <w:r w:rsidRPr="00225D10">
        <w:t>Loddon Valley Highway (north to Kerang and Swan Hill)</w:t>
      </w:r>
    </w:p>
    <w:p w:rsidR="002F2904" w:rsidRDefault="002F2904" w:rsidP="00D34F87">
      <w:pPr>
        <w:pStyle w:val="ListParagraphSummary"/>
        <w:tabs>
          <w:tab w:val="left" w:pos="8931"/>
        </w:tabs>
      </w:pPr>
      <w:r>
        <w:t>McIvor Highway (south to Kilmore and Melbourne)</w:t>
      </w:r>
    </w:p>
    <w:p w:rsidR="00B079AE" w:rsidRPr="00225D10" w:rsidRDefault="002F2904" w:rsidP="00D34F87">
      <w:pPr>
        <w:pStyle w:val="ListParagraphSummary"/>
        <w:tabs>
          <w:tab w:val="left" w:pos="8931"/>
        </w:tabs>
      </w:pPr>
      <w:r>
        <w:t>Wimmera Highway (west to Horsham and South Australia</w:t>
      </w:r>
      <w:r w:rsidR="00763570">
        <w:t>.</w:t>
      </w:r>
    </w:p>
    <w:p w:rsidR="00250500" w:rsidRDefault="00B079AE" w:rsidP="00D34F87">
      <w:pPr>
        <w:pStyle w:val="bt"/>
        <w:tabs>
          <w:tab w:val="left" w:pos="8931"/>
        </w:tabs>
      </w:pPr>
      <w:r w:rsidRPr="0048056A">
        <w:t xml:space="preserve">These </w:t>
      </w:r>
      <w:r w:rsidR="00763570">
        <w:t>s</w:t>
      </w:r>
      <w:r w:rsidR="009B6FFA">
        <w:t>even</w:t>
      </w:r>
      <w:r w:rsidRPr="0048056A">
        <w:t xml:space="preserve"> thoroughfares serve as the region’s main link</w:t>
      </w:r>
      <w:r w:rsidR="001051EB" w:rsidRPr="0048056A">
        <w:t>s</w:t>
      </w:r>
      <w:r w:rsidRPr="0048056A">
        <w:t xml:space="preserve"> to </w:t>
      </w:r>
      <w:r w:rsidR="00FF3401">
        <w:t>the</w:t>
      </w:r>
      <w:r w:rsidRPr="0048056A">
        <w:t xml:space="preserve"> neighbouring regions </w:t>
      </w:r>
      <w:r w:rsidR="00FF3401">
        <w:t xml:space="preserve">of </w:t>
      </w:r>
      <w:r w:rsidRPr="0048056A">
        <w:t xml:space="preserve">Loddon Mallee North, Hume, </w:t>
      </w:r>
      <w:proofErr w:type="gramStart"/>
      <w:r w:rsidRPr="0048056A">
        <w:t>Central</w:t>
      </w:r>
      <w:proofErr w:type="gramEnd"/>
      <w:r w:rsidRPr="0048056A">
        <w:t xml:space="preserve"> Highlands and </w:t>
      </w:r>
      <w:r w:rsidR="00FF3401">
        <w:t xml:space="preserve">to </w:t>
      </w:r>
      <w:r w:rsidRPr="0048056A">
        <w:t xml:space="preserve">Melbourne. </w:t>
      </w:r>
      <w:r w:rsidR="001051EB" w:rsidRPr="0048056A">
        <w:t>The region’s a</w:t>
      </w:r>
      <w:r w:rsidRPr="0048056A">
        <w:t xml:space="preserve">rterial routes </w:t>
      </w:r>
      <w:r w:rsidR="001051EB" w:rsidRPr="0048056A">
        <w:t>are shown in</w:t>
      </w:r>
      <w:r w:rsidR="0048056A">
        <w:t xml:space="preserve"> </w:t>
      </w:r>
      <w:r w:rsidR="00680EEE">
        <w:fldChar w:fldCharType="begin"/>
      </w:r>
      <w:r w:rsidR="00680EEE">
        <w:instrText xml:space="preserve"> REF _Ref353353652 \h  \* MERGEFORMAT </w:instrText>
      </w:r>
      <w:r w:rsidR="00680EEE">
        <w:fldChar w:fldCharType="separate"/>
      </w:r>
      <w:r w:rsidR="00EF1401" w:rsidRPr="00225D10">
        <w:t xml:space="preserve">Figure </w:t>
      </w:r>
      <w:r w:rsidR="00EF1401">
        <w:rPr>
          <w:noProof/>
        </w:rPr>
        <w:t>31</w:t>
      </w:r>
      <w:r w:rsidR="00680EEE">
        <w:fldChar w:fldCharType="end"/>
      </w:r>
      <w:r w:rsidR="0048056A" w:rsidRPr="0048056A">
        <w:t>, along with the seven traffic count data points used by VicRoads to assess traffic volumes.</w:t>
      </w:r>
    </w:p>
    <w:p w:rsidR="00CE30C7" w:rsidRPr="00225D10" w:rsidRDefault="000E68C0" w:rsidP="00D34F87">
      <w:pPr>
        <w:pStyle w:val="Caption"/>
        <w:tabs>
          <w:tab w:val="left" w:pos="8931"/>
        </w:tabs>
        <w:spacing w:before="120"/>
        <w:rPr>
          <w:rFonts w:cs="Arial"/>
        </w:rPr>
      </w:pPr>
      <w:bookmarkStart w:id="170" w:name="_Ref352165853"/>
      <w:bookmarkStart w:id="171" w:name="_Ref353353652"/>
      <w:bookmarkStart w:id="172" w:name="_Toc352166565"/>
      <w:r>
        <w:rPr>
          <w:noProof/>
        </w:rPr>
        <w:lastRenderedPageBreak/>
        <w:drawing>
          <wp:anchor distT="0" distB="0" distL="114300" distR="114300" simplePos="0" relativeHeight="251672576" behindDoc="0" locked="0" layoutInCell="1" allowOverlap="1">
            <wp:simplePos x="0" y="0"/>
            <wp:positionH relativeFrom="column">
              <wp:posOffset>-14605</wp:posOffset>
            </wp:positionH>
            <wp:positionV relativeFrom="paragraph">
              <wp:posOffset>343535</wp:posOffset>
            </wp:positionV>
            <wp:extent cx="6134100" cy="3821430"/>
            <wp:effectExtent l="19050" t="19050" r="19050" b="26670"/>
            <wp:wrapTopAndBottom/>
            <wp:docPr id="19" name="Picture 16" descr="Map showing traffic count data points, Loddon Mallee South region including Calder Fwy 400m S of Blackwood Rd, Calder Highway North of Kyneton @ 91.7Km Post, Pyrenees Hwy W of Newstead (Castlemaine) @ 21.5km Post, Midland Hwy E of Goornong @ 31.0km Post, Calder Highway West of Derby @ 180.6km Post and Loddon Valley Hwy N of Durham Ox (Bendigo) @ 88.8k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email"/>
                    <a:stretch>
                      <a:fillRect/>
                    </a:stretch>
                  </pic:blipFill>
                  <pic:spPr bwMode="auto">
                    <a:xfrm>
                      <a:off x="0" y="0"/>
                      <a:ext cx="6134100" cy="3821430"/>
                    </a:xfrm>
                    <a:prstGeom prst="rect">
                      <a:avLst/>
                    </a:prstGeom>
                    <a:noFill/>
                    <a:ln w="6350" cmpd="sng">
                      <a:solidFill>
                        <a:srgbClr val="000000"/>
                      </a:solidFill>
                      <a:miter lim="800000"/>
                      <a:headEnd/>
                      <a:tailEnd/>
                    </a:ln>
                    <a:effectLst/>
                  </pic:spPr>
                </pic:pic>
              </a:graphicData>
            </a:graphic>
          </wp:anchor>
        </w:drawing>
      </w:r>
      <w:bookmarkStart w:id="173" w:name="_Toc374530826"/>
      <w:r w:rsidR="00CE30C7" w:rsidRPr="00225D10">
        <w:t xml:space="preserve">Figure </w:t>
      </w:r>
      <w:r w:rsidR="00162534">
        <w:fldChar w:fldCharType="begin"/>
      </w:r>
      <w:r w:rsidR="00154847">
        <w:instrText xml:space="preserve"> SEQ Figure \* ARABIC </w:instrText>
      </w:r>
      <w:r w:rsidR="00162534">
        <w:fldChar w:fldCharType="separate"/>
      </w:r>
      <w:r w:rsidR="00EF1401">
        <w:rPr>
          <w:noProof/>
        </w:rPr>
        <w:t>31</w:t>
      </w:r>
      <w:r w:rsidR="00162534">
        <w:fldChar w:fldCharType="end"/>
      </w:r>
      <w:bookmarkEnd w:id="170"/>
      <w:bookmarkEnd w:id="171"/>
      <w:r w:rsidR="00377F5C">
        <w:t xml:space="preserve">: </w:t>
      </w:r>
      <w:r w:rsidR="00CE30C7" w:rsidRPr="00225D10">
        <w:t>Traffic count data points, Loddon Mallee South region</w:t>
      </w:r>
      <w:bookmarkEnd w:id="172"/>
      <w:bookmarkEnd w:id="173"/>
    </w:p>
    <w:p w:rsidR="00B079AE" w:rsidRDefault="00B079AE" w:rsidP="00D34F87">
      <w:pPr>
        <w:tabs>
          <w:tab w:val="left" w:pos="8931"/>
        </w:tabs>
        <w:spacing w:before="0"/>
      </w:pPr>
      <w:r w:rsidRPr="00F42810">
        <w:rPr>
          <w:rStyle w:val="SourceChar"/>
        </w:rPr>
        <w:t>Source: VicRoads</w:t>
      </w:r>
    </w:p>
    <w:p w:rsidR="00250500" w:rsidRDefault="0048056A" w:rsidP="00D34F87">
      <w:pPr>
        <w:pStyle w:val="bt"/>
        <w:tabs>
          <w:tab w:val="left" w:pos="8931"/>
        </w:tabs>
      </w:pPr>
      <w:r w:rsidRPr="00225D10">
        <w:t>Of the four major arterial roads, the Calder Freeway had the highest annual average daily traffic and rate of growth between 2006 and 2010 (</w:t>
      </w:r>
      <w:r w:rsidR="00CB2C4C">
        <w:t xml:space="preserve">see </w:t>
      </w:r>
      <w:r w:rsidR="00680EEE">
        <w:fldChar w:fldCharType="begin"/>
      </w:r>
      <w:r w:rsidR="00680EEE">
        <w:instrText xml:space="preserve"> REF _Ref352165865 \h  \* MERGEFORMAT </w:instrText>
      </w:r>
      <w:r w:rsidR="00680EEE">
        <w:fldChar w:fldCharType="separate"/>
      </w:r>
      <w:r w:rsidR="00EF1401" w:rsidRPr="00225D10">
        <w:t xml:space="preserve">Figure </w:t>
      </w:r>
      <w:r w:rsidR="00EF1401">
        <w:rPr>
          <w:noProof/>
        </w:rPr>
        <w:t>32</w:t>
      </w:r>
      <w:r w:rsidR="00680EEE">
        <w:fldChar w:fldCharType="end"/>
      </w:r>
      <w:r w:rsidRPr="00225D10">
        <w:t>).</w:t>
      </w:r>
    </w:p>
    <w:p w:rsidR="007878DA" w:rsidRDefault="004C15E7" w:rsidP="00D34F87">
      <w:pPr>
        <w:pStyle w:val="bt"/>
        <w:tabs>
          <w:tab w:val="left" w:pos="8931"/>
        </w:tabs>
      </w:pPr>
      <w:r w:rsidRPr="00225D10">
        <w:t>This data clearly illustrates the importance of the Calder Freeway as the regional link to Melbourne and other regional areas such as Loddon Mallee North. The Calder Highway and Freeway traffic data points are part of the top 10 routes in Victoria with the highest annual average daily traffic in 2010 for all vehicles and trucks</w:t>
      </w:r>
      <w:r w:rsidR="00754B4F">
        <w:t>.</w:t>
      </w:r>
      <w:r w:rsidRPr="00754B4F">
        <w:rPr>
          <w:rStyle w:val="FootnoteReference"/>
          <w:rFonts w:asciiTheme="minorHAnsi" w:hAnsiTheme="minorHAnsi"/>
          <w:szCs w:val="20"/>
        </w:rPr>
        <w:footnoteReference w:id="32"/>
      </w:r>
    </w:p>
    <w:p w:rsidR="00CE30C7" w:rsidRPr="00225D10" w:rsidRDefault="007878DA" w:rsidP="00D34F87">
      <w:pPr>
        <w:pStyle w:val="Caption"/>
        <w:tabs>
          <w:tab w:val="left" w:pos="8931"/>
        </w:tabs>
        <w:rPr>
          <w:rFonts w:cs="Arial"/>
        </w:rPr>
      </w:pPr>
      <w:bookmarkStart w:id="174" w:name="_Ref352165865"/>
      <w:bookmarkStart w:id="175" w:name="_Toc352166566"/>
      <w:r>
        <w:rPr>
          <w:noProof/>
        </w:rPr>
        <w:lastRenderedPageBreak/>
        <w:drawing>
          <wp:anchor distT="0" distB="0" distL="114300" distR="114300" simplePos="0" relativeHeight="251673600" behindDoc="0" locked="0" layoutInCell="1" allowOverlap="1">
            <wp:simplePos x="0" y="0"/>
            <wp:positionH relativeFrom="column">
              <wp:posOffset>-42545</wp:posOffset>
            </wp:positionH>
            <wp:positionV relativeFrom="paragraph">
              <wp:posOffset>403225</wp:posOffset>
            </wp:positionV>
            <wp:extent cx="6355715" cy="4147820"/>
            <wp:effectExtent l="19050" t="19050" r="26035" b="24130"/>
            <wp:wrapTopAndBottom/>
            <wp:docPr id="20" name="Picture 17" descr="Bar graph showing compound growth rates, two-way, 2006 to 2010, Loddon Mallee South region including Annual Average Growth Rage, 2006-2010 and Traffic Count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email"/>
                    <a:srcRect/>
                    <a:stretch>
                      <a:fillRect/>
                    </a:stretch>
                  </pic:blipFill>
                  <pic:spPr bwMode="auto">
                    <a:xfrm>
                      <a:off x="0" y="0"/>
                      <a:ext cx="6355715" cy="4147820"/>
                    </a:xfrm>
                    <a:prstGeom prst="rect">
                      <a:avLst/>
                    </a:prstGeom>
                    <a:noFill/>
                    <a:ln w="6350" cmpd="sng">
                      <a:solidFill>
                        <a:srgbClr val="000000"/>
                      </a:solidFill>
                      <a:miter lim="800000"/>
                      <a:headEnd/>
                      <a:tailEnd/>
                    </a:ln>
                    <a:effectLst/>
                  </pic:spPr>
                </pic:pic>
              </a:graphicData>
            </a:graphic>
          </wp:anchor>
        </w:drawing>
      </w:r>
      <w:bookmarkStart w:id="176" w:name="_Toc374530827"/>
      <w:r w:rsidR="00CE30C7" w:rsidRPr="00225D10">
        <w:t xml:space="preserve">Figure </w:t>
      </w:r>
      <w:r w:rsidR="00162534">
        <w:fldChar w:fldCharType="begin"/>
      </w:r>
      <w:r w:rsidR="00154847">
        <w:instrText xml:space="preserve"> SEQ Figure \* ARABIC </w:instrText>
      </w:r>
      <w:r w:rsidR="00162534">
        <w:fldChar w:fldCharType="separate"/>
      </w:r>
      <w:r w:rsidR="00EF1401">
        <w:rPr>
          <w:noProof/>
        </w:rPr>
        <w:t>32</w:t>
      </w:r>
      <w:r w:rsidR="00162534">
        <w:fldChar w:fldCharType="end"/>
      </w:r>
      <w:bookmarkEnd w:id="174"/>
      <w:r w:rsidR="00377F5C">
        <w:t xml:space="preserve">: </w:t>
      </w:r>
      <w:r w:rsidR="00CE30C7" w:rsidRPr="00225D10">
        <w:t>Compound growth rates, two-way, 2006 to 2010, Loddon Mallee South region</w:t>
      </w:r>
      <w:bookmarkEnd w:id="175"/>
      <w:bookmarkEnd w:id="176"/>
    </w:p>
    <w:p w:rsidR="00B079AE" w:rsidRPr="003442A1" w:rsidRDefault="00B079AE" w:rsidP="00D34F87">
      <w:pPr>
        <w:pStyle w:val="Source"/>
        <w:tabs>
          <w:tab w:val="left" w:pos="8931"/>
        </w:tabs>
      </w:pPr>
      <w:r w:rsidRPr="00F42810">
        <w:t>Source: VicRoads</w:t>
      </w:r>
    </w:p>
    <w:p w:rsidR="00E8192C" w:rsidRPr="00225D10" w:rsidRDefault="00267D13" w:rsidP="00655244">
      <w:pPr>
        <w:pStyle w:val="Heading3"/>
      </w:pPr>
      <w:bookmarkStart w:id="177" w:name="_Toc329092304"/>
      <w:bookmarkStart w:id="178" w:name="_Toc371951928"/>
      <w:bookmarkStart w:id="179" w:name="_Toc372889308"/>
      <w:bookmarkStart w:id="180" w:name="_Toc374530886"/>
      <w:r w:rsidRPr="00225D10">
        <w:t>Train passenger traffic</w:t>
      </w:r>
      <w:bookmarkEnd w:id="177"/>
      <w:bookmarkEnd w:id="178"/>
      <w:bookmarkEnd w:id="179"/>
      <w:bookmarkEnd w:id="180"/>
    </w:p>
    <w:p w:rsidR="00B079AE" w:rsidRPr="00225D10" w:rsidRDefault="00B079AE" w:rsidP="00D34F87">
      <w:pPr>
        <w:pStyle w:val="bt"/>
        <w:tabs>
          <w:tab w:val="left" w:pos="8931"/>
        </w:tabs>
      </w:pPr>
      <w:r w:rsidRPr="00225D10">
        <w:t xml:space="preserve">Another asset for the region is the extent of railway coverage to and from Melbourne. Passenger rail enables daily or regular commuting to Melbourne. </w:t>
      </w:r>
      <w:r w:rsidR="002F2904">
        <w:t xml:space="preserve">The region </w:t>
      </w:r>
      <w:r w:rsidRPr="00225D10">
        <w:t>has 14 railway stations</w:t>
      </w:r>
      <w:r w:rsidR="00CB2C4C">
        <w:t>,</w:t>
      </w:r>
      <w:r w:rsidRPr="00225D10">
        <w:t xml:space="preserve"> half of which are in Macedon Ranges</w:t>
      </w:r>
      <w:r w:rsidR="00CB2C4C">
        <w:t xml:space="preserve"> Shire</w:t>
      </w:r>
      <w:r w:rsidRPr="00225D10">
        <w:t xml:space="preserve">. </w:t>
      </w:r>
      <w:r w:rsidR="00CB2C4C">
        <w:t xml:space="preserve">The City of Greater </w:t>
      </w:r>
      <w:r w:rsidRPr="00225D10">
        <w:t xml:space="preserve">Bendigo has four railway </w:t>
      </w:r>
      <w:proofErr w:type="gramStart"/>
      <w:r w:rsidRPr="00225D10">
        <w:t>stations</w:t>
      </w:r>
      <w:r w:rsidR="00FA30C2">
        <w:t>,</w:t>
      </w:r>
      <w:proofErr w:type="gramEnd"/>
      <w:r w:rsidR="00FA30C2">
        <w:t xml:space="preserve"> Central Goldfields</w:t>
      </w:r>
      <w:r w:rsidR="00CB2C4C">
        <w:t xml:space="preserve"> Shire </w:t>
      </w:r>
      <w:r w:rsidR="00FA30C2">
        <w:t>has two,</w:t>
      </w:r>
      <w:r w:rsidRPr="00225D10">
        <w:t xml:space="preserve"> while Loddon</w:t>
      </w:r>
      <w:r w:rsidR="00CB2C4C">
        <w:t xml:space="preserve"> Shire</w:t>
      </w:r>
      <w:r w:rsidRPr="00225D10">
        <w:t xml:space="preserve"> and Mount Alexander</w:t>
      </w:r>
      <w:r w:rsidR="00CB2C4C">
        <w:t xml:space="preserve"> Shire</w:t>
      </w:r>
      <w:r w:rsidRPr="00225D10">
        <w:t xml:space="preserve"> have one each. The region is served by the Bendigo Line, Swan Hill Line and Mildura</w:t>
      </w:r>
      <w:r w:rsidR="00932D62">
        <w:t xml:space="preserve"> Line (through the Maryborough s</w:t>
      </w:r>
      <w:r w:rsidRPr="00225D10">
        <w:t>tation in Central Goldfields</w:t>
      </w:r>
      <w:r w:rsidR="00CB2C4C">
        <w:t xml:space="preserve"> Shire</w:t>
      </w:r>
      <w:r w:rsidRPr="00225D10">
        <w:t>).</w:t>
      </w:r>
    </w:p>
    <w:p w:rsidR="00C472AB" w:rsidRDefault="00680EEE" w:rsidP="00D34F87">
      <w:pPr>
        <w:pStyle w:val="bt"/>
        <w:tabs>
          <w:tab w:val="left" w:pos="8931"/>
        </w:tabs>
      </w:pPr>
      <w:r>
        <w:fldChar w:fldCharType="begin"/>
      </w:r>
      <w:r>
        <w:instrText xml:space="preserve"> REF _Ref353353672 \h  \* MERGEFORMAT </w:instrText>
      </w:r>
      <w:r>
        <w:fldChar w:fldCharType="separate"/>
      </w:r>
      <w:r w:rsidR="00EF1401" w:rsidRPr="00225D10">
        <w:t xml:space="preserve">Figure </w:t>
      </w:r>
      <w:r w:rsidR="00EF1401">
        <w:rPr>
          <w:noProof/>
        </w:rPr>
        <w:t>33</w:t>
      </w:r>
      <w:r>
        <w:fldChar w:fldCharType="end"/>
      </w:r>
      <w:r w:rsidR="00932D62">
        <w:t xml:space="preserve"> </w:t>
      </w:r>
      <w:r w:rsidR="0048056A" w:rsidRPr="0048056A">
        <w:t>shows the estimated normal weekday rail patronage by station. In 2010–11, 32</w:t>
      </w:r>
      <w:r w:rsidR="00997C90">
        <w:t xml:space="preserve"> per cent</w:t>
      </w:r>
      <w:r w:rsidR="00997C90" w:rsidRPr="0048056A">
        <w:t xml:space="preserve"> </w:t>
      </w:r>
      <w:r w:rsidR="0048056A" w:rsidRPr="0048056A">
        <w:t>of the estimated normal weekday patr</w:t>
      </w:r>
      <w:r w:rsidR="00932D62">
        <w:t>onage originated from Bendigo s</w:t>
      </w:r>
      <w:r w:rsidR="0048056A" w:rsidRPr="0048056A">
        <w:t>tation, with 12</w:t>
      </w:r>
      <w:r w:rsidR="00997C90">
        <w:t xml:space="preserve"> per cent</w:t>
      </w:r>
      <w:r w:rsidR="00997C90" w:rsidRPr="0048056A">
        <w:t xml:space="preserve"> </w:t>
      </w:r>
      <w:r w:rsidR="00932D62">
        <w:t>from Castlemaine s</w:t>
      </w:r>
      <w:r w:rsidR="0048056A" w:rsidRPr="0048056A">
        <w:t>tation. Railway stations in Macedon Ranges</w:t>
      </w:r>
      <w:r w:rsidR="00CB2C4C">
        <w:t xml:space="preserve"> Shire</w:t>
      </w:r>
      <w:r w:rsidR="0048056A" w:rsidRPr="0048056A">
        <w:t xml:space="preserve"> as a whole (Clarkefield, Riddells Creek, Gisborne, Macedon, Woodend, Kyneton and Malmsbury) accounted for 46</w:t>
      </w:r>
      <w:r w:rsidR="00997C90">
        <w:t xml:space="preserve"> per cent</w:t>
      </w:r>
      <w:r w:rsidR="00997C90" w:rsidRPr="0048056A">
        <w:t xml:space="preserve"> </w:t>
      </w:r>
      <w:r w:rsidR="0048056A" w:rsidRPr="0048056A">
        <w:t>of the estimated normal weekday patronage in 2010–11, up from 42</w:t>
      </w:r>
      <w:r w:rsidR="00997C90">
        <w:t xml:space="preserve"> per cent</w:t>
      </w:r>
      <w:r w:rsidR="00997C90" w:rsidRPr="0048056A">
        <w:t xml:space="preserve"> </w:t>
      </w:r>
      <w:r w:rsidR="0048056A" w:rsidRPr="0048056A">
        <w:t>in 2005–06.</w:t>
      </w:r>
      <w:bookmarkStart w:id="181" w:name="_Ref352165885"/>
    </w:p>
    <w:p w:rsidR="007C0258" w:rsidRDefault="004A1FF9" w:rsidP="00D34F87">
      <w:pPr>
        <w:pStyle w:val="Caption"/>
        <w:tabs>
          <w:tab w:val="left" w:pos="8931"/>
        </w:tabs>
      </w:pPr>
      <w:r>
        <w:rPr>
          <w:rFonts w:ascii="Calibri" w:hAnsi="Calibri"/>
          <w:noProof/>
        </w:rPr>
        <w:lastRenderedPageBreak/>
        <w:drawing>
          <wp:anchor distT="0" distB="0" distL="114300" distR="114300" simplePos="0" relativeHeight="251674624" behindDoc="0" locked="0" layoutInCell="1" allowOverlap="1">
            <wp:simplePos x="0" y="0"/>
            <wp:positionH relativeFrom="column">
              <wp:posOffset>-4445</wp:posOffset>
            </wp:positionH>
            <wp:positionV relativeFrom="paragraph">
              <wp:posOffset>346075</wp:posOffset>
            </wp:positionV>
            <wp:extent cx="5594985" cy="3613150"/>
            <wp:effectExtent l="19050" t="19050" r="24765" b="25400"/>
            <wp:wrapTopAndBottom/>
            <wp:docPr id="21" name="Picture 18" descr="Bar chart showing normal weekday rail patronage, estimate by station, Loddon Mallee South including stations Clarkefield, Riddells Creek, Gisbourne, Macedon, Woodend, Kyneton, Castlemaine, Malmsbury, Kangaroo Flat, Bendigo, Eaglehawk, Dingee, Pyramid and El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email"/>
                    <a:srcRect l="3993" t="2117" r="3511" b="3605"/>
                    <a:stretch>
                      <a:fillRect/>
                    </a:stretch>
                  </pic:blipFill>
                  <pic:spPr bwMode="auto">
                    <a:xfrm>
                      <a:off x="0" y="0"/>
                      <a:ext cx="5594985" cy="3613150"/>
                    </a:xfrm>
                    <a:prstGeom prst="rect">
                      <a:avLst/>
                    </a:prstGeom>
                    <a:noFill/>
                    <a:ln w="6350" cmpd="sng">
                      <a:solidFill>
                        <a:srgbClr val="000000"/>
                      </a:solidFill>
                      <a:miter lim="800000"/>
                      <a:headEnd/>
                      <a:tailEnd/>
                    </a:ln>
                    <a:effectLst/>
                  </pic:spPr>
                </pic:pic>
              </a:graphicData>
            </a:graphic>
          </wp:anchor>
        </w:drawing>
      </w:r>
      <w:bookmarkStart w:id="182" w:name="_Ref353353672"/>
      <w:bookmarkStart w:id="183" w:name="_Toc374530828"/>
      <w:r w:rsidR="00CE30C7" w:rsidRPr="00225D10">
        <w:t xml:space="preserve">Figure </w:t>
      </w:r>
      <w:r w:rsidR="00162534">
        <w:fldChar w:fldCharType="begin"/>
      </w:r>
      <w:r w:rsidR="00154847">
        <w:instrText xml:space="preserve"> SEQ Figure \* ARABIC </w:instrText>
      </w:r>
      <w:r w:rsidR="00162534">
        <w:fldChar w:fldCharType="separate"/>
      </w:r>
      <w:r w:rsidR="00EF1401">
        <w:rPr>
          <w:noProof/>
        </w:rPr>
        <w:t>33</w:t>
      </w:r>
      <w:r w:rsidR="00162534">
        <w:fldChar w:fldCharType="end"/>
      </w:r>
      <w:bookmarkEnd w:id="181"/>
      <w:bookmarkEnd w:id="182"/>
      <w:r w:rsidR="00377F5C">
        <w:t xml:space="preserve">: </w:t>
      </w:r>
      <w:r w:rsidR="00CE30C7" w:rsidRPr="00225D10">
        <w:t>Normal weekday rail patronage, estimate by station, Loddon Mallee South</w:t>
      </w:r>
      <w:bookmarkEnd w:id="183"/>
    </w:p>
    <w:p w:rsidR="00B079AE" w:rsidRPr="00225D10" w:rsidRDefault="00320F46" w:rsidP="00D34F87">
      <w:pPr>
        <w:pStyle w:val="bt"/>
        <w:tabs>
          <w:tab w:val="left" w:pos="8931"/>
        </w:tabs>
      </w:pPr>
      <w:r w:rsidRPr="00225D10">
        <w:t xml:space="preserve">Following recent </w:t>
      </w:r>
      <w:r w:rsidR="00B079AE" w:rsidRPr="00225D10">
        <w:t>improvement</w:t>
      </w:r>
      <w:r w:rsidRPr="00225D10">
        <w:t>s</w:t>
      </w:r>
      <w:r w:rsidR="00B079AE" w:rsidRPr="00225D10">
        <w:t xml:space="preserve"> in regional rail services, there has been a substantial increase in V/Line patronage across the major rail stations in the region. The growth in normal weekday rail patronage, especially in Macedon Ranges</w:t>
      </w:r>
      <w:r w:rsidR="00C472AB">
        <w:t xml:space="preserve"> Shire</w:t>
      </w:r>
      <w:r w:rsidR="00B079AE" w:rsidRPr="00225D10">
        <w:t>, could likely indicate an increase in journey to work from the region to Melbourne.</w:t>
      </w:r>
    </w:p>
    <w:p w:rsidR="00932D62" w:rsidRDefault="00B079AE" w:rsidP="00D34F87">
      <w:pPr>
        <w:pStyle w:val="bt"/>
        <w:tabs>
          <w:tab w:val="left" w:pos="8931"/>
        </w:tabs>
      </w:pPr>
      <w:r w:rsidRPr="00225D10">
        <w:t>V/Line passenger rail services were extended to Marybo</w:t>
      </w:r>
      <w:r w:rsidR="00430121" w:rsidRPr="00225D10">
        <w:t xml:space="preserve">rough </w:t>
      </w:r>
      <w:r w:rsidR="00932D62">
        <w:t>s</w:t>
      </w:r>
      <w:r w:rsidR="00430121" w:rsidRPr="00225D10">
        <w:t xml:space="preserve">tation in 2010. </w:t>
      </w:r>
      <w:r w:rsidR="00680EEE">
        <w:fldChar w:fldCharType="begin"/>
      </w:r>
      <w:r w:rsidR="00680EEE">
        <w:instrText xml:space="preserve"> REF _Ref352165921 \h  \* MERGEFORMAT </w:instrText>
      </w:r>
      <w:r w:rsidR="00680EEE">
        <w:fldChar w:fldCharType="separate"/>
      </w:r>
      <w:r w:rsidR="00EF1401" w:rsidRPr="00225D10">
        <w:t xml:space="preserve">Figure </w:t>
      </w:r>
      <w:r w:rsidR="00EF1401">
        <w:rPr>
          <w:noProof/>
        </w:rPr>
        <w:t>34</w:t>
      </w:r>
      <w:r w:rsidR="00680EEE">
        <w:fldChar w:fldCharType="end"/>
      </w:r>
      <w:r w:rsidR="00E621A8" w:rsidRPr="00225D10">
        <w:t xml:space="preserve"> </w:t>
      </w:r>
      <w:r w:rsidRPr="00225D10">
        <w:t xml:space="preserve">shows total monthly </w:t>
      </w:r>
      <w:proofErr w:type="spellStart"/>
      <w:r w:rsidRPr="00225D10">
        <w:t>boardings</w:t>
      </w:r>
      <w:proofErr w:type="spellEnd"/>
      <w:r w:rsidRPr="00225D10">
        <w:t xml:space="preserve"> at the station from July 2010 to November 2011. This station gives the region another railway access point to Melbourne via Ballarat. The patronage growth </w:t>
      </w:r>
      <w:r w:rsidR="00320F46" w:rsidRPr="00225D10">
        <w:t xml:space="preserve">from </w:t>
      </w:r>
      <w:r w:rsidRPr="00225D10">
        <w:t>this station, together with journey to work data showing a higher journey to work pattern to Ballarat and Pyrenees rather than Bendigo from Central Goldfields</w:t>
      </w:r>
      <w:r w:rsidR="00320F46" w:rsidRPr="00225D10">
        <w:t>,</w:t>
      </w:r>
      <w:r w:rsidRPr="00225D10">
        <w:t xml:space="preserve"> indicat</w:t>
      </w:r>
      <w:r w:rsidR="00320F46" w:rsidRPr="00225D10">
        <w:t xml:space="preserve">es interconnectivity between </w:t>
      </w:r>
      <w:r w:rsidRPr="00225D10">
        <w:t xml:space="preserve">surrounding </w:t>
      </w:r>
      <w:r w:rsidR="00320F46" w:rsidRPr="00225D10">
        <w:t xml:space="preserve">local government areas </w:t>
      </w:r>
      <w:r w:rsidRPr="00225D10">
        <w:t>in the Central Highlands</w:t>
      </w:r>
      <w:r w:rsidR="00C472AB">
        <w:t xml:space="preserve"> region</w:t>
      </w:r>
      <w:r w:rsidRPr="00225D10">
        <w:t>.</w:t>
      </w:r>
    </w:p>
    <w:p w:rsidR="007C0258" w:rsidRDefault="005E3071" w:rsidP="00D34F87">
      <w:pPr>
        <w:pStyle w:val="Caption"/>
        <w:tabs>
          <w:tab w:val="left" w:pos="8931"/>
        </w:tabs>
      </w:pPr>
      <w:bookmarkStart w:id="184" w:name="_Ref352165921"/>
      <w:bookmarkStart w:id="185" w:name="_Toc352166567"/>
      <w:r>
        <w:rPr>
          <w:noProof/>
        </w:rPr>
        <w:drawing>
          <wp:anchor distT="0" distB="0" distL="114300" distR="114300" simplePos="0" relativeHeight="251675648" behindDoc="0" locked="0" layoutInCell="1" allowOverlap="1">
            <wp:simplePos x="0" y="0"/>
            <wp:positionH relativeFrom="column">
              <wp:posOffset>-17145</wp:posOffset>
            </wp:positionH>
            <wp:positionV relativeFrom="paragraph">
              <wp:posOffset>393700</wp:posOffset>
            </wp:positionV>
            <wp:extent cx="5429250" cy="2842260"/>
            <wp:effectExtent l="19050" t="19050" r="19050" b="15240"/>
            <wp:wrapTopAndBottom/>
            <wp:docPr id="33" name="Picture 19" descr="Graph showing total boardings at Maryborough Station from July 2010 to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email">
                      <a:extLst>
                        <a:ext uri="{28A0092B-C50C-407E-A947-70E740481C1C}">
                          <a14:useLocalDpi xmlns:a14="http://schemas.microsoft.com/office/drawing/2010/main" val="0"/>
                        </a:ext>
                      </a:extLst>
                    </a:blip>
                    <a:srcRect l="2635" t="2662" r="4517" b="3921"/>
                    <a:stretch>
                      <a:fillRect/>
                    </a:stretch>
                  </pic:blipFill>
                  <pic:spPr bwMode="auto">
                    <a:xfrm>
                      <a:off x="0" y="0"/>
                      <a:ext cx="5429250" cy="2842260"/>
                    </a:xfrm>
                    <a:prstGeom prst="rect">
                      <a:avLst/>
                    </a:prstGeom>
                    <a:noFill/>
                    <a:ln w="6350" cmpd="sng">
                      <a:solidFill>
                        <a:srgbClr val="000000"/>
                      </a:solidFill>
                      <a:miter lim="800000"/>
                      <a:headEnd/>
                      <a:tailEnd/>
                    </a:ln>
                    <a:effectLst/>
                  </pic:spPr>
                </pic:pic>
              </a:graphicData>
            </a:graphic>
          </wp:anchor>
        </w:drawing>
      </w:r>
      <w:bookmarkStart w:id="186" w:name="_Toc374530829"/>
      <w:r w:rsidR="00CE30C7" w:rsidRPr="00225D10">
        <w:t xml:space="preserve">Figure </w:t>
      </w:r>
      <w:r w:rsidR="00162534">
        <w:fldChar w:fldCharType="begin"/>
      </w:r>
      <w:r w:rsidR="00154847">
        <w:instrText xml:space="preserve"> SEQ Figure \* ARABIC </w:instrText>
      </w:r>
      <w:r w:rsidR="00162534">
        <w:fldChar w:fldCharType="separate"/>
      </w:r>
      <w:r w:rsidR="00EF1401">
        <w:rPr>
          <w:noProof/>
        </w:rPr>
        <w:t>34</w:t>
      </w:r>
      <w:r w:rsidR="00162534">
        <w:fldChar w:fldCharType="end"/>
      </w:r>
      <w:bookmarkEnd w:id="184"/>
      <w:r w:rsidR="00377F5C">
        <w:t xml:space="preserve">: </w:t>
      </w:r>
      <w:r w:rsidR="00CE30C7" w:rsidRPr="00225D10">
        <w:t xml:space="preserve">Total </w:t>
      </w:r>
      <w:proofErr w:type="spellStart"/>
      <w:r w:rsidR="00CE30C7" w:rsidRPr="00225D10">
        <w:t>boardings</w:t>
      </w:r>
      <w:proofErr w:type="spellEnd"/>
      <w:r w:rsidR="00CE30C7" w:rsidRPr="00225D10">
        <w:t xml:space="preserve"> at Maryborough Station from July 2010 to November 2011</w:t>
      </w:r>
      <w:bookmarkEnd w:id="185"/>
      <w:bookmarkEnd w:id="186"/>
    </w:p>
    <w:p w:rsidR="00E8192C" w:rsidRPr="00225D10" w:rsidRDefault="00267D13" w:rsidP="00655244">
      <w:pPr>
        <w:pStyle w:val="Heading3"/>
      </w:pPr>
      <w:bookmarkStart w:id="187" w:name="_Toc329092305"/>
      <w:bookmarkStart w:id="188" w:name="_Toc371951929"/>
      <w:bookmarkStart w:id="189" w:name="_Toc372889309"/>
      <w:bookmarkStart w:id="190" w:name="_Toc374530887"/>
      <w:r w:rsidRPr="00225D10">
        <w:lastRenderedPageBreak/>
        <w:t>Journey to work patterns</w:t>
      </w:r>
      <w:bookmarkEnd w:id="187"/>
      <w:bookmarkEnd w:id="188"/>
      <w:bookmarkEnd w:id="189"/>
      <w:bookmarkEnd w:id="190"/>
    </w:p>
    <w:p w:rsidR="007878DA" w:rsidRDefault="00B079AE" w:rsidP="00D34F87">
      <w:pPr>
        <w:pStyle w:val="bt"/>
        <w:tabs>
          <w:tab w:val="left" w:pos="8931"/>
        </w:tabs>
      </w:pPr>
      <w:r w:rsidRPr="0048056A">
        <w:t>Aside from being a valuable input to model current and future transport planning and service provisions</w:t>
      </w:r>
      <w:r w:rsidR="00754B4F">
        <w:t>,</w:t>
      </w:r>
      <w:r w:rsidRPr="00754B4F">
        <w:rPr>
          <w:rStyle w:val="FootnoteReference"/>
          <w:rFonts w:asciiTheme="minorHAnsi" w:hAnsiTheme="minorHAnsi" w:cs="Arial"/>
          <w:szCs w:val="20"/>
        </w:rPr>
        <w:footnoteReference w:id="33"/>
      </w:r>
      <w:r w:rsidRPr="0048056A">
        <w:t xml:space="preserve"> journey to work data can also provide an indication </w:t>
      </w:r>
      <w:r w:rsidR="00320F46" w:rsidRPr="0048056A">
        <w:t xml:space="preserve">of </w:t>
      </w:r>
      <w:r w:rsidRPr="0048056A">
        <w:t xml:space="preserve">the economic flows and linkages within the region and </w:t>
      </w:r>
      <w:r w:rsidR="000A0044" w:rsidRPr="0048056A">
        <w:t xml:space="preserve">between </w:t>
      </w:r>
      <w:r w:rsidRPr="0048056A">
        <w:t>surrounding areas. Of the five</w:t>
      </w:r>
      <w:r w:rsidR="000A0044" w:rsidRPr="0048056A">
        <w:t xml:space="preserve"> local government areas</w:t>
      </w:r>
      <w:r w:rsidRPr="0048056A">
        <w:t xml:space="preserve">, only Central Goldfields and </w:t>
      </w:r>
      <w:r w:rsidR="005E3071">
        <w:t xml:space="preserve">Greater </w:t>
      </w:r>
      <w:r w:rsidRPr="0048056A">
        <w:t>Bendigo have a high journey to work containmen</w:t>
      </w:r>
      <w:r w:rsidR="005E3071">
        <w:t>t,</w:t>
      </w:r>
      <w:r w:rsidRPr="0048056A">
        <w:t xml:space="preserve"> </w:t>
      </w:r>
      <w:r w:rsidR="000A0044" w:rsidRPr="0048056A">
        <w:t xml:space="preserve">with </w:t>
      </w:r>
      <w:r w:rsidRPr="0048056A">
        <w:t>more than 80</w:t>
      </w:r>
      <w:r w:rsidR="00997C90">
        <w:t xml:space="preserve"> per cent</w:t>
      </w:r>
      <w:r w:rsidR="00997C90" w:rsidRPr="0048056A">
        <w:t xml:space="preserve"> </w:t>
      </w:r>
      <w:r w:rsidRPr="0048056A">
        <w:t>of journeys to work within</w:t>
      </w:r>
      <w:r w:rsidR="00430121" w:rsidRPr="0048056A">
        <w:t xml:space="preserve"> their boundaries (</w:t>
      </w:r>
      <w:r w:rsidR="00680EEE">
        <w:fldChar w:fldCharType="begin"/>
      </w:r>
      <w:r w:rsidR="00680EEE">
        <w:instrText xml:space="preserve"> REF _Ref353353729 \h  \* MERGEFORMAT </w:instrText>
      </w:r>
      <w:r w:rsidR="00680EEE">
        <w:fldChar w:fldCharType="separate"/>
      </w:r>
      <w:r w:rsidR="00EF1401" w:rsidRPr="00225D10">
        <w:t xml:space="preserve">Figure </w:t>
      </w:r>
      <w:r w:rsidR="00EF1401">
        <w:rPr>
          <w:noProof/>
        </w:rPr>
        <w:t>35</w:t>
      </w:r>
      <w:r w:rsidR="00680EEE">
        <w:fldChar w:fldCharType="end"/>
      </w:r>
      <w:r w:rsidR="0048056A" w:rsidRPr="0048056A">
        <w:t>).</w:t>
      </w:r>
    </w:p>
    <w:p w:rsidR="00B63E12" w:rsidRDefault="007878DA" w:rsidP="00D34F87">
      <w:pPr>
        <w:pStyle w:val="Caption"/>
        <w:tabs>
          <w:tab w:val="left" w:pos="8931"/>
        </w:tabs>
        <w:spacing w:before="0"/>
      </w:pPr>
      <w:bookmarkStart w:id="191" w:name="_Ref353353729"/>
      <w:bookmarkStart w:id="192" w:name="_Ref352165931"/>
      <w:bookmarkStart w:id="193" w:name="_Toc352166568"/>
      <w:r>
        <w:rPr>
          <w:noProof/>
        </w:rPr>
        <w:drawing>
          <wp:anchor distT="0" distB="0" distL="114300" distR="114300" simplePos="0" relativeHeight="251676672" behindDoc="0" locked="0" layoutInCell="1" allowOverlap="1">
            <wp:simplePos x="0" y="0"/>
            <wp:positionH relativeFrom="column">
              <wp:posOffset>65405</wp:posOffset>
            </wp:positionH>
            <wp:positionV relativeFrom="paragraph">
              <wp:posOffset>411480</wp:posOffset>
            </wp:positionV>
            <wp:extent cx="3860800" cy="4396740"/>
            <wp:effectExtent l="38100" t="19050" r="25400" b="22860"/>
            <wp:wrapTopAndBottom/>
            <wp:docPr id="2" name="Picture 20" descr="Map showing journey to work within local government area boundaries*, Loddon Mallee South, 2006 including Loddon (76%), Greater Bendigo (88%), Central Goldfields (81%), Mount Alexander (67%) and Macedon Range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3860800" cy="4396740"/>
                    </a:xfrm>
                    <a:prstGeom prst="rect">
                      <a:avLst/>
                    </a:prstGeom>
                    <a:noFill/>
                    <a:ln w="6350" cmpd="sng">
                      <a:solidFill>
                        <a:srgbClr val="000000"/>
                      </a:solidFill>
                      <a:miter lim="800000"/>
                      <a:headEnd/>
                      <a:tailEnd/>
                    </a:ln>
                    <a:effectLst/>
                  </pic:spPr>
                </pic:pic>
              </a:graphicData>
            </a:graphic>
          </wp:anchor>
        </w:drawing>
      </w:r>
      <w:bookmarkStart w:id="194" w:name="_Toc374530830"/>
      <w:r w:rsidR="00565611" w:rsidRPr="00225D10">
        <w:t xml:space="preserve">Figure </w:t>
      </w:r>
      <w:r w:rsidR="00162534">
        <w:fldChar w:fldCharType="begin"/>
      </w:r>
      <w:r w:rsidR="00154847">
        <w:instrText xml:space="preserve"> SEQ Figure \* ARABIC </w:instrText>
      </w:r>
      <w:r w:rsidR="00162534">
        <w:fldChar w:fldCharType="separate"/>
      </w:r>
      <w:r w:rsidR="00EF1401">
        <w:rPr>
          <w:noProof/>
        </w:rPr>
        <w:t>35</w:t>
      </w:r>
      <w:r w:rsidR="00162534">
        <w:fldChar w:fldCharType="end"/>
      </w:r>
      <w:bookmarkEnd w:id="191"/>
      <w:r w:rsidR="00377F5C">
        <w:t xml:space="preserve">: </w:t>
      </w:r>
      <w:r w:rsidR="00565611" w:rsidRPr="00225D10">
        <w:t>Journey to work within local government area boundaries, Loddon Mallee South, 2006</w:t>
      </w:r>
      <w:bookmarkEnd w:id="194"/>
    </w:p>
    <w:bookmarkEnd w:id="192"/>
    <w:bookmarkEnd w:id="193"/>
    <w:p w:rsidR="00B079AE" w:rsidRPr="00225D10" w:rsidRDefault="00B079AE" w:rsidP="00D34F87">
      <w:pPr>
        <w:pStyle w:val="Source"/>
        <w:tabs>
          <w:tab w:val="left" w:pos="8931"/>
        </w:tabs>
      </w:pPr>
      <w:r w:rsidRPr="00225D10">
        <w:t xml:space="preserve">Source: </w:t>
      </w:r>
      <w:r w:rsidR="005E3071">
        <w:t>Australian Bureau of Statistics, b</w:t>
      </w:r>
      <w:r w:rsidR="005E3071" w:rsidRPr="00225D10">
        <w:t>ased on place of usual residence.</w:t>
      </w:r>
    </w:p>
    <w:p w:rsidR="00B079AE" w:rsidRPr="00225D10" w:rsidRDefault="00B079AE" w:rsidP="00D34F87">
      <w:pPr>
        <w:pStyle w:val="bt"/>
        <w:tabs>
          <w:tab w:val="left" w:pos="8931"/>
        </w:tabs>
      </w:pPr>
      <w:r w:rsidRPr="00225D10">
        <w:t xml:space="preserve">In terms of interactions between </w:t>
      </w:r>
      <w:r w:rsidR="000A0044" w:rsidRPr="00225D10">
        <w:t xml:space="preserve">local government areas </w:t>
      </w:r>
      <w:r w:rsidRPr="00225D10">
        <w:t>in the region:</w:t>
      </w:r>
    </w:p>
    <w:p w:rsidR="000A0044" w:rsidRPr="00225D10" w:rsidRDefault="000A0044" w:rsidP="00D34F87">
      <w:pPr>
        <w:pStyle w:val="ListParagraphSummary"/>
        <w:tabs>
          <w:tab w:val="left" w:pos="8931"/>
        </w:tabs>
      </w:pPr>
      <w:r w:rsidRPr="00225D10">
        <w:t>a</w:t>
      </w:r>
      <w:r w:rsidR="00B079AE" w:rsidRPr="00225D10">
        <w:t xml:space="preserve">round </w:t>
      </w:r>
      <w:r w:rsidR="005E3071">
        <w:t>five</w:t>
      </w:r>
      <w:r w:rsidR="00997C90">
        <w:t xml:space="preserve"> per cent</w:t>
      </w:r>
      <w:r w:rsidR="00997C90" w:rsidRPr="00225D10">
        <w:t xml:space="preserve"> </w:t>
      </w:r>
      <w:r w:rsidR="00B079AE" w:rsidRPr="00225D10">
        <w:t xml:space="preserve">of journeys to work from Central Goldfields were to </w:t>
      </w:r>
      <w:r w:rsidRPr="00225D10">
        <w:t>areas</w:t>
      </w:r>
      <w:r w:rsidR="00B079AE" w:rsidRPr="00225D10">
        <w:t xml:space="preserve"> outside the region (Ballarat – </w:t>
      </w:r>
      <w:r w:rsidR="005E3071">
        <w:t>three</w:t>
      </w:r>
      <w:r w:rsidR="00997C90">
        <w:t xml:space="preserve"> per cent</w:t>
      </w:r>
      <w:r w:rsidR="00997C90" w:rsidRPr="00225D10">
        <w:t xml:space="preserve"> </w:t>
      </w:r>
      <w:r w:rsidR="005E3071">
        <w:t>and Pyrenees – two</w:t>
      </w:r>
      <w:r w:rsidR="00997C90">
        <w:t xml:space="preserve"> per cent</w:t>
      </w:r>
      <w:r w:rsidR="00997C90" w:rsidRPr="00225D10">
        <w:t xml:space="preserve">) </w:t>
      </w:r>
      <w:r w:rsidRPr="00225D10">
        <w:t xml:space="preserve">– </w:t>
      </w:r>
      <w:r w:rsidR="00B079AE" w:rsidRPr="00225D10">
        <w:t>higher than the journey to work percentage share for Loddon (</w:t>
      </w:r>
      <w:r w:rsidR="005E3071">
        <w:t>one</w:t>
      </w:r>
      <w:r w:rsidR="00997C90">
        <w:t xml:space="preserve"> per cent</w:t>
      </w:r>
      <w:r w:rsidR="00997C90" w:rsidRPr="00225D10">
        <w:t xml:space="preserve">) </w:t>
      </w:r>
      <w:r w:rsidR="00B079AE" w:rsidRPr="00225D10">
        <w:t>and Macedon Ranges (</w:t>
      </w:r>
      <w:r w:rsidR="005E3071">
        <w:t>one</w:t>
      </w:r>
      <w:r w:rsidR="00997C90">
        <w:t xml:space="preserve"> per cent</w:t>
      </w:r>
      <w:r w:rsidR="00997C90" w:rsidRPr="00225D10">
        <w:t xml:space="preserve">), </w:t>
      </w:r>
      <w:r w:rsidR="005E3071">
        <w:t>and similar to Greater Bendigo (two</w:t>
      </w:r>
      <w:r w:rsidR="00997C90">
        <w:t xml:space="preserve"> per cent</w:t>
      </w:r>
      <w:r w:rsidR="00997C90" w:rsidRPr="00225D10">
        <w:t xml:space="preserve">) </w:t>
      </w:r>
      <w:r w:rsidR="005E3071">
        <w:t>and Mount Alexander (three</w:t>
      </w:r>
      <w:r w:rsidR="00997C90">
        <w:t xml:space="preserve"> per cent</w:t>
      </w:r>
      <w:r w:rsidR="00997C90" w:rsidRPr="00225D10">
        <w:t>)</w:t>
      </w:r>
    </w:p>
    <w:p w:rsidR="00B079AE" w:rsidRPr="00225D10" w:rsidRDefault="000A0044" w:rsidP="00D34F87">
      <w:pPr>
        <w:pStyle w:val="ListParagraphSummary"/>
        <w:tabs>
          <w:tab w:val="left" w:pos="8931"/>
        </w:tabs>
      </w:pPr>
      <w:r w:rsidRPr="00225D10">
        <w:t>i</w:t>
      </w:r>
      <w:r w:rsidR="00B079AE" w:rsidRPr="00225D10">
        <w:t>n Macedon Ranges, 43</w:t>
      </w:r>
      <w:r w:rsidR="00997C90">
        <w:t xml:space="preserve"> per cent</w:t>
      </w:r>
      <w:r w:rsidR="00997C90" w:rsidRPr="00225D10">
        <w:t xml:space="preserve"> </w:t>
      </w:r>
      <w:r w:rsidR="00B079AE" w:rsidRPr="00225D10">
        <w:t xml:space="preserve">of journeys to work in 2006 were to </w:t>
      </w:r>
      <w:r w:rsidRPr="00225D10">
        <w:t xml:space="preserve">areas </w:t>
      </w:r>
      <w:r w:rsidR="00B079AE" w:rsidRPr="00225D10">
        <w:t xml:space="preserve">in </w:t>
      </w:r>
      <w:r w:rsidRPr="00225D10">
        <w:t xml:space="preserve">metropolitan </w:t>
      </w:r>
      <w:r w:rsidR="00B079AE" w:rsidRPr="00225D10">
        <w:t>Melbourne</w:t>
      </w:r>
    </w:p>
    <w:p w:rsidR="00B079AE" w:rsidRPr="00225D10" w:rsidRDefault="00B079AE" w:rsidP="00D34F87">
      <w:pPr>
        <w:pStyle w:val="ListParagraphSummary"/>
        <w:tabs>
          <w:tab w:val="left" w:pos="8931"/>
        </w:tabs>
      </w:pPr>
      <w:r w:rsidRPr="00225D10">
        <w:t xml:space="preserve">Mount Alexander and Loddon </w:t>
      </w:r>
      <w:r w:rsidR="000A0044" w:rsidRPr="00225D10">
        <w:t xml:space="preserve">are </w:t>
      </w:r>
      <w:r w:rsidRPr="00225D10">
        <w:t xml:space="preserve">similar journeys to work pattern towards </w:t>
      </w:r>
      <w:r w:rsidR="005E3071">
        <w:t xml:space="preserve">Greater </w:t>
      </w:r>
      <w:r w:rsidRPr="00225D10">
        <w:t>Bendigo – In 2006, 13</w:t>
      </w:r>
      <w:r w:rsidR="00997C90">
        <w:t xml:space="preserve"> per cent</w:t>
      </w:r>
      <w:r w:rsidR="00997C90" w:rsidRPr="00225D10">
        <w:t xml:space="preserve"> </w:t>
      </w:r>
      <w:r w:rsidRPr="00225D10">
        <w:t>and 12</w:t>
      </w:r>
      <w:r w:rsidR="00997C90">
        <w:t xml:space="preserve"> per cent</w:t>
      </w:r>
      <w:r w:rsidR="00997C90" w:rsidRPr="00225D10">
        <w:t xml:space="preserve"> </w:t>
      </w:r>
      <w:r w:rsidRPr="00225D10">
        <w:t xml:space="preserve">of journeys to work from the </w:t>
      </w:r>
      <w:r w:rsidR="005E3071">
        <w:t xml:space="preserve">local government areas </w:t>
      </w:r>
      <w:r w:rsidRPr="00225D10">
        <w:t xml:space="preserve">were to </w:t>
      </w:r>
      <w:r w:rsidR="005E3071">
        <w:t xml:space="preserve">Greater </w:t>
      </w:r>
      <w:r w:rsidRPr="00225D10">
        <w:t>Bendigo.</w:t>
      </w:r>
    </w:p>
    <w:p w:rsidR="002C1145" w:rsidRDefault="00B079AE" w:rsidP="003753D6">
      <w:pPr>
        <w:pStyle w:val="bt"/>
        <w:sectPr w:rsidR="002C1145" w:rsidSect="00A6052F">
          <w:pgSz w:w="11907" w:h="16839" w:code="9"/>
          <w:pgMar w:top="425" w:right="708" w:bottom="993" w:left="1077" w:header="709" w:footer="709" w:gutter="0"/>
          <w:cols w:space="720"/>
          <w:docGrid w:linePitch="360"/>
        </w:sectPr>
      </w:pPr>
      <w:r w:rsidRPr="00225D10">
        <w:t xml:space="preserve">The journey to work patterns </w:t>
      </w:r>
      <w:r w:rsidR="00FD4B3B" w:rsidRPr="00225D10">
        <w:t>of local government areas within</w:t>
      </w:r>
      <w:r w:rsidR="002F2904">
        <w:t xml:space="preserve"> the</w:t>
      </w:r>
      <w:r w:rsidR="00FD4B3B" w:rsidRPr="00225D10">
        <w:t xml:space="preserve"> </w:t>
      </w:r>
      <w:r w:rsidRPr="00225D10">
        <w:t>Loddon Mallee South</w:t>
      </w:r>
      <w:r w:rsidR="002F2904">
        <w:t xml:space="preserve"> region,</w:t>
      </w:r>
      <w:r w:rsidRPr="00225D10">
        <w:t xml:space="preserve"> </w:t>
      </w:r>
      <w:r w:rsidR="00FD4B3B" w:rsidRPr="00225D10">
        <w:t xml:space="preserve">highlight the advantages </w:t>
      </w:r>
      <w:r w:rsidR="00BC7985" w:rsidRPr="00225D10">
        <w:t xml:space="preserve">of </w:t>
      </w:r>
      <w:r w:rsidRPr="00225D10">
        <w:t>the region’s geographic location in the middle of the state.</w:t>
      </w:r>
      <w:r w:rsidR="00FD4B3B" w:rsidRPr="00225D10">
        <w:t xml:space="preserve"> </w:t>
      </w:r>
      <w:r w:rsidRPr="00225D10">
        <w:t xml:space="preserve">This data indicates three broad functional economic areas within the region. A sub-region organised around the regional city of </w:t>
      </w:r>
      <w:r w:rsidR="005E3071">
        <w:t xml:space="preserve">Greater </w:t>
      </w:r>
      <w:r w:rsidRPr="00225D10">
        <w:t>Bendigo, Macedon Ranges drawn toward Melbourne, and Central Goldfields relatively contained (with similar marginal interactions with Bendigo and Ballarat).</w:t>
      </w:r>
      <w:r w:rsidR="003753D6">
        <w:t xml:space="preserve"> </w:t>
      </w:r>
      <w:r w:rsidR="00680EEE">
        <w:fldChar w:fldCharType="begin"/>
      </w:r>
      <w:r w:rsidR="00680EEE">
        <w:instrText xml:space="preserve"> REF _Ref352259430 \h  \* MERGEFORMAT </w:instrText>
      </w:r>
      <w:r w:rsidR="00680EEE">
        <w:fldChar w:fldCharType="separate"/>
      </w:r>
      <w:r w:rsidR="00EF1401" w:rsidRPr="00225D10">
        <w:t>Figure</w:t>
      </w:r>
      <w:r w:rsidR="00EF1401" w:rsidRPr="00225D10">
        <w:rPr>
          <w:noProof/>
        </w:rPr>
        <w:t xml:space="preserve"> </w:t>
      </w:r>
      <w:r w:rsidR="00EF1401">
        <w:rPr>
          <w:noProof/>
        </w:rPr>
        <w:t>36</w:t>
      </w:r>
      <w:r w:rsidR="00680EEE">
        <w:fldChar w:fldCharType="end"/>
      </w:r>
      <w:r w:rsidR="004543FF">
        <w:t xml:space="preserve"> </w:t>
      </w:r>
      <w:r w:rsidR="00162CA6" w:rsidRPr="00225D10">
        <w:t>and</w:t>
      </w:r>
      <w:r w:rsidR="000307F3" w:rsidRPr="00225D10">
        <w:t xml:space="preserve"> </w:t>
      </w:r>
      <w:r w:rsidR="00162534">
        <w:fldChar w:fldCharType="begin"/>
      </w:r>
      <w:r w:rsidR="003753D6">
        <w:instrText xml:space="preserve"> REF _Ref374699692 \h </w:instrText>
      </w:r>
      <w:r w:rsidR="00162534">
        <w:fldChar w:fldCharType="separate"/>
      </w:r>
      <w:r w:rsidR="00EF1401" w:rsidRPr="0037462C">
        <w:t xml:space="preserve">Figure </w:t>
      </w:r>
      <w:r w:rsidR="00EF1401">
        <w:rPr>
          <w:noProof/>
        </w:rPr>
        <w:t>37</w:t>
      </w:r>
      <w:r w:rsidR="00162534">
        <w:fldChar w:fldCharType="end"/>
      </w:r>
      <w:r w:rsidR="00162CA6" w:rsidRPr="00225D10">
        <w:t xml:space="preserve"> </w:t>
      </w:r>
      <w:r w:rsidRPr="00225D10">
        <w:t>show the public transport routes and services</w:t>
      </w:r>
      <w:r w:rsidR="00162CA6" w:rsidRPr="00225D10">
        <w:t xml:space="preserve">, and transport network </w:t>
      </w:r>
      <w:r w:rsidRPr="00225D10">
        <w:t xml:space="preserve">within the </w:t>
      </w:r>
      <w:r w:rsidR="00BC7985" w:rsidRPr="00225D10">
        <w:t xml:space="preserve">Loddon Mallee South </w:t>
      </w:r>
      <w:r w:rsidRPr="00225D10">
        <w:t>region.</w:t>
      </w:r>
    </w:p>
    <w:p w:rsidR="00FF0DF0" w:rsidRDefault="00C73CC6" w:rsidP="00D34F87">
      <w:pPr>
        <w:pStyle w:val="Caption"/>
        <w:tabs>
          <w:tab w:val="left" w:pos="8931"/>
        </w:tabs>
        <w:spacing w:before="0"/>
      </w:pPr>
      <w:bookmarkStart w:id="195" w:name="_Ref352259430"/>
      <w:r>
        <w:rPr>
          <w:noProof/>
        </w:rPr>
        <w:lastRenderedPageBreak/>
        <w:drawing>
          <wp:anchor distT="0" distB="0" distL="114300" distR="114300" simplePos="0" relativeHeight="251677696" behindDoc="0" locked="0" layoutInCell="1" allowOverlap="1">
            <wp:simplePos x="0" y="0"/>
            <wp:positionH relativeFrom="column">
              <wp:posOffset>23495</wp:posOffset>
            </wp:positionH>
            <wp:positionV relativeFrom="paragraph">
              <wp:posOffset>390525</wp:posOffset>
            </wp:positionV>
            <wp:extent cx="7823835" cy="5207000"/>
            <wp:effectExtent l="19050" t="0" r="5715" b="0"/>
            <wp:wrapTopAndBottom/>
            <wp:docPr id="11" name="Picture 3" descr="Map showing Loddon Mallee South public transport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email"/>
                    <a:srcRect/>
                    <a:stretch>
                      <a:fillRect/>
                    </a:stretch>
                  </pic:blipFill>
                  <pic:spPr bwMode="auto">
                    <a:xfrm>
                      <a:off x="0" y="0"/>
                      <a:ext cx="7823835" cy="5207000"/>
                    </a:xfrm>
                    <a:prstGeom prst="rect">
                      <a:avLst/>
                    </a:prstGeom>
                    <a:noFill/>
                    <a:ln w="9525">
                      <a:noFill/>
                      <a:miter lim="800000"/>
                      <a:headEnd/>
                      <a:tailEnd/>
                    </a:ln>
                  </pic:spPr>
                </pic:pic>
              </a:graphicData>
            </a:graphic>
          </wp:anchor>
        </w:drawing>
      </w:r>
      <w:bookmarkStart w:id="196" w:name="_Toc374530831"/>
      <w:r w:rsidR="00565611" w:rsidRPr="00225D10">
        <w:t xml:space="preserve">Figure </w:t>
      </w:r>
      <w:r w:rsidR="00162534">
        <w:fldChar w:fldCharType="begin"/>
      </w:r>
      <w:r w:rsidR="00154847">
        <w:instrText xml:space="preserve"> SEQ Figure \* ARABIC </w:instrText>
      </w:r>
      <w:r w:rsidR="00162534">
        <w:fldChar w:fldCharType="separate"/>
      </w:r>
      <w:r w:rsidR="00EF1401">
        <w:rPr>
          <w:noProof/>
        </w:rPr>
        <w:t>36</w:t>
      </w:r>
      <w:r w:rsidR="00162534">
        <w:fldChar w:fldCharType="end"/>
      </w:r>
      <w:bookmarkEnd w:id="195"/>
      <w:r w:rsidR="00377F5C">
        <w:t xml:space="preserve">: </w:t>
      </w:r>
      <w:r w:rsidR="00565611" w:rsidRPr="00225D10">
        <w:t>Loddon Mallee South public transport routes</w:t>
      </w:r>
      <w:bookmarkEnd w:id="196"/>
    </w:p>
    <w:p w:rsidR="002C1145" w:rsidRDefault="00932D62" w:rsidP="002C1145">
      <w:pPr>
        <w:pStyle w:val="Source"/>
        <w:tabs>
          <w:tab w:val="left" w:pos="8931"/>
        </w:tabs>
        <w:rPr>
          <w:i w:val="0"/>
        </w:rPr>
      </w:pPr>
      <w:r>
        <w:t>Source: Public Transport Victoria</w:t>
      </w:r>
      <w:bookmarkStart w:id="197" w:name="_Ref352165979"/>
      <w:bookmarkStart w:id="198" w:name="_Ref359412167"/>
      <w:bookmarkStart w:id="199" w:name="_Toc352171562"/>
      <w:r w:rsidR="002C1145">
        <w:br w:type="page"/>
      </w:r>
    </w:p>
    <w:p w:rsidR="004A1FF9" w:rsidRDefault="002C1145">
      <w:pPr>
        <w:pStyle w:val="Caption"/>
      </w:pPr>
      <w:bookmarkStart w:id="200" w:name="_Ref374699692"/>
      <w:r>
        <w:rPr>
          <w:noProof/>
        </w:rPr>
        <w:lastRenderedPageBreak/>
        <w:drawing>
          <wp:anchor distT="0" distB="0" distL="114300" distR="114300" simplePos="0" relativeHeight="251678720" behindDoc="0" locked="0" layoutInCell="1" allowOverlap="1">
            <wp:simplePos x="0" y="0"/>
            <wp:positionH relativeFrom="column">
              <wp:posOffset>-52070</wp:posOffset>
            </wp:positionH>
            <wp:positionV relativeFrom="paragraph">
              <wp:posOffset>324485</wp:posOffset>
            </wp:positionV>
            <wp:extent cx="7593965" cy="5270500"/>
            <wp:effectExtent l="19050" t="0" r="6985" b="0"/>
            <wp:wrapTopAndBottom/>
            <wp:docPr id="4" name="Picture 4" descr="Map showing Central Victoria’s transpor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stretch>
                      <a:fillRect/>
                    </a:stretch>
                  </pic:blipFill>
                  <pic:spPr bwMode="auto">
                    <a:xfrm>
                      <a:off x="0" y="0"/>
                      <a:ext cx="7593965" cy="5270500"/>
                    </a:xfrm>
                    <a:prstGeom prst="rect">
                      <a:avLst/>
                    </a:prstGeom>
                    <a:noFill/>
                    <a:ln w="9525">
                      <a:noFill/>
                      <a:miter lim="800000"/>
                      <a:headEnd/>
                      <a:tailEnd/>
                    </a:ln>
                  </pic:spPr>
                </pic:pic>
              </a:graphicData>
            </a:graphic>
          </wp:anchor>
        </w:drawing>
      </w:r>
      <w:bookmarkStart w:id="201" w:name="_Toc374530832"/>
      <w:r w:rsidR="00982178" w:rsidRPr="0037462C">
        <w:t xml:space="preserve">Figure </w:t>
      </w:r>
      <w:r w:rsidR="00680EEE">
        <w:fldChar w:fldCharType="begin"/>
      </w:r>
      <w:r w:rsidR="00680EEE">
        <w:instrText xml:space="preserve"> SEQ Figure \* ARABIC </w:instrText>
      </w:r>
      <w:r w:rsidR="00680EEE">
        <w:fldChar w:fldCharType="separate"/>
      </w:r>
      <w:r w:rsidR="00EF1401">
        <w:rPr>
          <w:noProof/>
        </w:rPr>
        <w:t>37</w:t>
      </w:r>
      <w:r w:rsidR="00680EEE">
        <w:rPr>
          <w:noProof/>
        </w:rPr>
        <w:fldChar w:fldCharType="end"/>
      </w:r>
      <w:bookmarkEnd w:id="197"/>
      <w:bookmarkEnd w:id="198"/>
      <w:bookmarkEnd w:id="200"/>
      <w:r w:rsidR="00377F5C">
        <w:t xml:space="preserve">: </w:t>
      </w:r>
      <w:r>
        <w:t>Central Victoria’s t</w:t>
      </w:r>
      <w:r w:rsidR="00982178" w:rsidRPr="0037462C">
        <w:t xml:space="preserve">ransport </w:t>
      </w:r>
      <w:r>
        <w:t>n</w:t>
      </w:r>
      <w:r w:rsidR="00982178" w:rsidRPr="0037462C">
        <w:t>etwork</w:t>
      </w:r>
      <w:bookmarkEnd w:id="199"/>
      <w:bookmarkEnd w:id="201"/>
    </w:p>
    <w:p w:rsidR="002C1145" w:rsidRDefault="00932D62" w:rsidP="00D34F87">
      <w:pPr>
        <w:pStyle w:val="Source"/>
        <w:tabs>
          <w:tab w:val="left" w:pos="8931"/>
        </w:tabs>
        <w:sectPr w:rsidR="002C1145" w:rsidSect="002C1145">
          <w:pgSz w:w="16839" w:h="11907" w:orient="landscape" w:code="9"/>
          <w:pgMar w:top="1077" w:right="425" w:bottom="993" w:left="993" w:header="709" w:footer="709" w:gutter="0"/>
          <w:cols w:space="720"/>
          <w:docGrid w:linePitch="360"/>
        </w:sectPr>
      </w:pPr>
      <w:r>
        <w:t xml:space="preserve">Source: Department of Transport, Planning and </w:t>
      </w:r>
      <w:r w:rsidR="008574D0">
        <w:t>Local Infrastructure</w:t>
      </w:r>
    </w:p>
    <w:p w:rsidR="00B079AE" w:rsidRPr="00225D10" w:rsidRDefault="00B079AE" w:rsidP="00D34F87">
      <w:pPr>
        <w:pStyle w:val="bt"/>
        <w:tabs>
          <w:tab w:val="left" w:pos="8931"/>
        </w:tabs>
      </w:pPr>
      <w:r w:rsidRPr="00225D10">
        <w:lastRenderedPageBreak/>
        <w:t>There are a number of other transport considerations that should be noted:</w:t>
      </w:r>
    </w:p>
    <w:p w:rsidR="00B079AE" w:rsidRPr="00225D10" w:rsidRDefault="00B079AE" w:rsidP="00D34F87">
      <w:pPr>
        <w:pStyle w:val="Heading4"/>
        <w:tabs>
          <w:tab w:val="left" w:pos="8931"/>
        </w:tabs>
      </w:pPr>
      <w:r w:rsidRPr="00225D10">
        <w:t>Local roads</w:t>
      </w:r>
    </w:p>
    <w:p w:rsidR="00B079AE" w:rsidRPr="00225D10" w:rsidRDefault="00B079AE" w:rsidP="00D34F87">
      <w:pPr>
        <w:pStyle w:val="bt"/>
        <w:tabs>
          <w:tab w:val="left" w:pos="8931"/>
        </w:tabs>
      </w:pPr>
      <w:r w:rsidRPr="00225D10">
        <w:t xml:space="preserve">Local roads in the </w:t>
      </w:r>
      <w:r w:rsidR="00955DC8" w:rsidRPr="00225D10">
        <w:t xml:space="preserve">Loddon Mallee South </w:t>
      </w:r>
      <w:r w:rsidRPr="00225D10">
        <w:t>region are part of the regional transport network</w:t>
      </w:r>
      <w:r w:rsidR="000E08E3" w:rsidRPr="00225D10">
        <w:t xml:space="preserve">, </w:t>
      </w:r>
      <w:r w:rsidRPr="00225D10">
        <w:t>provid</w:t>
      </w:r>
      <w:r w:rsidR="000E08E3" w:rsidRPr="00225D10">
        <w:t xml:space="preserve">ing </w:t>
      </w:r>
      <w:r w:rsidRPr="00225D10">
        <w:t>connectivity within and between settlements. Often they are used by freight vehicles in order to reach the arterial road network.</w:t>
      </w:r>
    </w:p>
    <w:p w:rsidR="00B079AE" w:rsidRPr="00225D10" w:rsidRDefault="00B079AE" w:rsidP="00D34F87">
      <w:pPr>
        <w:pStyle w:val="Heading4"/>
        <w:tabs>
          <w:tab w:val="left" w:pos="8931"/>
        </w:tabs>
      </w:pPr>
      <w:r w:rsidRPr="00225D10">
        <w:t>Airports</w:t>
      </w:r>
    </w:p>
    <w:p w:rsidR="00B079AE" w:rsidRPr="00225D10" w:rsidRDefault="00B079AE" w:rsidP="00D34F87">
      <w:pPr>
        <w:pStyle w:val="bt"/>
        <w:tabs>
          <w:tab w:val="left" w:pos="8931"/>
        </w:tabs>
      </w:pPr>
      <w:r w:rsidRPr="00225D10">
        <w:t>Due to Bendigo’s close proximity to Melbourne, passenger and freight movement mainly occur</w:t>
      </w:r>
      <w:r w:rsidR="000E08E3" w:rsidRPr="00225D10">
        <w:t>s</w:t>
      </w:r>
      <w:r w:rsidRPr="00225D10">
        <w:t xml:space="preserve"> on the road and rail network. Bendigo </w:t>
      </w:r>
      <w:r w:rsidR="00DA1C4A" w:rsidRPr="00225D10">
        <w:t xml:space="preserve">Airport is </w:t>
      </w:r>
      <w:r w:rsidRPr="00225D10">
        <w:t>a central location for air ambulance and other medical air services and also caters for some freight</w:t>
      </w:r>
      <w:r w:rsidR="00DA1C4A" w:rsidRPr="00225D10">
        <w:t xml:space="preserve"> movement</w:t>
      </w:r>
      <w:r w:rsidRPr="00225D10">
        <w:t xml:space="preserve">. </w:t>
      </w:r>
      <w:r w:rsidR="000E08E3" w:rsidRPr="00225D10">
        <w:t xml:space="preserve">The </w:t>
      </w:r>
      <w:r w:rsidRPr="00225D10">
        <w:t xml:space="preserve">City of Greater Bendigo is investigating a centre of aviation excellence and </w:t>
      </w:r>
      <w:proofErr w:type="gramStart"/>
      <w:r w:rsidR="00DA1C4A" w:rsidRPr="00225D10">
        <w:t>b</w:t>
      </w:r>
      <w:r w:rsidRPr="00225D10">
        <w:t xml:space="preserve">usiness </w:t>
      </w:r>
      <w:r w:rsidR="00DA1C4A" w:rsidRPr="00225D10">
        <w:t>p</w:t>
      </w:r>
      <w:r w:rsidRPr="00225D10">
        <w:t>ark</w:t>
      </w:r>
      <w:proofErr w:type="gramEnd"/>
      <w:r w:rsidRPr="00225D10">
        <w:t xml:space="preserve"> in the vicinity of the airport. It is also anticipated that improvements to the existing runway will provide for increased freight usage and potential passenger services in the future.</w:t>
      </w:r>
    </w:p>
    <w:p w:rsidR="00E8192C" w:rsidRPr="00225D10" w:rsidRDefault="00267D13" w:rsidP="00655244">
      <w:pPr>
        <w:pStyle w:val="Heading3"/>
      </w:pPr>
      <w:bookmarkStart w:id="202" w:name="_Toc371951930"/>
      <w:bookmarkStart w:id="203" w:name="_Toc372889310"/>
      <w:bookmarkStart w:id="204" w:name="_Toc374530888"/>
      <w:r w:rsidRPr="00225D10">
        <w:t>Guiding future transport opportunities</w:t>
      </w:r>
      <w:bookmarkEnd w:id="202"/>
      <w:bookmarkEnd w:id="203"/>
      <w:bookmarkEnd w:id="204"/>
    </w:p>
    <w:p w:rsidR="00B079AE" w:rsidRPr="00225D10" w:rsidRDefault="00B079AE" w:rsidP="00D34F87">
      <w:pPr>
        <w:pStyle w:val="bt"/>
        <w:tabs>
          <w:tab w:val="left" w:pos="8931"/>
        </w:tabs>
      </w:pPr>
      <w:r w:rsidRPr="00225D10">
        <w:t>There are differing needs for freight and people movement</w:t>
      </w:r>
      <w:r w:rsidR="00DA1C4A" w:rsidRPr="00225D10">
        <w:t xml:space="preserve">, and </w:t>
      </w:r>
      <w:r w:rsidRPr="00225D10">
        <w:t xml:space="preserve">future </w:t>
      </w:r>
      <w:r w:rsidR="00DA1C4A" w:rsidRPr="00225D10">
        <w:t xml:space="preserve">planning of </w:t>
      </w:r>
      <w:r w:rsidRPr="00225D10">
        <w:t xml:space="preserve">the transport network </w:t>
      </w:r>
      <w:r w:rsidR="00DA1C4A" w:rsidRPr="00225D10">
        <w:t xml:space="preserve">in the Loddon Mallee South region </w:t>
      </w:r>
      <w:r w:rsidRPr="00225D10">
        <w:t>need</w:t>
      </w:r>
      <w:r w:rsidR="00DA1C4A" w:rsidRPr="00225D10">
        <w:t>s</w:t>
      </w:r>
      <w:r w:rsidRPr="00225D10">
        <w:t xml:space="preserve"> to be considered in this light. It will be important to build on existing infrastructure to ensure access and connectivity. </w:t>
      </w:r>
      <w:r w:rsidR="00120256" w:rsidRPr="00225D10">
        <w:t>F</w:t>
      </w:r>
      <w:r w:rsidRPr="00225D10">
        <w:t xml:space="preserve">uture directions </w:t>
      </w:r>
      <w:r w:rsidR="00120256" w:rsidRPr="00225D10">
        <w:t xml:space="preserve">for transport </w:t>
      </w:r>
      <w:r w:rsidRPr="00225D10">
        <w:t xml:space="preserve">form part of the </w:t>
      </w:r>
      <w:r w:rsidR="002F2904">
        <w:t>r</w:t>
      </w:r>
      <w:r w:rsidRPr="00225D10">
        <w:t xml:space="preserve">egional </w:t>
      </w:r>
      <w:r w:rsidR="002F2904">
        <w:t>g</w:t>
      </w:r>
      <w:r w:rsidR="002F2904" w:rsidRPr="00225D10">
        <w:t xml:space="preserve">rowth </w:t>
      </w:r>
      <w:r w:rsidR="002F2904">
        <w:t>p</w:t>
      </w:r>
      <w:r w:rsidR="002F2904" w:rsidRPr="00225D10">
        <w:t>lan</w:t>
      </w:r>
      <w:r w:rsidRPr="00225D10">
        <w:t xml:space="preserve">. </w:t>
      </w:r>
      <w:r w:rsidR="00120256" w:rsidRPr="00225D10">
        <w:t xml:space="preserve">Some of the issues that inform these </w:t>
      </w:r>
      <w:r w:rsidRPr="00225D10">
        <w:t xml:space="preserve">future directions are </w:t>
      </w:r>
      <w:r w:rsidR="00120256" w:rsidRPr="00225D10">
        <w:t>outlined</w:t>
      </w:r>
      <w:r w:rsidRPr="00225D10">
        <w:t xml:space="preserve"> </w:t>
      </w:r>
      <w:r w:rsidR="00932D62">
        <w:t>in the following sections</w:t>
      </w:r>
      <w:r w:rsidRPr="00225D10">
        <w:t>.</w:t>
      </w:r>
    </w:p>
    <w:p w:rsidR="00B079AE" w:rsidRPr="00225D10" w:rsidRDefault="009710F6" w:rsidP="00D34F87">
      <w:pPr>
        <w:pStyle w:val="Heading4"/>
        <w:tabs>
          <w:tab w:val="left" w:pos="8931"/>
        </w:tabs>
      </w:pPr>
      <w:r w:rsidRPr="00225D10">
        <w:t xml:space="preserve">People </w:t>
      </w:r>
      <w:r w:rsidR="006E2775" w:rsidRPr="00225D10">
        <w:t>m</w:t>
      </w:r>
      <w:r w:rsidRPr="00225D10">
        <w:t>ovement</w:t>
      </w:r>
    </w:p>
    <w:p w:rsidR="00B079AE" w:rsidRPr="00225D10" w:rsidRDefault="00B079AE" w:rsidP="004A1FF9">
      <w:pPr>
        <w:pStyle w:val="Heading5"/>
      </w:pPr>
      <w:r w:rsidRPr="00225D10">
        <w:t>Network capacity</w:t>
      </w:r>
    </w:p>
    <w:p w:rsidR="00B079AE" w:rsidRPr="00225D10" w:rsidRDefault="008F61CA" w:rsidP="00D34F87">
      <w:pPr>
        <w:pStyle w:val="bt"/>
        <w:tabs>
          <w:tab w:val="left" w:pos="8931"/>
        </w:tabs>
      </w:pPr>
      <w:r w:rsidRPr="00225D10">
        <w:t>An objective in growing urban centres, such as Bendigo is to encourage public transport, walking and cycling as an alternative to the car. Settlement planning that incorporates public transport accessibility, cycling and walking is preferred. Settlement planning that encourages higher urban densities support a viable and efficient public transport system.</w:t>
      </w:r>
      <w:r w:rsidR="00120256" w:rsidRPr="00225D10">
        <w:t xml:space="preserve"> </w:t>
      </w:r>
      <w:r w:rsidR="00B079AE" w:rsidRPr="00225D10">
        <w:t xml:space="preserve">There are </w:t>
      </w:r>
      <w:r w:rsidR="00120256" w:rsidRPr="00225D10">
        <w:t xml:space="preserve">also </w:t>
      </w:r>
      <w:r w:rsidR="00B079AE" w:rsidRPr="00225D10">
        <w:t xml:space="preserve">a number of demand management measures that </w:t>
      </w:r>
      <w:r w:rsidR="00120256" w:rsidRPr="00225D10">
        <w:t xml:space="preserve">could </w:t>
      </w:r>
      <w:r w:rsidR="00B079AE" w:rsidRPr="00225D10">
        <w:t xml:space="preserve">contribute to improved liveability in towns and centres including park </w:t>
      </w:r>
      <w:r w:rsidR="00CE2E84">
        <w:t>and</w:t>
      </w:r>
      <w:r w:rsidR="00CE2E84" w:rsidRPr="00225D10">
        <w:t xml:space="preserve"> </w:t>
      </w:r>
      <w:r w:rsidR="00B079AE" w:rsidRPr="00225D10">
        <w:t>ride facilities, parking restrictions, bus lanes and shared zones.</w:t>
      </w:r>
    </w:p>
    <w:p w:rsidR="00B079AE" w:rsidRPr="00225D10" w:rsidRDefault="00B079AE" w:rsidP="004A1FF9">
      <w:pPr>
        <w:pStyle w:val="Heading5"/>
      </w:pPr>
      <w:r w:rsidRPr="00225D10">
        <w:t>Access and connectivity</w:t>
      </w:r>
    </w:p>
    <w:p w:rsidR="00B079AE" w:rsidRPr="00225D10" w:rsidRDefault="00B079AE" w:rsidP="00D34F87">
      <w:pPr>
        <w:pStyle w:val="bt"/>
        <w:tabs>
          <w:tab w:val="left" w:pos="8931"/>
        </w:tabs>
      </w:pPr>
      <w:r w:rsidRPr="00225D10">
        <w:t>The region’s transport network provides for accessible inter</w:t>
      </w:r>
      <w:r w:rsidR="00120256" w:rsidRPr="00225D10">
        <w:t>-</w:t>
      </w:r>
      <w:r w:rsidRPr="00225D10">
        <w:t>regional and cross</w:t>
      </w:r>
      <w:r w:rsidR="00120256" w:rsidRPr="00225D10">
        <w:t>-</w:t>
      </w:r>
      <w:r w:rsidRPr="00225D10">
        <w:t xml:space="preserve">regional travel. These connections will be crucial into the future as they will provide access to employment and a range of services and facilities such as health and education for those in </w:t>
      </w:r>
      <w:r w:rsidR="002F2904">
        <w:t xml:space="preserve">the </w:t>
      </w:r>
      <w:r w:rsidRPr="00225D10">
        <w:t>Loddon Mallee South</w:t>
      </w:r>
      <w:r w:rsidR="002F2904">
        <w:t xml:space="preserve"> region</w:t>
      </w:r>
      <w:r w:rsidRPr="00225D10">
        <w:t xml:space="preserve"> and adjoining regions.  </w:t>
      </w:r>
    </w:p>
    <w:p w:rsidR="00B079AE" w:rsidRPr="00225D10" w:rsidRDefault="00B079AE" w:rsidP="00D34F87">
      <w:pPr>
        <w:pStyle w:val="bt"/>
        <w:tabs>
          <w:tab w:val="left" w:pos="8931"/>
        </w:tabs>
      </w:pPr>
      <w:r w:rsidRPr="00225D10">
        <w:t>The region has a number of smaller</w:t>
      </w:r>
      <w:r w:rsidR="00120256" w:rsidRPr="00225D10">
        <w:t xml:space="preserve">, dispersed </w:t>
      </w:r>
      <w:r w:rsidRPr="00225D10">
        <w:t xml:space="preserve">communities. </w:t>
      </w:r>
      <w:r w:rsidR="008F61CA" w:rsidRPr="00225D10">
        <w:t>Maintaining access to services from smaller population centres is a challenge the region will need to address into the future. Options include consideration of flexible transport and mobile services that come into small communities so that accessibility is maintained.</w:t>
      </w:r>
    </w:p>
    <w:p w:rsidR="00B079AE" w:rsidRPr="00225D10" w:rsidRDefault="00B079AE" w:rsidP="00D34F87">
      <w:pPr>
        <w:pStyle w:val="bt"/>
        <w:tabs>
          <w:tab w:val="left" w:pos="8931"/>
        </w:tabs>
      </w:pPr>
      <w:r w:rsidRPr="00225D10">
        <w:t>Some smaller towns are not earmarked to receive major growth</w:t>
      </w:r>
      <w:r w:rsidR="00120256" w:rsidRPr="00225D10">
        <w:t>. F</w:t>
      </w:r>
      <w:r w:rsidRPr="00225D10">
        <w:t>rom a regional perspective</w:t>
      </w:r>
      <w:r w:rsidR="00120256" w:rsidRPr="00225D10">
        <w:t>,</w:t>
      </w:r>
      <w:r w:rsidRPr="00225D10">
        <w:t xml:space="preserve"> some may even decline into the future. With this in mind it will be important for transport links to keep pace with growth and changing demographics.</w:t>
      </w:r>
    </w:p>
    <w:p w:rsidR="00B079AE" w:rsidRPr="00225D10" w:rsidRDefault="00B079AE" w:rsidP="004A1FF9">
      <w:pPr>
        <w:pStyle w:val="Heading5"/>
      </w:pPr>
      <w:r w:rsidRPr="00225D10">
        <w:t xml:space="preserve">A reliable </w:t>
      </w:r>
      <w:r w:rsidR="00120256" w:rsidRPr="00225D10">
        <w:t xml:space="preserve">and </w:t>
      </w:r>
      <w:r w:rsidRPr="00225D10">
        <w:t>resilient network</w:t>
      </w:r>
    </w:p>
    <w:p w:rsidR="004A1FF9" w:rsidRDefault="00B079AE" w:rsidP="00D34F87">
      <w:pPr>
        <w:pStyle w:val="bt"/>
        <w:tabs>
          <w:tab w:val="left" w:pos="8931"/>
        </w:tabs>
      </w:pPr>
      <w:r w:rsidRPr="00225D10">
        <w:t xml:space="preserve">Economic development scenarios </w:t>
      </w:r>
      <w:r w:rsidR="001B2771" w:rsidRPr="00225D10">
        <w:t xml:space="preserve">will be important to ensure a vibrant regional economy, particularly those that focus on </w:t>
      </w:r>
      <w:r w:rsidRPr="00225D10">
        <w:t xml:space="preserve">ease of access </w:t>
      </w:r>
      <w:r w:rsidR="001B2771" w:rsidRPr="00225D10">
        <w:t xml:space="preserve">for the </w:t>
      </w:r>
      <w:r w:rsidRPr="00225D10">
        <w:t xml:space="preserve">tourism </w:t>
      </w:r>
      <w:r w:rsidR="001B2771" w:rsidRPr="00225D10">
        <w:t>sector</w:t>
      </w:r>
      <w:r w:rsidR="004A1FF9">
        <w:t>,</w:t>
      </w:r>
      <w:r w:rsidR="001B2771" w:rsidRPr="00225D10">
        <w:t xml:space="preserve"> such as improving the </w:t>
      </w:r>
      <w:r w:rsidRPr="00225D10">
        <w:t>region</w:t>
      </w:r>
      <w:r w:rsidR="001B2771" w:rsidRPr="00225D10">
        <w:t>’</w:t>
      </w:r>
      <w:r w:rsidRPr="00225D10">
        <w:t xml:space="preserve">s cycling network. In order to achieve this, the transport network </w:t>
      </w:r>
      <w:r w:rsidR="001B2771" w:rsidRPr="00225D10">
        <w:t xml:space="preserve">will need </w:t>
      </w:r>
      <w:r w:rsidRPr="00225D10">
        <w:t xml:space="preserve">to offer reliability to both passenger and freight vehicles and withstand disasters and emergencies such as </w:t>
      </w:r>
      <w:r w:rsidR="00893C2B">
        <w:t>bushfire</w:t>
      </w:r>
      <w:r w:rsidRPr="00225D10">
        <w:t xml:space="preserve">. </w:t>
      </w:r>
      <w:r w:rsidR="001B2771" w:rsidRPr="00225D10">
        <w:t>Reliable a</w:t>
      </w:r>
      <w:r w:rsidRPr="00225D10">
        <w:t>ccess to Bendigo</w:t>
      </w:r>
      <w:r w:rsidR="001B2771" w:rsidRPr="00225D10">
        <w:t xml:space="preserve"> will </w:t>
      </w:r>
      <w:r w:rsidRPr="00225D10">
        <w:t>continu</w:t>
      </w:r>
      <w:r w:rsidR="001B2771" w:rsidRPr="00225D10">
        <w:t xml:space="preserve">e to be crucial due to its </w:t>
      </w:r>
      <w:r w:rsidRPr="00225D10">
        <w:t>higher order services and facilities such as medical services</w:t>
      </w:r>
      <w:r w:rsidR="001B2771" w:rsidRPr="00225D10">
        <w:t>.</w:t>
      </w:r>
    </w:p>
    <w:p w:rsidR="004A1FF9" w:rsidRDefault="004A1FF9">
      <w:pPr>
        <w:spacing w:before="0"/>
        <w:rPr>
          <w:rFonts w:ascii="Calibri" w:hAnsi="Calibri"/>
          <w:szCs w:val="24"/>
        </w:rPr>
      </w:pPr>
      <w:r>
        <w:br w:type="page"/>
      </w:r>
    </w:p>
    <w:p w:rsidR="00B079AE" w:rsidRPr="00225D10" w:rsidRDefault="00B079AE" w:rsidP="004A1FF9">
      <w:pPr>
        <w:pStyle w:val="Heading5"/>
      </w:pPr>
      <w:r w:rsidRPr="00225D10">
        <w:lastRenderedPageBreak/>
        <w:t>Technological advancements</w:t>
      </w:r>
    </w:p>
    <w:p w:rsidR="00B079AE" w:rsidRPr="00225D10" w:rsidRDefault="001B2771" w:rsidP="00D34F87">
      <w:pPr>
        <w:pStyle w:val="bt"/>
        <w:tabs>
          <w:tab w:val="left" w:pos="8931"/>
        </w:tabs>
      </w:pPr>
      <w:r w:rsidRPr="00225D10">
        <w:t xml:space="preserve">Future </w:t>
      </w:r>
      <w:r w:rsidR="00CE2E84">
        <w:t xml:space="preserve">information and communication technology </w:t>
      </w:r>
      <w:r w:rsidR="00B079AE" w:rsidRPr="00225D10">
        <w:t>improve</w:t>
      </w:r>
      <w:r w:rsidRPr="00225D10">
        <w:t>ments,</w:t>
      </w:r>
      <w:r w:rsidR="00B079AE" w:rsidRPr="00225D10">
        <w:t xml:space="preserve"> </w:t>
      </w:r>
      <w:r w:rsidRPr="00225D10">
        <w:t xml:space="preserve">such as </w:t>
      </w:r>
      <w:r w:rsidR="00B079AE" w:rsidRPr="00225D10">
        <w:t>the N</w:t>
      </w:r>
      <w:r w:rsidR="00CE2E84">
        <w:t xml:space="preserve">ational </w:t>
      </w:r>
      <w:r w:rsidR="00B079AE" w:rsidRPr="00225D10">
        <w:t>B</w:t>
      </w:r>
      <w:r w:rsidR="00CE2E84">
        <w:t xml:space="preserve">roadband </w:t>
      </w:r>
      <w:r w:rsidR="00B079AE" w:rsidRPr="00225D10">
        <w:t>N</w:t>
      </w:r>
      <w:r w:rsidR="00CE2E84">
        <w:t xml:space="preserve">etwork </w:t>
      </w:r>
      <w:r w:rsidRPr="00225D10">
        <w:t>roll</w:t>
      </w:r>
      <w:r w:rsidR="00E812B8" w:rsidRPr="00225D10">
        <w:t xml:space="preserve">out, </w:t>
      </w:r>
      <w:r w:rsidR="00B079AE" w:rsidRPr="00225D10">
        <w:t xml:space="preserve">will provide access to faster and more reliable internet connections. The health and education sectors are leading the way </w:t>
      </w:r>
      <w:r w:rsidR="00A41AAE" w:rsidRPr="00225D10">
        <w:t xml:space="preserve">in terms of </w:t>
      </w:r>
      <w:r w:rsidR="00B079AE" w:rsidRPr="00225D10">
        <w:t xml:space="preserve">people </w:t>
      </w:r>
      <w:r w:rsidR="00A41AAE" w:rsidRPr="00225D10">
        <w:t xml:space="preserve">being able to </w:t>
      </w:r>
      <w:r w:rsidR="00B079AE" w:rsidRPr="00225D10">
        <w:t>access services and facilities</w:t>
      </w:r>
      <w:r w:rsidR="00A41AAE" w:rsidRPr="00225D10">
        <w:t xml:space="preserve"> remotely, rather</w:t>
      </w:r>
      <w:r w:rsidR="00C73CC6">
        <w:t xml:space="preserve"> than </w:t>
      </w:r>
      <w:r w:rsidR="00A41AAE" w:rsidRPr="00225D10">
        <w:t xml:space="preserve">in </w:t>
      </w:r>
      <w:r w:rsidR="00B079AE" w:rsidRPr="00225D10">
        <w:t xml:space="preserve">a fixed location. Online </w:t>
      </w:r>
      <w:r w:rsidR="00A41AAE" w:rsidRPr="00225D10">
        <w:t xml:space="preserve">training </w:t>
      </w:r>
      <w:r w:rsidR="00B079AE" w:rsidRPr="00225D10">
        <w:t xml:space="preserve">courses and rehabilitation </w:t>
      </w:r>
      <w:r w:rsidR="00A41AAE" w:rsidRPr="00225D10">
        <w:t xml:space="preserve">via remote monitoring service </w:t>
      </w:r>
      <w:r w:rsidR="00B079AE" w:rsidRPr="00225D10">
        <w:t xml:space="preserve">are </w:t>
      </w:r>
      <w:r w:rsidR="00A41AAE" w:rsidRPr="00225D10">
        <w:t xml:space="preserve">two </w:t>
      </w:r>
      <w:r w:rsidR="00B079AE" w:rsidRPr="00225D10">
        <w:t>examples. As the population ages (a population familiar with the technology)</w:t>
      </w:r>
      <w:r w:rsidR="00A41AAE" w:rsidRPr="00225D10">
        <w:t>,</w:t>
      </w:r>
      <w:r w:rsidR="00B079AE" w:rsidRPr="00225D10">
        <w:t xml:space="preserve"> distance service provision will be critical particularly in rural and remote areas. </w:t>
      </w:r>
      <w:r w:rsidR="00A41AAE" w:rsidRPr="00225D10">
        <w:t xml:space="preserve">With improved </w:t>
      </w:r>
      <w:r w:rsidR="00B27065">
        <w:t>information and communication technology</w:t>
      </w:r>
      <w:r w:rsidR="00B079AE" w:rsidRPr="00225D10">
        <w:t xml:space="preserve"> </w:t>
      </w:r>
      <w:r w:rsidR="00A41AAE" w:rsidRPr="00225D10">
        <w:t xml:space="preserve">services people </w:t>
      </w:r>
      <w:r w:rsidR="00B079AE" w:rsidRPr="00225D10">
        <w:t xml:space="preserve">may not need or want to travel long distances </w:t>
      </w:r>
      <w:r w:rsidR="00A41AAE" w:rsidRPr="00225D10">
        <w:t xml:space="preserve">as </w:t>
      </w:r>
      <w:r w:rsidR="00B079AE" w:rsidRPr="00225D10">
        <w:t xml:space="preserve">frequently. </w:t>
      </w:r>
      <w:r w:rsidR="00A41AAE" w:rsidRPr="00225D10">
        <w:t xml:space="preserve">The </w:t>
      </w:r>
      <w:r w:rsidR="00B27065">
        <w:t>National Broadband Network</w:t>
      </w:r>
      <w:r w:rsidR="00B27065" w:rsidRPr="00225D10">
        <w:t xml:space="preserve"> </w:t>
      </w:r>
      <w:r w:rsidR="00B079AE" w:rsidRPr="00225D10">
        <w:t xml:space="preserve">may </w:t>
      </w:r>
      <w:r w:rsidR="00A41AAE" w:rsidRPr="00225D10">
        <w:t xml:space="preserve">offer </w:t>
      </w:r>
      <w:r w:rsidR="00B079AE" w:rsidRPr="00225D10">
        <w:t xml:space="preserve">a </w:t>
      </w:r>
      <w:r w:rsidR="00A41AAE" w:rsidRPr="00225D10">
        <w:t>‘</w:t>
      </w:r>
      <w:r w:rsidR="00B079AE" w:rsidRPr="00225D10">
        <w:t>mix and match</w:t>
      </w:r>
      <w:r w:rsidR="00A41AAE" w:rsidRPr="00225D10">
        <w:t>’</w:t>
      </w:r>
      <w:r w:rsidR="00B079AE" w:rsidRPr="00225D10">
        <w:t xml:space="preserve"> communication </w:t>
      </w:r>
      <w:r w:rsidR="00F031C7" w:rsidRPr="00225D10">
        <w:t>style</w:t>
      </w:r>
      <w:r w:rsidR="00F031C7">
        <w:t>, for</w:t>
      </w:r>
      <w:r w:rsidR="00EF2A49">
        <w:t xml:space="preserve"> example,</w:t>
      </w:r>
      <w:r w:rsidR="00B079AE" w:rsidRPr="00225D10">
        <w:t xml:space="preserve"> </w:t>
      </w:r>
      <w:r w:rsidR="00A41AAE" w:rsidRPr="00225D10">
        <w:t xml:space="preserve">physical </w:t>
      </w:r>
      <w:r w:rsidR="00B079AE" w:rsidRPr="00225D10">
        <w:t xml:space="preserve">train journeys </w:t>
      </w:r>
      <w:r w:rsidR="00A41AAE" w:rsidRPr="00225D10">
        <w:t xml:space="preserve">for some purposes </w:t>
      </w:r>
      <w:r w:rsidR="00B079AE" w:rsidRPr="00225D10">
        <w:t>and internet access for other</w:t>
      </w:r>
      <w:r w:rsidR="00A41AAE" w:rsidRPr="00225D10">
        <w:t>s</w:t>
      </w:r>
      <w:r w:rsidR="00B079AE" w:rsidRPr="00225D10">
        <w:t>.</w:t>
      </w:r>
    </w:p>
    <w:p w:rsidR="00B079AE" w:rsidRPr="00225D10" w:rsidRDefault="00B079AE" w:rsidP="004A1FF9">
      <w:pPr>
        <w:pStyle w:val="Heading5"/>
      </w:pPr>
      <w:r w:rsidRPr="00225D10">
        <w:t>Amenity and useability</w:t>
      </w:r>
    </w:p>
    <w:p w:rsidR="000E68C0" w:rsidRDefault="00B079AE" w:rsidP="00D34F87">
      <w:pPr>
        <w:pStyle w:val="bt"/>
        <w:tabs>
          <w:tab w:val="left" w:pos="8931"/>
        </w:tabs>
      </w:pPr>
      <w:r w:rsidRPr="00225D10">
        <w:t xml:space="preserve">The </w:t>
      </w:r>
      <w:r w:rsidR="00B27065">
        <w:t>region’s</w:t>
      </w:r>
      <w:r w:rsidRPr="00225D10">
        <w:t xml:space="preserve"> transport network is used by a variety of people for both business and pleasure. Ensuring the network is </w:t>
      </w:r>
      <w:r w:rsidR="00A41AAE" w:rsidRPr="00225D10">
        <w:t xml:space="preserve">well </w:t>
      </w:r>
      <w:r w:rsidRPr="00225D10">
        <w:t xml:space="preserve">maintained </w:t>
      </w:r>
      <w:r w:rsidR="00A41AAE" w:rsidRPr="00225D10">
        <w:t xml:space="preserve">into the future </w:t>
      </w:r>
      <w:r w:rsidRPr="00225D10">
        <w:t>will be important. There is a need to consider facilities such as rest areas</w:t>
      </w:r>
      <w:r w:rsidR="00A41AAE" w:rsidRPr="00225D10">
        <w:t xml:space="preserve"> for </w:t>
      </w:r>
      <w:r w:rsidRPr="00225D10">
        <w:t xml:space="preserve">tourists </w:t>
      </w:r>
      <w:r w:rsidR="00A41AAE" w:rsidRPr="00225D10">
        <w:t>and commuters</w:t>
      </w:r>
      <w:r w:rsidRPr="00225D10">
        <w:t>. This will be necessary to support a more diverse economy and make best use of tourism products and opportunities.</w:t>
      </w:r>
    </w:p>
    <w:p w:rsidR="00B079AE" w:rsidRPr="00225D10" w:rsidRDefault="00B079AE" w:rsidP="00D34F87">
      <w:pPr>
        <w:pStyle w:val="Heading4"/>
        <w:tabs>
          <w:tab w:val="left" w:pos="8931"/>
        </w:tabs>
      </w:pPr>
      <w:r w:rsidRPr="00225D10">
        <w:t>F</w:t>
      </w:r>
      <w:r w:rsidR="006E2775" w:rsidRPr="00225D10">
        <w:t xml:space="preserve">reight movement </w:t>
      </w:r>
    </w:p>
    <w:p w:rsidR="00B079AE" w:rsidRPr="00225D10" w:rsidRDefault="00B079AE" w:rsidP="004A1FF9">
      <w:pPr>
        <w:pStyle w:val="Heading5"/>
      </w:pPr>
      <w:r w:rsidRPr="00225D10">
        <w:t>Freight gateways and hubs</w:t>
      </w:r>
    </w:p>
    <w:p w:rsidR="00B079AE" w:rsidRPr="00225D10" w:rsidRDefault="008F61CA" w:rsidP="00D34F87">
      <w:pPr>
        <w:pStyle w:val="bt"/>
        <w:tabs>
          <w:tab w:val="left" w:pos="8931"/>
        </w:tabs>
      </w:pPr>
      <w:r w:rsidRPr="00225D10">
        <w:t xml:space="preserve">There is a preference to use higher productivity vehicles in moving goods around the nation. The use of higher productivity vehicles will increase throughout Victoria over </w:t>
      </w:r>
      <w:r w:rsidR="004543FF" w:rsidRPr="00225D10">
        <w:t>time. These</w:t>
      </w:r>
      <w:r w:rsidR="00B079AE" w:rsidRPr="00225D10">
        <w:t xml:space="preserve"> vehicles may consist of Higher Mass Limit vehicles and Higher Productivity Freight Vehicles. Roads will need to be maintained to a </w:t>
      </w:r>
      <w:r w:rsidR="00095013" w:rsidRPr="00225D10">
        <w:t xml:space="preserve">high </w:t>
      </w:r>
      <w:r w:rsidR="00B079AE" w:rsidRPr="00225D10">
        <w:t>standard to enable an increasing freight road task. At this stage</w:t>
      </w:r>
      <w:r w:rsidR="00CB7E63" w:rsidRPr="00225D10">
        <w:t>,</w:t>
      </w:r>
      <w:r w:rsidR="00B079AE" w:rsidRPr="00225D10">
        <w:t xml:space="preserve"> some of these longer and heavier vehicles need to be dismantled into smaller freight trucks to drive into Melbourne. There is an opportunity in </w:t>
      </w:r>
      <w:r w:rsidR="00095013" w:rsidRPr="00225D10">
        <w:t xml:space="preserve">the </w:t>
      </w:r>
      <w:r w:rsidR="00B079AE" w:rsidRPr="00225D10">
        <w:t>Loddon Mallee South</w:t>
      </w:r>
      <w:r w:rsidR="00095013" w:rsidRPr="00225D10">
        <w:t xml:space="preserve"> </w:t>
      </w:r>
      <w:r w:rsidR="00F031C7" w:rsidRPr="00225D10">
        <w:t>region</w:t>
      </w:r>
      <w:r w:rsidR="00F031C7">
        <w:t>, for</w:t>
      </w:r>
      <w:r w:rsidR="00EF2A49">
        <w:t xml:space="preserve"> example</w:t>
      </w:r>
      <w:r w:rsidR="006C58C9" w:rsidRPr="00225D10">
        <w:t xml:space="preserve"> at </w:t>
      </w:r>
      <w:r w:rsidR="00B079AE" w:rsidRPr="00225D10">
        <w:t>Marong</w:t>
      </w:r>
      <w:r w:rsidR="004A1FF9">
        <w:t xml:space="preserve"> or</w:t>
      </w:r>
      <w:r w:rsidR="00B079AE" w:rsidRPr="00225D10">
        <w:t xml:space="preserve"> Maryborough</w:t>
      </w:r>
      <w:r w:rsidR="00B27065">
        <w:t>,</w:t>
      </w:r>
      <w:r w:rsidR="00B079AE" w:rsidRPr="00225D10">
        <w:t xml:space="preserve"> to provide a truck gateway facility, </w:t>
      </w:r>
      <w:r w:rsidR="006C58C9" w:rsidRPr="00225D10">
        <w:t xml:space="preserve">with </w:t>
      </w:r>
      <w:r w:rsidR="00B079AE" w:rsidRPr="00225D10">
        <w:t>truck rest stop, de-coupling</w:t>
      </w:r>
      <w:r w:rsidR="006C58C9" w:rsidRPr="00225D10">
        <w:t xml:space="preserve"> and</w:t>
      </w:r>
      <w:r w:rsidR="00B079AE" w:rsidRPr="00225D10">
        <w:t xml:space="preserve"> maintenance </w:t>
      </w:r>
      <w:r w:rsidR="006C58C9" w:rsidRPr="00225D10">
        <w:t>services</w:t>
      </w:r>
      <w:r w:rsidR="00B079AE" w:rsidRPr="00225D10">
        <w:t xml:space="preserve">. </w:t>
      </w:r>
    </w:p>
    <w:p w:rsidR="00B079AE" w:rsidRPr="00225D10" w:rsidRDefault="00B079AE" w:rsidP="004A1FF9">
      <w:pPr>
        <w:pStyle w:val="Heading5"/>
      </w:pPr>
      <w:r w:rsidRPr="00225D10">
        <w:t>Network capacity</w:t>
      </w:r>
    </w:p>
    <w:p w:rsidR="00B079AE" w:rsidRPr="00225D10" w:rsidRDefault="008F61CA" w:rsidP="00D34F87">
      <w:pPr>
        <w:pStyle w:val="bt"/>
        <w:tabs>
          <w:tab w:val="left" w:pos="8931"/>
        </w:tabs>
      </w:pPr>
      <w:r w:rsidRPr="00225D10">
        <w:t xml:space="preserve">The Calder corridor is an important </w:t>
      </w:r>
      <w:r w:rsidR="004A1FF9">
        <w:t xml:space="preserve">link in the </w:t>
      </w:r>
      <w:r w:rsidRPr="00225D10">
        <w:t xml:space="preserve">freight network. Maintaining the efficiency of this freight network and planning for possible infrastructure enhancements into the future, through appropriate land use protection is needed. </w:t>
      </w:r>
      <w:r w:rsidR="006C58C9" w:rsidRPr="00225D10">
        <w:t xml:space="preserve">While the Calder </w:t>
      </w:r>
      <w:r w:rsidR="00B079AE" w:rsidRPr="00225D10">
        <w:t>corridor is criti</w:t>
      </w:r>
      <w:r w:rsidR="00CB7E63" w:rsidRPr="00225D10">
        <w:t>cal for north</w:t>
      </w:r>
      <w:r w:rsidR="006C1DB5">
        <w:t>-</w:t>
      </w:r>
      <w:r w:rsidR="00CB7E63" w:rsidRPr="00225D10">
        <w:t xml:space="preserve">south </w:t>
      </w:r>
      <w:r w:rsidR="00572E19" w:rsidRPr="00225D10">
        <w:t xml:space="preserve">freight </w:t>
      </w:r>
      <w:r w:rsidR="006C58C9" w:rsidRPr="00225D10">
        <w:t>travel</w:t>
      </w:r>
      <w:r w:rsidR="00CB7E63" w:rsidRPr="00225D10">
        <w:t>,</w:t>
      </w:r>
      <w:r w:rsidR="00B079AE" w:rsidRPr="00225D10">
        <w:t xml:space="preserve"> </w:t>
      </w:r>
      <w:r w:rsidR="00CB7E63" w:rsidRPr="00225D10">
        <w:t>t</w:t>
      </w:r>
      <w:r w:rsidR="00B079AE" w:rsidRPr="00225D10">
        <w:t>he</w:t>
      </w:r>
      <w:r w:rsidR="00572E19" w:rsidRPr="00225D10">
        <w:t xml:space="preserve"> region lacks an equivalent </w:t>
      </w:r>
      <w:r w:rsidR="00B079AE" w:rsidRPr="00225D10">
        <w:t>east</w:t>
      </w:r>
      <w:r w:rsidR="008C5456">
        <w:t>-</w:t>
      </w:r>
      <w:r w:rsidR="00B079AE" w:rsidRPr="00225D10">
        <w:t xml:space="preserve">west link. </w:t>
      </w:r>
      <w:r w:rsidR="00572E19" w:rsidRPr="00225D10">
        <w:t>Opportunities exist to improve the</w:t>
      </w:r>
      <w:r w:rsidR="00B079AE" w:rsidRPr="00225D10">
        <w:t xml:space="preserve"> key east</w:t>
      </w:r>
      <w:r w:rsidR="008C5456">
        <w:t>-</w:t>
      </w:r>
      <w:r w:rsidR="00B079AE" w:rsidRPr="00225D10">
        <w:t xml:space="preserve">west link along the Midland Highway </w:t>
      </w:r>
      <w:r w:rsidR="00572E19" w:rsidRPr="00225D10">
        <w:t xml:space="preserve">so that it could carry an </w:t>
      </w:r>
      <w:r w:rsidR="00B079AE" w:rsidRPr="00225D10">
        <w:t xml:space="preserve">increased freight </w:t>
      </w:r>
      <w:r w:rsidR="00572E19" w:rsidRPr="00225D10">
        <w:t>load</w:t>
      </w:r>
      <w:r w:rsidR="00B079AE" w:rsidRPr="00225D10">
        <w:t xml:space="preserve">. </w:t>
      </w:r>
      <w:r w:rsidR="00572E19" w:rsidRPr="00225D10">
        <w:t xml:space="preserve">There is a need </w:t>
      </w:r>
      <w:r w:rsidR="00B079AE" w:rsidRPr="00225D10">
        <w:t>to build on existing work to prioritise strategic freight routes in the region.</w:t>
      </w:r>
    </w:p>
    <w:p w:rsidR="00B079AE" w:rsidRPr="00225D10" w:rsidRDefault="00B079AE" w:rsidP="00D34F87">
      <w:pPr>
        <w:pStyle w:val="bt"/>
        <w:tabs>
          <w:tab w:val="left" w:pos="8931"/>
        </w:tabs>
      </w:pPr>
      <w:r w:rsidRPr="00225D10">
        <w:t>The Calder corridor provide</w:t>
      </w:r>
      <w:r w:rsidR="00C3169A" w:rsidRPr="00225D10">
        <w:t>s</w:t>
      </w:r>
      <w:r w:rsidRPr="00225D10">
        <w:t xml:space="preserve"> opportunities to exploit its location </w:t>
      </w:r>
      <w:r w:rsidR="00C3169A" w:rsidRPr="00225D10">
        <w:t xml:space="preserve">and </w:t>
      </w:r>
      <w:r w:rsidRPr="00225D10">
        <w:t>increase employment opportunities. For example</w:t>
      </w:r>
      <w:r w:rsidR="00C3169A" w:rsidRPr="00225D10">
        <w:t>,</w:t>
      </w:r>
      <w:r w:rsidRPr="00225D10">
        <w:t xml:space="preserve"> the City </w:t>
      </w:r>
      <w:r w:rsidR="00CB7E63" w:rsidRPr="00225D10">
        <w:t>o</w:t>
      </w:r>
      <w:r w:rsidRPr="00225D10">
        <w:t xml:space="preserve">f Greater Bendigo is investigating Marong as a potential </w:t>
      </w:r>
      <w:r w:rsidR="00C3169A" w:rsidRPr="00225D10">
        <w:t>i</w:t>
      </w:r>
      <w:r w:rsidRPr="00225D10">
        <w:t xml:space="preserve">ndustrial </w:t>
      </w:r>
      <w:r w:rsidR="00C3169A" w:rsidRPr="00225D10">
        <w:t>p</w:t>
      </w:r>
      <w:r w:rsidRPr="00225D10">
        <w:t>recinct. Marong</w:t>
      </w:r>
      <w:r w:rsidR="00C3169A" w:rsidRPr="00225D10">
        <w:t xml:space="preserve">’s location </w:t>
      </w:r>
      <w:r w:rsidRPr="00225D10">
        <w:t xml:space="preserve">on the Calder Highway </w:t>
      </w:r>
      <w:r w:rsidR="006C3B26" w:rsidRPr="00225D10">
        <w:t xml:space="preserve">means it could </w:t>
      </w:r>
      <w:r w:rsidRPr="00225D10">
        <w:t xml:space="preserve">act as a gateway to </w:t>
      </w:r>
      <w:r w:rsidR="006C3B26" w:rsidRPr="00225D10">
        <w:t>region</w:t>
      </w:r>
      <w:r w:rsidR="00B27065">
        <w:t>,</w:t>
      </w:r>
      <w:r w:rsidR="006C3B26" w:rsidRPr="00225D10">
        <w:t xml:space="preserve"> </w:t>
      </w:r>
      <w:r w:rsidRPr="00225D10">
        <w:t>mak</w:t>
      </w:r>
      <w:r w:rsidR="006C3B26" w:rsidRPr="00225D10">
        <w:t xml:space="preserve">ing </w:t>
      </w:r>
      <w:r w:rsidRPr="00225D10">
        <w:t>use of existing infrastructure</w:t>
      </w:r>
      <w:r w:rsidR="006C3B26" w:rsidRPr="00225D10">
        <w:t xml:space="preserve"> and</w:t>
      </w:r>
      <w:r w:rsidRPr="00225D10">
        <w:t xml:space="preserve"> creating economic opportunities for the region.</w:t>
      </w:r>
    </w:p>
    <w:p w:rsidR="00B079AE" w:rsidRPr="00225D10" w:rsidRDefault="00B079AE" w:rsidP="004A1FF9">
      <w:pPr>
        <w:pStyle w:val="Heading5"/>
      </w:pPr>
      <w:r w:rsidRPr="00225D10">
        <w:t xml:space="preserve">Connectivity for freight </w:t>
      </w:r>
    </w:p>
    <w:p w:rsidR="00B079AE" w:rsidRPr="00225D10" w:rsidRDefault="00B079AE" w:rsidP="00D34F87">
      <w:pPr>
        <w:pStyle w:val="bt"/>
        <w:tabs>
          <w:tab w:val="left" w:pos="8931"/>
        </w:tabs>
      </w:pPr>
      <w:r w:rsidRPr="00225D10">
        <w:t>Ensuring freight access for current commodities</w:t>
      </w:r>
      <w:r w:rsidR="00B27065">
        <w:t xml:space="preserve">, </w:t>
      </w:r>
      <w:r w:rsidRPr="00225D10">
        <w:t>such as agricultural produce</w:t>
      </w:r>
      <w:r w:rsidR="00B27065">
        <w:t>,</w:t>
      </w:r>
      <w:r w:rsidR="00F8497C" w:rsidRPr="00225D10">
        <w:t xml:space="preserve"> will be important </w:t>
      </w:r>
      <w:r w:rsidR="002260EA" w:rsidRPr="00225D10">
        <w:t>in</w:t>
      </w:r>
      <w:r w:rsidR="008C5456">
        <w:t>to</w:t>
      </w:r>
      <w:r w:rsidR="002260EA" w:rsidRPr="00225D10">
        <w:t xml:space="preserve"> the future, along with </w:t>
      </w:r>
      <w:r w:rsidR="00F8497C" w:rsidRPr="00225D10">
        <w:t xml:space="preserve">looking for </w:t>
      </w:r>
      <w:r w:rsidRPr="00225D10">
        <w:t xml:space="preserve">new opportunities where freight access will be </w:t>
      </w:r>
      <w:r w:rsidR="00F8497C" w:rsidRPr="00225D10">
        <w:t xml:space="preserve">needed. </w:t>
      </w:r>
      <w:r w:rsidRPr="00225D10">
        <w:t>The creation of a network of logistics precincts with various facilities</w:t>
      </w:r>
      <w:r w:rsidR="00B27065">
        <w:t>, for example</w:t>
      </w:r>
      <w:r w:rsidR="002260EA" w:rsidRPr="00225D10">
        <w:t xml:space="preserve"> </w:t>
      </w:r>
      <w:r w:rsidRPr="00225D10">
        <w:t>intermodal terminals</w:t>
      </w:r>
      <w:r w:rsidR="00B27065">
        <w:t>,</w:t>
      </w:r>
      <w:r w:rsidRPr="00225D10">
        <w:t xml:space="preserve"> </w:t>
      </w:r>
      <w:r w:rsidR="002260EA" w:rsidRPr="00225D10">
        <w:t xml:space="preserve">will </w:t>
      </w:r>
      <w:r w:rsidRPr="00225D10">
        <w:t xml:space="preserve">create opportunities for the distribution of freight within the region, </w:t>
      </w:r>
      <w:r w:rsidR="002260EA" w:rsidRPr="00225D10">
        <w:t xml:space="preserve">to </w:t>
      </w:r>
      <w:r w:rsidRPr="00225D10">
        <w:t xml:space="preserve">other regions and potentially interstate. Examples of </w:t>
      </w:r>
      <w:r w:rsidR="00CB7E63" w:rsidRPr="00225D10">
        <w:t>potential</w:t>
      </w:r>
      <w:r w:rsidRPr="00225D10">
        <w:t xml:space="preserve"> location</w:t>
      </w:r>
      <w:r w:rsidR="00CB7E63" w:rsidRPr="00225D10">
        <w:t>s</w:t>
      </w:r>
      <w:r w:rsidRPr="00225D10">
        <w:t xml:space="preserve"> may include Marong and Maryborough</w:t>
      </w:r>
      <w:r w:rsidR="00CB7E63" w:rsidRPr="00225D10">
        <w:t>.</w:t>
      </w:r>
    </w:p>
    <w:p w:rsidR="00B079AE" w:rsidRPr="00225D10" w:rsidRDefault="00B079AE" w:rsidP="004A1FF9">
      <w:pPr>
        <w:pStyle w:val="Heading5"/>
      </w:pPr>
      <w:r w:rsidRPr="00225D10">
        <w:t>A reliable and resilient network</w:t>
      </w:r>
    </w:p>
    <w:p w:rsidR="00B079AE" w:rsidRPr="00225D10" w:rsidRDefault="00B079AE" w:rsidP="00D34F87">
      <w:pPr>
        <w:pStyle w:val="bt"/>
        <w:tabs>
          <w:tab w:val="left" w:pos="8931"/>
        </w:tabs>
      </w:pPr>
      <w:r w:rsidRPr="00225D10">
        <w:t>The Loddon Mallee South region has a number of rural areas with business related activities such as those related to horticulture and milk production that require freight access</w:t>
      </w:r>
      <w:r w:rsidR="00E9724A" w:rsidRPr="00225D10">
        <w:t xml:space="preserve"> via</w:t>
      </w:r>
      <w:r w:rsidRPr="00225D10">
        <w:t xml:space="preserve"> the local road network. </w:t>
      </w:r>
      <w:r w:rsidR="00E9724A" w:rsidRPr="00225D10">
        <w:t>I</w:t>
      </w:r>
      <w:r w:rsidRPr="00225D10">
        <w:t xml:space="preserve">n many circumstances local roads are used by heavy trucks to collect and distribute commodities. This puts a strain on the maintenance of local roads. </w:t>
      </w:r>
      <w:r w:rsidR="00E9724A" w:rsidRPr="00225D10">
        <w:t xml:space="preserve">Into </w:t>
      </w:r>
      <w:r w:rsidRPr="00225D10">
        <w:t>the future</w:t>
      </w:r>
      <w:r w:rsidR="00E9724A" w:rsidRPr="00225D10">
        <w:t>,</w:t>
      </w:r>
      <w:r w:rsidRPr="00225D10">
        <w:t xml:space="preserve"> with the advent of larger</w:t>
      </w:r>
      <w:r w:rsidR="008C5456">
        <w:t xml:space="preserve"> and </w:t>
      </w:r>
      <w:r w:rsidRPr="00225D10">
        <w:t>potentially heavier trucks and the consolidation of farming practices</w:t>
      </w:r>
      <w:r w:rsidR="00E9724A" w:rsidRPr="00225D10">
        <w:t>,</w:t>
      </w:r>
      <w:r w:rsidRPr="00225D10">
        <w:t xml:space="preserve"> local road designations may need to be reviewed to allow for continued freight access.  </w:t>
      </w:r>
    </w:p>
    <w:p w:rsidR="007A36F2" w:rsidRPr="00663F7F" w:rsidRDefault="00DE56B4" w:rsidP="00D34F87">
      <w:pPr>
        <w:pStyle w:val="Heading2"/>
        <w:tabs>
          <w:tab w:val="left" w:pos="8931"/>
        </w:tabs>
        <w:rPr>
          <w:rFonts w:cs="Arial"/>
        </w:rPr>
      </w:pPr>
      <w:bookmarkStart w:id="205" w:name="_Toc374530889"/>
      <w:r w:rsidRPr="00663F7F">
        <w:rPr>
          <w:rFonts w:cs="Arial"/>
        </w:rPr>
        <w:lastRenderedPageBreak/>
        <w:t xml:space="preserve">Urban </w:t>
      </w:r>
      <w:r w:rsidR="006E2775" w:rsidRPr="00663F7F">
        <w:rPr>
          <w:rFonts w:cs="Arial"/>
        </w:rPr>
        <w:t>w</w:t>
      </w:r>
      <w:r w:rsidR="007A36F2" w:rsidRPr="00663F7F">
        <w:rPr>
          <w:rFonts w:cs="Arial"/>
        </w:rPr>
        <w:t xml:space="preserve">ater </w:t>
      </w:r>
      <w:r w:rsidR="006E2775" w:rsidRPr="00663F7F">
        <w:rPr>
          <w:rFonts w:cs="Arial"/>
        </w:rPr>
        <w:t>s</w:t>
      </w:r>
      <w:r w:rsidR="007A36F2" w:rsidRPr="00663F7F">
        <w:rPr>
          <w:rFonts w:cs="Arial"/>
        </w:rPr>
        <w:t>upply</w:t>
      </w:r>
      <w:bookmarkEnd w:id="205"/>
    </w:p>
    <w:p w:rsidR="00DE56B4" w:rsidRPr="00225D10" w:rsidRDefault="00DE56B4" w:rsidP="00D34F87">
      <w:pPr>
        <w:pStyle w:val="bt"/>
        <w:tabs>
          <w:tab w:val="left" w:pos="8931"/>
        </w:tabs>
      </w:pPr>
      <w:r w:rsidRPr="00225D10">
        <w:t>Victoria has an integrated and adaptive planning framework, which ensures urban water customers and the broader community ha</w:t>
      </w:r>
      <w:r w:rsidR="008C5456">
        <w:t>ve</w:t>
      </w:r>
      <w:r w:rsidRPr="00225D10">
        <w:t xml:space="preserve"> secure supplies of high quality water. These supplies support drinking and non-drinking needs such as healthy recreational facilities, parks and gardens.</w:t>
      </w:r>
    </w:p>
    <w:p w:rsidR="00DE56B4" w:rsidRPr="00225D10" w:rsidRDefault="00DE56B4" w:rsidP="00D34F87">
      <w:pPr>
        <w:pStyle w:val="bt"/>
        <w:tabs>
          <w:tab w:val="left" w:pos="8931"/>
        </w:tabs>
      </w:pPr>
      <w:r w:rsidRPr="00225D10">
        <w:t xml:space="preserve">The </w:t>
      </w:r>
      <w:r w:rsidR="008C5456">
        <w:t>State G</w:t>
      </w:r>
      <w:r w:rsidR="007C5534">
        <w:t>overnment</w:t>
      </w:r>
      <w:r w:rsidRPr="00225D10">
        <w:t xml:space="preserve">’s Living Victoria program was launched in April 2012 and has direct implications for water and urban planning across </w:t>
      </w:r>
      <w:r w:rsidR="002260EA" w:rsidRPr="00225D10">
        <w:t>the state</w:t>
      </w:r>
      <w:r w:rsidRPr="00225D10">
        <w:t xml:space="preserve">. Although </w:t>
      </w:r>
      <w:r w:rsidR="002260EA" w:rsidRPr="00225D10">
        <w:t xml:space="preserve">its </w:t>
      </w:r>
      <w:r w:rsidRPr="00225D10">
        <w:t xml:space="preserve">immediate focus is on metropolitan Melbourne, the overarching directions of Living Victoria are intended to apply more broadly across the </w:t>
      </w:r>
      <w:r w:rsidR="002260EA" w:rsidRPr="00225D10">
        <w:t>s</w:t>
      </w:r>
      <w:r w:rsidRPr="00225D10">
        <w:t>tate over time. As this occurs, the plans and strategies produced under this program will gradually supersede and replace existing strategies.</w:t>
      </w:r>
    </w:p>
    <w:p w:rsidR="00DE56B4" w:rsidRPr="00225D10" w:rsidRDefault="00DE56B4" w:rsidP="00D34F87">
      <w:pPr>
        <w:pStyle w:val="bt"/>
        <w:tabs>
          <w:tab w:val="left" w:pos="8931"/>
        </w:tabs>
      </w:pPr>
      <w:r w:rsidRPr="00225D10">
        <w:t>The Living Victoria program r</w:t>
      </w:r>
      <w:r w:rsidR="008C5456">
        <w:t>ecognises</w:t>
      </w:r>
      <w:r w:rsidRPr="00225D10">
        <w:t xml:space="preserve"> that:</w:t>
      </w:r>
    </w:p>
    <w:p w:rsidR="00DE56B4" w:rsidRPr="00225D10" w:rsidRDefault="00DE56B4" w:rsidP="00D34F87">
      <w:pPr>
        <w:pStyle w:val="ListParagraphSummary"/>
        <w:tabs>
          <w:tab w:val="left" w:pos="8931"/>
        </w:tabs>
      </w:pPr>
      <w:r w:rsidRPr="00225D10">
        <w:t>water needs to be better integrated into urban landscapes</w:t>
      </w:r>
    </w:p>
    <w:p w:rsidR="00DE56B4" w:rsidRPr="00225D10" w:rsidRDefault="00DE56B4" w:rsidP="00D34F87">
      <w:pPr>
        <w:pStyle w:val="ListParagraphSummary"/>
        <w:tabs>
          <w:tab w:val="left" w:pos="8931"/>
        </w:tabs>
      </w:pPr>
      <w:r w:rsidRPr="00225D10">
        <w:t>the community needs to be better engaged in water planning</w:t>
      </w:r>
    </w:p>
    <w:p w:rsidR="00DE56B4" w:rsidRPr="00225D10" w:rsidRDefault="00DE56B4" w:rsidP="00D34F87">
      <w:pPr>
        <w:pStyle w:val="ListParagraphSummary"/>
        <w:tabs>
          <w:tab w:val="left" w:pos="8931"/>
        </w:tabs>
      </w:pPr>
      <w:proofErr w:type="gramStart"/>
      <w:r w:rsidRPr="00225D10">
        <w:t>improved</w:t>
      </w:r>
      <w:proofErr w:type="gramEnd"/>
      <w:r w:rsidRPr="00225D10">
        <w:t xml:space="preserve"> evaluation frameworks</w:t>
      </w:r>
      <w:r w:rsidR="002260EA" w:rsidRPr="00225D10">
        <w:t>,</w:t>
      </w:r>
      <w:r w:rsidRPr="00225D10">
        <w:t xml:space="preserve"> capable of capturing a broader range of costs and benefits</w:t>
      </w:r>
      <w:r w:rsidR="002260EA" w:rsidRPr="00225D10">
        <w:t>,</w:t>
      </w:r>
      <w:r w:rsidRPr="00225D10">
        <w:t xml:space="preserve"> are needed to effectively assess the wide array of options for the provision of urban water services.</w:t>
      </w:r>
    </w:p>
    <w:p w:rsidR="00DE56B4" w:rsidRPr="00225D10" w:rsidRDefault="002260EA" w:rsidP="00D34F87">
      <w:pPr>
        <w:pStyle w:val="bt"/>
        <w:tabs>
          <w:tab w:val="left" w:pos="8931"/>
        </w:tabs>
      </w:pPr>
      <w:r w:rsidRPr="00225D10">
        <w:t xml:space="preserve">By </w:t>
      </w:r>
      <w:r w:rsidR="00DE56B4" w:rsidRPr="00225D10">
        <w:t xml:space="preserve">implementing the Living Victoria program, the Office of Living Victoria will develop and coordinate new integrated urban and water planning frameworks </w:t>
      </w:r>
      <w:r w:rsidR="00E93A2B" w:rsidRPr="00225D10">
        <w:t xml:space="preserve">as well as </w:t>
      </w:r>
      <w:r w:rsidR="00DE56B4" w:rsidRPr="00225D10">
        <w:t>develop tools which will apply across the state (</w:t>
      </w:r>
      <w:r w:rsidR="00932D62">
        <w:t>such as changes to the Victoria</w:t>
      </w:r>
      <w:r w:rsidR="00DE56B4" w:rsidRPr="00225D10">
        <w:t xml:space="preserve"> Planning Provisions).</w:t>
      </w:r>
    </w:p>
    <w:p w:rsidR="00DE56B4" w:rsidRPr="00225D10" w:rsidRDefault="00DE56B4" w:rsidP="00D34F87">
      <w:pPr>
        <w:pStyle w:val="bt"/>
        <w:tabs>
          <w:tab w:val="left" w:pos="8931"/>
        </w:tabs>
      </w:pPr>
      <w:r w:rsidRPr="00225D10">
        <w:t>At present, the key plans and strategies that guide urban water planning in regional Victoria are:</w:t>
      </w:r>
    </w:p>
    <w:p w:rsidR="00DE56B4" w:rsidRPr="00225D10" w:rsidRDefault="00E93A2B" w:rsidP="00D34F87">
      <w:pPr>
        <w:pStyle w:val="ListParagraphSummary"/>
        <w:tabs>
          <w:tab w:val="left" w:pos="8931"/>
        </w:tabs>
      </w:pPr>
      <w:r w:rsidRPr="00225D10">
        <w:t>w</w:t>
      </w:r>
      <w:r w:rsidR="00DE56B4" w:rsidRPr="00225D10">
        <w:t xml:space="preserve">ater supply demand strategies (which will be superseded by </w:t>
      </w:r>
      <w:r w:rsidR="00B27065">
        <w:t>i</w:t>
      </w:r>
      <w:r w:rsidR="00B27065" w:rsidRPr="00225D10">
        <w:t xml:space="preserve">ntegrated </w:t>
      </w:r>
      <w:r w:rsidR="00B27065">
        <w:t>w</w:t>
      </w:r>
      <w:r w:rsidR="00B27065" w:rsidRPr="00225D10">
        <w:t xml:space="preserve">ater </w:t>
      </w:r>
      <w:r w:rsidR="00B27065">
        <w:t>c</w:t>
      </w:r>
      <w:r w:rsidR="00B27065" w:rsidRPr="00225D10">
        <w:t xml:space="preserve">ycle </w:t>
      </w:r>
      <w:r w:rsidR="00B27065">
        <w:t>s</w:t>
      </w:r>
      <w:r w:rsidR="00B27065" w:rsidRPr="00225D10">
        <w:t>trategies</w:t>
      </w:r>
      <w:r w:rsidR="00DE56B4" w:rsidRPr="00225D10">
        <w:t xml:space="preserve">) </w:t>
      </w:r>
    </w:p>
    <w:p w:rsidR="00DE56B4" w:rsidRPr="00225D10" w:rsidRDefault="00E93A2B" w:rsidP="00D34F87">
      <w:pPr>
        <w:pStyle w:val="ListParagraphSummary"/>
        <w:tabs>
          <w:tab w:val="left" w:pos="8931"/>
        </w:tabs>
      </w:pPr>
      <w:r w:rsidRPr="00225D10">
        <w:t>r</w:t>
      </w:r>
      <w:r w:rsidR="00DE56B4" w:rsidRPr="00225D10">
        <w:t>egional sustainable water strategies</w:t>
      </w:r>
    </w:p>
    <w:p w:rsidR="00DE56B4" w:rsidRPr="00225D10" w:rsidRDefault="00E93A2B" w:rsidP="00D34F87">
      <w:pPr>
        <w:pStyle w:val="ListParagraphSummary"/>
        <w:tabs>
          <w:tab w:val="left" w:pos="8931"/>
        </w:tabs>
      </w:pPr>
      <w:proofErr w:type="gramStart"/>
      <w:r w:rsidRPr="00225D10">
        <w:t>d</w:t>
      </w:r>
      <w:r w:rsidR="00DE56B4" w:rsidRPr="00225D10">
        <w:t>rought</w:t>
      </w:r>
      <w:proofErr w:type="gramEnd"/>
      <w:r w:rsidR="00DE56B4" w:rsidRPr="00225D10">
        <w:t xml:space="preserve"> </w:t>
      </w:r>
      <w:r w:rsidRPr="00225D10">
        <w:t>r</w:t>
      </w:r>
      <w:r w:rsidR="00DE56B4" w:rsidRPr="00225D10">
        <w:t xml:space="preserve">esponse </w:t>
      </w:r>
      <w:r w:rsidRPr="00225D10">
        <w:t>p</w:t>
      </w:r>
      <w:r w:rsidR="00DE56B4" w:rsidRPr="00225D10">
        <w:t>lans.</w:t>
      </w:r>
    </w:p>
    <w:p w:rsidR="00DE56B4" w:rsidRPr="00225D10" w:rsidRDefault="00DE56B4" w:rsidP="00D34F87">
      <w:pPr>
        <w:pStyle w:val="Heading4"/>
        <w:tabs>
          <w:tab w:val="left" w:pos="8931"/>
        </w:tabs>
      </w:pPr>
      <w:r w:rsidRPr="00225D10">
        <w:t xml:space="preserve">Water </w:t>
      </w:r>
      <w:r w:rsidR="008A6DA8" w:rsidRPr="00225D10">
        <w:t>s</w:t>
      </w:r>
      <w:r w:rsidRPr="00225D10">
        <w:t xml:space="preserve">upply </w:t>
      </w:r>
      <w:r w:rsidR="008A6DA8" w:rsidRPr="00225D10">
        <w:t>d</w:t>
      </w:r>
      <w:r w:rsidRPr="00225D10">
        <w:t xml:space="preserve">emand </w:t>
      </w:r>
      <w:r w:rsidR="008A6DA8" w:rsidRPr="00225D10">
        <w:t>s</w:t>
      </w:r>
      <w:r w:rsidRPr="00225D10">
        <w:t>trategies</w:t>
      </w:r>
    </w:p>
    <w:p w:rsidR="00DE56B4" w:rsidRPr="00225D10" w:rsidRDefault="00DE56B4" w:rsidP="00D34F87">
      <w:pPr>
        <w:pStyle w:val="bt"/>
        <w:tabs>
          <w:tab w:val="left" w:pos="8931"/>
        </w:tabs>
      </w:pPr>
      <w:r w:rsidRPr="00225D10">
        <w:t>Water supply demand strategies</w:t>
      </w:r>
      <w:r w:rsidRPr="00225D10">
        <w:rPr>
          <w:b/>
        </w:rPr>
        <w:t xml:space="preserve"> </w:t>
      </w:r>
      <w:r w:rsidRPr="00225D10">
        <w:t>were initially released in 2007. These strategies evaluated future water supply and demand scenarios and identified the mix of water supply and demand management measures needed to secure safe and reliable town water supplies, with a 50</w:t>
      </w:r>
      <w:r w:rsidR="00E93A2B" w:rsidRPr="00225D10">
        <w:t>-</w:t>
      </w:r>
      <w:r w:rsidRPr="00225D10">
        <w:t>year outlook. Urban water corporations released updated strategies in early 2012, which included new features to increase their alignment with the Living Victoria program including an Alternative Water Atlas and an annual Water Security Outlook.</w:t>
      </w:r>
    </w:p>
    <w:p w:rsidR="0077231E" w:rsidRPr="00225D10" w:rsidRDefault="00DE56B4" w:rsidP="00D34F87">
      <w:pPr>
        <w:pStyle w:val="bt"/>
        <w:tabs>
          <w:tab w:val="left" w:pos="8931"/>
        </w:tabs>
      </w:pPr>
      <w:r w:rsidRPr="00225D10">
        <w:t xml:space="preserve">Climate variability can have a profound impact on the amount of water available. This is expected to be exacerbated by the potential longer-term impacts of climate change </w:t>
      </w:r>
      <w:r w:rsidR="00E93A2B" w:rsidRPr="00225D10">
        <w:t xml:space="preserve">such as </w:t>
      </w:r>
      <w:r w:rsidRPr="00225D10">
        <w:t>a general reduction in water availability for the environment and water users. W</w:t>
      </w:r>
      <w:r w:rsidR="00E93A2B" w:rsidRPr="00225D10">
        <w:t xml:space="preserve">ater supply demand strategies </w:t>
      </w:r>
      <w:r w:rsidRPr="00225D10">
        <w:t>consider how water supplies can be managed under a range of climate scenarios.</w:t>
      </w:r>
    </w:p>
    <w:p w:rsidR="00932D62" w:rsidRDefault="00AE690A" w:rsidP="00D34F87">
      <w:pPr>
        <w:pStyle w:val="bt"/>
        <w:tabs>
          <w:tab w:val="left" w:pos="8931"/>
        </w:tabs>
      </w:pPr>
      <w:r w:rsidRPr="00AE690A">
        <w:t xml:space="preserve">Based on the water supply demand strategies across the Loddon Mallee South region, there are likely to be shortfalls in supply across some service areas at some stage during the life of the </w:t>
      </w:r>
      <w:r w:rsidR="00A56408">
        <w:t>r</w:t>
      </w:r>
      <w:r w:rsidRPr="00AE690A">
        <w:t xml:space="preserve">egional </w:t>
      </w:r>
      <w:r w:rsidR="00A56408">
        <w:t>g</w:t>
      </w:r>
      <w:r w:rsidRPr="00AE690A">
        <w:t xml:space="preserve">rowth </w:t>
      </w:r>
      <w:r w:rsidR="00A56408">
        <w:t>p</w:t>
      </w:r>
      <w:r w:rsidRPr="00AE690A">
        <w:t xml:space="preserve">lan. These issues are summarised in </w:t>
      </w:r>
      <w:r w:rsidR="00680EEE">
        <w:fldChar w:fldCharType="begin"/>
      </w:r>
      <w:r w:rsidR="00680EEE">
        <w:instrText xml:space="preserve"> REF _Ref359</w:instrText>
      </w:r>
      <w:r w:rsidR="00680EEE">
        <w:instrText xml:space="preserve">412479 \h  \* MERGEFORMAT </w:instrText>
      </w:r>
      <w:r w:rsidR="00680EEE">
        <w:fldChar w:fldCharType="separate"/>
      </w:r>
      <w:r w:rsidR="00EF1401" w:rsidRPr="00225D10">
        <w:t xml:space="preserve">Figure </w:t>
      </w:r>
      <w:r w:rsidR="00EF1401">
        <w:t>38</w:t>
      </w:r>
      <w:r w:rsidR="00680EEE">
        <w:fldChar w:fldCharType="end"/>
      </w:r>
      <w:r w:rsidRPr="00AE690A">
        <w:t>. Solutions to any shortages within these areas are proposed in the water supply demand strategies and managed by the water corporations. These solutions include water demand management measures, improving supply system efficiency, the use of water savings rules, and purchasing more water.</w:t>
      </w:r>
      <w:bookmarkStart w:id="206" w:name="_Ref352166002"/>
      <w:bookmarkStart w:id="207" w:name="_Toc352166569"/>
    </w:p>
    <w:p w:rsidR="00932D62" w:rsidRDefault="00932D62" w:rsidP="00D34F87">
      <w:pPr>
        <w:tabs>
          <w:tab w:val="left" w:pos="8931"/>
        </w:tabs>
        <w:spacing w:before="0"/>
        <w:rPr>
          <w:rFonts w:ascii="Calibri" w:hAnsi="Calibri"/>
          <w:szCs w:val="24"/>
        </w:rPr>
      </w:pPr>
      <w:r>
        <w:br w:type="page"/>
      </w:r>
    </w:p>
    <w:p w:rsidR="00F44A3B" w:rsidRDefault="00F44A3B" w:rsidP="00D34F87">
      <w:pPr>
        <w:pStyle w:val="Caption"/>
        <w:tabs>
          <w:tab w:val="left" w:pos="8931"/>
        </w:tabs>
      </w:pPr>
      <w:bookmarkStart w:id="208" w:name="_Ref359412479"/>
      <w:bookmarkStart w:id="209" w:name="_Toc374530833"/>
      <w:r w:rsidRPr="00225D10">
        <w:lastRenderedPageBreak/>
        <w:t xml:space="preserve">Figure </w:t>
      </w:r>
      <w:r w:rsidR="00162534">
        <w:fldChar w:fldCharType="begin"/>
      </w:r>
      <w:r w:rsidR="00154847">
        <w:instrText xml:space="preserve"> SEQ Figure \* ARABIC </w:instrText>
      </w:r>
      <w:r w:rsidR="00162534">
        <w:fldChar w:fldCharType="separate"/>
      </w:r>
      <w:r w:rsidR="00EF1401">
        <w:rPr>
          <w:noProof/>
        </w:rPr>
        <w:t>38</w:t>
      </w:r>
      <w:r w:rsidR="00162534">
        <w:fldChar w:fldCharType="end"/>
      </w:r>
      <w:bookmarkEnd w:id="206"/>
      <w:bookmarkEnd w:id="208"/>
      <w:r w:rsidR="00377F5C">
        <w:t xml:space="preserve">: </w:t>
      </w:r>
      <w:r w:rsidRPr="00225D10">
        <w:t>Summary of water supply demand strategy outlooks for the Loddon Mallee South region</w:t>
      </w:r>
      <w:bookmarkEnd w:id="207"/>
      <w:bookmarkEnd w:id="209"/>
    </w:p>
    <w:p w:rsidR="00F20FA0" w:rsidRDefault="00F20FA0" w:rsidP="00F20FA0">
      <w:pPr>
        <w:pStyle w:val="bt"/>
        <w:spacing w:before="60" w:after="0"/>
      </w:pPr>
      <w:r w:rsidRPr="00F20FA0">
        <w:rPr>
          <w:b/>
        </w:rPr>
        <w:t xml:space="preserve">Water </w:t>
      </w:r>
      <w:proofErr w:type="gramStart"/>
      <w:r w:rsidRPr="00F20FA0">
        <w:rPr>
          <w:b/>
        </w:rPr>
        <w:t>corporation</w:t>
      </w:r>
      <w:proofErr w:type="gramEnd"/>
      <w:r w:rsidRPr="00F20FA0">
        <w:rPr>
          <w:b/>
        </w:rPr>
        <w:t>:</w:t>
      </w:r>
      <w:r>
        <w:t xml:space="preserve"> </w:t>
      </w:r>
      <w:proofErr w:type="spellStart"/>
      <w:r w:rsidRPr="00225D10">
        <w:t>Coliban</w:t>
      </w:r>
      <w:proofErr w:type="spellEnd"/>
      <w:r w:rsidRPr="00225D10">
        <w:t xml:space="preserve"> Water</w:t>
      </w:r>
    </w:p>
    <w:p w:rsidR="00F20FA0" w:rsidRDefault="00F20FA0" w:rsidP="005D4215">
      <w:pPr>
        <w:pStyle w:val="bt"/>
        <w:numPr>
          <w:ilvl w:val="0"/>
          <w:numId w:val="47"/>
        </w:numPr>
        <w:spacing w:before="60" w:after="0"/>
      </w:pPr>
      <w:r w:rsidRPr="00F20FA0">
        <w:rPr>
          <w:b/>
        </w:rPr>
        <w:t>Supply system:</w:t>
      </w:r>
      <w:r>
        <w:t xml:space="preserve"> </w:t>
      </w:r>
      <w:proofErr w:type="spellStart"/>
      <w:r w:rsidRPr="00225D10">
        <w:t>Coliban</w:t>
      </w:r>
      <w:proofErr w:type="spellEnd"/>
      <w:r w:rsidRPr="00225D10">
        <w:t xml:space="preserve"> system northern</w:t>
      </w:r>
    </w:p>
    <w:p w:rsidR="00F20FA0" w:rsidRDefault="00F20FA0" w:rsidP="005D4215">
      <w:pPr>
        <w:pStyle w:val="bt"/>
        <w:numPr>
          <w:ilvl w:val="0"/>
          <w:numId w:val="48"/>
        </w:numPr>
        <w:spacing w:before="60" w:after="0"/>
        <w:ind w:left="1134"/>
      </w:pPr>
      <w:r w:rsidRPr="00F20FA0">
        <w:rPr>
          <w:b/>
        </w:rPr>
        <w:t>Availability of supply to meet demand to 2041:</w:t>
      </w:r>
      <w:r>
        <w:t xml:space="preserve"> </w:t>
      </w:r>
      <w:r w:rsidRPr="00225D10">
        <w:t>Supply adeq</w:t>
      </w:r>
      <w:r>
        <w:t>uate to meet growth forecast in water supply demand strategy</w:t>
      </w:r>
    </w:p>
    <w:p w:rsidR="00F20FA0" w:rsidRDefault="00F20FA0" w:rsidP="005D4215">
      <w:pPr>
        <w:pStyle w:val="bt"/>
        <w:numPr>
          <w:ilvl w:val="0"/>
          <w:numId w:val="48"/>
        </w:numPr>
        <w:spacing w:before="60" w:after="0"/>
        <w:ind w:left="1134"/>
      </w:pPr>
      <w:r w:rsidRPr="00F20FA0">
        <w:rPr>
          <w:b/>
        </w:rPr>
        <w:t>Solution for supply shortage proposed in water demand strategies:</w:t>
      </w:r>
      <w:r>
        <w:t xml:space="preserve"> Yes</w:t>
      </w:r>
    </w:p>
    <w:p w:rsidR="00F20FA0" w:rsidRDefault="00F20FA0" w:rsidP="005D4215">
      <w:pPr>
        <w:pStyle w:val="bt"/>
        <w:numPr>
          <w:ilvl w:val="0"/>
          <w:numId w:val="47"/>
        </w:numPr>
        <w:spacing w:before="60" w:after="0"/>
      </w:pPr>
      <w:r w:rsidRPr="00F20FA0">
        <w:rPr>
          <w:b/>
        </w:rPr>
        <w:t>Supply system:</w:t>
      </w:r>
      <w:r>
        <w:t xml:space="preserve"> </w:t>
      </w:r>
      <w:proofErr w:type="spellStart"/>
      <w:r w:rsidRPr="00225D10">
        <w:t>Coliban</w:t>
      </w:r>
      <w:proofErr w:type="spellEnd"/>
      <w:r w:rsidRPr="00225D10">
        <w:t xml:space="preserve"> system southern</w:t>
      </w:r>
    </w:p>
    <w:p w:rsidR="00F20FA0" w:rsidRDefault="00F20FA0" w:rsidP="005D4215">
      <w:pPr>
        <w:pStyle w:val="bt"/>
        <w:numPr>
          <w:ilvl w:val="0"/>
          <w:numId w:val="48"/>
        </w:numPr>
        <w:spacing w:before="60" w:after="0"/>
        <w:ind w:left="1134"/>
      </w:pPr>
      <w:r w:rsidRPr="00F20FA0">
        <w:rPr>
          <w:b/>
        </w:rPr>
        <w:t>Availability of supply to meet demand to 2041:</w:t>
      </w:r>
      <w:r>
        <w:t xml:space="preserve"> </w:t>
      </w:r>
      <w:r w:rsidRPr="00225D10">
        <w:t>Shortfall in supply by 2030.  Level of shortfall mainly d</w:t>
      </w:r>
      <w:r>
        <w:t>ependent on climatic conditions</w:t>
      </w:r>
    </w:p>
    <w:p w:rsidR="00F20FA0" w:rsidRPr="00F20FA0" w:rsidRDefault="00F20FA0" w:rsidP="005D4215">
      <w:pPr>
        <w:pStyle w:val="bt"/>
        <w:numPr>
          <w:ilvl w:val="0"/>
          <w:numId w:val="48"/>
        </w:numPr>
        <w:spacing w:before="60" w:after="0"/>
        <w:ind w:left="1134"/>
      </w:pPr>
      <w:r w:rsidRPr="00F20FA0">
        <w:rPr>
          <w:b/>
        </w:rPr>
        <w:t>Solution for supply shortage proposed in water demand strategies:</w:t>
      </w:r>
      <w:r>
        <w:t xml:space="preserve"> Yes</w:t>
      </w:r>
    </w:p>
    <w:p w:rsidR="00F20FA0" w:rsidRDefault="00F20FA0" w:rsidP="005D4215">
      <w:pPr>
        <w:pStyle w:val="bt"/>
        <w:numPr>
          <w:ilvl w:val="0"/>
          <w:numId w:val="47"/>
        </w:numPr>
        <w:spacing w:before="60" w:after="0"/>
      </w:pPr>
      <w:r w:rsidRPr="00F20FA0">
        <w:rPr>
          <w:b/>
        </w:rPr>
        <w:t>Supply system:</w:t>
      </w:r>
      <w:r>
        <w:t xml:space="preserve"> </w:t>
      </w:r>
      <w:r w:rsidRPr="00225D10">
        <w:t>Loddon system</w:t>
      </w:r>
    </w:p>
    <w:p w:rsidR="00F20FA0" w:rsidRDefault="00F20FA0" w:rsidP="005D4215">
      <w:pPr>
        <w:pStyle w:val="bt"/>
        <w:numPr>
          <w:ilvl w:val="0"/>
          <w:numId w:val="48"/>
        </w:numPr>
        <w:spacing w:before="60" w:after="0"/>
        <w:ind w:left="1134"/>
      </w:pPr>
      <w:r w:rsidRPr="00F20FA0">
        <w:rPr>
          <w:b/>
        </w:rPr>
        <w:t>Availability of supply to meet demand to 2041:</w:t>
      </w:r>
      <w:r>
        <w:t xml:space="preserve"> </w:t>
      </w:r>
      <w:r w:rsidRPr="00225D10">
        <w:t>Shortfall in supply from 2020.  Level of shortfall mainly dependent on climatic conditions</w:t>
      </w:r>
    </w:p>
    <w:p w:rsidR="00F20FA0" w:rsidRPr="00F20FA0" w:rsidRDefault="00F20FA0" w:rsidP="005D4215">
      <w:pPr>
        <w:pStyle w:val="bt"/>
        <w:numPr>
          <w:ilvl w:val="0"/>
          <w:numId w:val="48"/>
        </w:numPr>
        <w:spacing w:before="60" w:after="0"/>
        <w:ind w:left="1134"/>
      </w:pPr>
      <w:r w:rsidRPr="00F20FA0">
        <w:rPr>
          <w:b/>
        </w:rPr>
        <w:t>Solution for supply shortage proposed in water demand strategies:</w:t>
      </w:r>
      <w:r>
        <w:t xml:space="preserve"> Yes</w:t>
      </w:r>
    </w:p>
    <w:p w:rsidR="00F20FA0" w:rsidRDefault="00F20FA0" w:rsidP="005D4215">
      <w:pPr>
        <w:pStyle w:val="bt"/>
        <w:numPr>
          <w:ilvl w:val="0"/>
          <w:numId w:val="47"/>
        </w:numPr>
        <w:spacing w:before="60" w:after="0"/>
      </w:pPr>
      <w:r w:rsidRPr="00F20FA0">
        <w:rPr>
          <w:b/>
        </w:rPr>
        <w:t>Supply system:</w:t>
      </w:r>
      <w:r>
        <w:t xml:space="preserve"> </w:t>
      </w:r>
      <w:r w:rsidRPr="00225D10">
        <w:t>Campaspe system</w:t>
      </w:r>
    </w:p>
    <w:p w:rsidR="00F20FA0" w:rsidRDefault="00F20FA0" w:rsidP="005D4215">
      <w:pPr>
        <w:pStyle w:val="bt"/>
        <w:numPr>
          <w:ilvl w:val="0"/>
          <w:numId w:val="48"/>
        </w:numPr>
        <w:spacing w:before="60" w:after="0"/>
        <w:ind w:left="1134"/>
      </w:pPr>
      <w:r w:rsidRPr="00F20FA0">
        <w:rPr>
          <w:b/>
        </w:rPr>
        <w:t>Availability of supply to meet demand to 2041:</w:t>
      </w:r>
      <w:r>
        <w:t xml:space="preserve"> </w:t>
      </w:r>
      <w:r w:rsidRPr="00225D10">
        <w:t xml:space="preserve">Supply adequate to meet growth forecast in </w:t>
      </w:r>
      <w:r>
        <w:t>water supply demand strategy</w:t>
      </w:r>
    </w:p>
    <w:p w:rsidR="00F20FA0" w:rsidRPr="00F20FA0" w:rsidRDefault="00F20FA0" w:rsidP="005D4215">
      <w:pPr>
        <w:pStyle w:val="bt"/>
        <w:numPr>
          <w:ilvl w:val="0"/>
          <w:numId w:val="48"/>
        </w:numPr>
        <w:spacing w:before="60" w:after="0"/>
        <w:ind w:left="1134"/>
      </w:pPr>
      <w:r w:rsidRPr="00F20FA0">
        <w:rPr>
          <w:b/>
        </w:rPr>
        <w:t>Solution for supply shortage proposed in water demand strategies:</w:t>
      </w:r>
      <w:r>
        <w:t xml:space="preserve"> Yes</w:t>
      </w:r>
    </w:p>
    <w:p w:rsidR="00F20FA0" w:rsidRDefault="00F20FA0" w:rsidP="005D4215">
      <w:pPr>
        <w:pStyle w:val="bt"/>
        <w:numPr>
          <w:ilvl w:val="0"/>
          <w:numId w:val="47"/>
        </w:numPr>
        <w:spacing w:before="60" w:after="0"/>
      </w:pPr>
      <w:r w:rsidRPr="00F20FA0">
        <w:rPr>
          <w:b/>
        </w:rPr>
        <w:t>Supply system:</w:t>
      </w:r>
      <w:r>
        <w:t xml:space="preserve"> </w:t>
      </w:r>
      <w:r w:rsidRPr="00225D10">
        <w:t>Elmore groundwater system</w:t>
      </w:r>
    </w:p>
    <w:p w:rsidR="00F20FA0" w:rsidRDefault="00F20FA0" w:rsidP="005D4215">
      <w:pPr>
        <w:pStyle w:val="bt"/>
        <w:numPr>
          <w:ilvl w:val="0"/>
          <w:numId w:val="48"/>
        </w:numPr>
        <w:spacing w:before="60" w:after="0"/>
        <w:ind w:left="1134"/>
      </w:pPr>
      <w:r w:rsidRPr="00F20FA0">
        <w:rPr>
          <w:b/>
        </w:rPr>
        <w:t>Availability of supply to meet demand to 2041:</w:t>
      </w:r>
      <w:r>
        <w:t xml:space="preserve"> </w:t>
      </w:r>
      <w:r w:rsidRPr="00225D10">
        <w:t xml:space="preserve">Supply adequate to meet growth forecast in </w:t>
      </w:r>
      <w:r>
        <w:t>water supply demand strategy</w:t>
      </w:r>
    </w:p>
    <w:p w:rsidR="00F20FA0" w:rsidRPr="00F20FA0" w:rsidRDefault="00F20FA0" w:rsidP="005D4215">
      <w:pPr>
        <w:pStyle w:val="bt"/>
        <w:numPr>
          <w:ilvl w:val="0"/>
          <w:numId w:val="48"/>
        </w:numPr>
        <w:spacing w:before="60" w:after="0"/>
        <w:ind w:left="1134"/>
      </w:pPr>
      <w:r w:rsidRPr="00F20FA0">
        <w:rPr>
          <w:b/>
        </w:rPr>
        <w:t>Solution for supply shortage proposed in water demand strategies:</w:t>
      </w:r>
      <w:r>
        <w:t xml:space="preserve"> Yes</w:t>
      </w:r>
    </w:p>
    <w:p w:rsidR="009B4C1F" w:rsidRDefault="009B4C1F" w:rsidP="005D4215">
      <w:pPr>
        <w:pStyle w:val="bt"/>
        <w:numPr>
          <w:ilvl w:val="0"/>
          <w:numId w:val="47"/>
        </w:numPr>
        <w:spacing w:before="60" w:after="0"/>
      </w:pPr>
      <w:r w:rsidRPr="00F20FA0">
        <w:rPr>
          <w:b/>
        </w:rPr>
        <w:t>Supply system:</w:t>
      </w:r>
      <w:r>
        <w:t xml:space="preserve"> </w:t>
      </w:r>
      <w:r w:rsidRPr="00225D10">
        <w:t>Wimmera system</w:t>
      </w:r>
    </w:p>
    <w:p w:rsidR="009B4C1F" w:rsidRDefault="009B4C1F" w:rsidP="005D4215">
      <w:pPr>
        <w:pStyle w:val="bt"/>
        <w:numPr>
          <w:ilvl w:val="0"/>
          <w:numId w:val="48"/>
        </w:numPr>
        <w:spacing w:before="60" w:after="0"/>
        <w:ind w:left="1134"/>
      </w:pPr>
      <w:r w:rsidRPr="00F20FA0">
        <w:rPr>
          <w:b/>
        </w:rPr>
        <w:t>Availability of supply to meet demand to 2041:</w:t>
      </w:r>
      <w:r>
        <w:t xml:space="preserve"> </w:t>
      </w:r>
      <w:r w:rsidRPr="00225D10">
        <w:t>Already experiencing shortfalls, which are forecast to remain unless intervention taken</w:t>
      </w:r>
    </w:p>
    <w:p w:rsidR="009B4C1F" w:rsidRPr="00F20FA0" w:rsidRDefault="009B4C1F" w:rsidP="005D4215">
      <w:pPr>
        <w:pStyle w:val="bt"/>
        <w:numPr>
          <w:ilvl w:val="0"/>
          <w:numId w:val="48"/>
        </w:numPr>
        <w:spacing w:before="60" w:after="0"/>
        <w:ind w:left="1134"/>
      </w:pPr>
      <w:r w:rsidRPr="00F20FA0">
        <w:rPr>
          <w:b/>
        </w:rPr>
        <w:t>Solution for supply shortage proposed in water demand strategies:</w:t>
      </w:r>
      <w:r>
        <w:t xml:space="preserve"> Yes</w:t>
      </w:r>
    </w:p>
    <w:p w:rsidR="009B4C1F" w:rsidRDefault="009B4C1F" w:rsidP="005D4215">
      <w:pPr>
        <w:pStyle w:val="bt"/>
        <w:numPr>
          <w:ilvl w:val="0"/>
          <w:numId w:val="47"/>
        </w:numPr>
        <w:spacing w:before="60" w:after="0"/>
      </w:pPr>
      <w:r w:rsidRPr="00F20FA0">
        <w:rPr>
          <w:b/>
        </w:rPr>
        <w:t>Supply system:</w:t>
      </w:r>
      <w:r>
        <w:t xml:space="preserve"> </w:t>
      </w:r>
      <w:r w:rsidRPr="00225D10">
        <w:t>Goulburn system</w:t>
      </w:r>
    </w:p>
    <w:p w:rsidR="009B4C1F" w:rsidRDefault="009B4C1F" w:rsidP="005D4215">
      <w:pPr>
        <w:pStyle w:val="bt"/>
        <w:numPr>
          <w:ilvl w:val="0"/>
          <w:numId w:val="48"/>
        </w:numPr>
        <w:spacing w:before="60" w:after="0"/>
        <w:ind w:left="1134"/>
      </w:pPr>
      <w:r w:rsidRPr="00F20FA0">
        <w:rPr>
          <w:b/>
        </w:rPr>
        <w:t>Availability of supply to meet demand to 2041:</w:t>
      </w:r>
      <w:r>
        <w:t xml:space="preserve"> </w:t>
      </w:r>
      <w:r w:rsidRPr="00225D10">
        <w:t xml:space="preserve">Supply adequate to meet growth forecast in </w:t>
      </w:r>
      <w:r>
        <w:t>water supply demand strategy</w:t>
      </w:r>
    </w:p>
    <w:p w:rsidR="009B4C1F" w:rsidRPr="00F20FA0" w:rsidRDefault="009B4C1F" w:rsidP="005D4215">
      <w:pPr>
        <w:pStyle w:val="bt"/>
        <w:numPr>
          <w:ilvl w:val="0"/>
          <w:numId w:val="48"/>
        </w:numPr>
        <w:spacing w:before="60" w:after="0"/>
        <w:ind w:left="1134"/>
      </w:pPr>
      <w:r w:rsidRPr="00F20FA0">
        <w:rPr>
          <w:b/>
        </w:rPr>
        <w:t>Solution for supply shortage proposed in water demand strategies:</w:t>
      </w:r>
      <w:r>
        <w:t xml:space="preserve"> Yes</w:t>
      </w:r>
    </w:p>
    <w:p w:rsidR="009B4C1F" w:rsidRDefault="009B4C1F" w:rsidP="009B4C1F">
      <w:pPr>
        <w:pStyle w:val="bt"/>
        <w:spacing w:before="60" w:after="0"/>
      </w:pPr>
      <w:r w:rsidRPr="00F20FA0">
        <w:rPr>
          <w:b/>
        </w:rPr>
        <w:t xml:space="preserve">Water </w:t>
      </w:r>
      <w:proofErr w:type="gramStart"/>
      <w:r w:rsidRPr="00F20FA0">
        <w:rPr>
          <w:b/>
        </w:rPr>
        <w:t>corporation</w:t>
      </w:r>
      <w:proofErr w:type="gramEnd"/>
      <w:r w:rsidRPr="00F20FA0">
        <w:rPr>
          <w:b/>
        </w:rPr>
        <w:t>:</w:t>
      </w:r>
      <w:r>
        <w:t xml:space="preserve"> </w:t>
      </w:r>
      <w:r w:rsidRPr="00225D10">
        <w:t>Western Water</w:t>
      </w:r>
    </w:p>
    <w:p w:rsidR="009B4C1F" w:rsidRDefault="009B4C1F" w:rsidP="005D4215">
      <w:pPr>
        <w:pStyle w:val="bt"/>
        <w:numPr>
          <w:ilvl w:val="0"/>
          <w:numId w:val="47"/>
        </w:numPr>
        <w:spacing w:before="60" w:after="0"/>
      </w:pPr>
      <w:r w:rsidRPr="00F20FA0">
        <w:rPr>
          <w:b/>
        </w:rPr>
        <w:t>Supply system:</w:t>
      </w:r>
      <w:r>
        <w:t xml:space="preserve"> </w:t>
      </w:r>
      <w:r w:rsidRPr="00225D10">
        <w:t>Various within region</w:t>
      </w:r>
    </w:p>
    <w:p w:rsidR="009B4C1F" w:rsidRDefault="009B4C1F" w:rsidP="005D4215">
      <w:pPr>
        <w:pStyle w:val="bt"/>
        <w:numPr>
          <w:ilvl w:val="0"/>
          <w:numId w:val="48"/>
        </w:numPr>
        <w:spacing w:before="60" w:after="0"/>
        <w:ind w:left="1134"/>
      </w:pPr>
      <w:r w:rsidRPr="00F20FA0">
        <w:rPr>
          <w:b/>
        </w:rPr>
        <w:t>Availability of supply to meet demand to 2041:</w:t>
      </w:r>
      <w:r>
        <w:t xml:space="preserve"> </w:t>
      </w:r>
      <w:r w:rsidRPr="00225D10">
        <w:t>Shortfalls in most areas ei</w:t>
      </w:r>
      <w:r>
        <w:t>ther already or within 10 years</w:t>
      </w:r>
    </w:p>
    <w:p w:rsidR="009B4C1F" w:rsidRDefault="009B4C1F" w:rsidP="005D4215">
      <w:pPr>
        <w:pStyle w:val="bt"/>
        <w:numPr>
          <w:ilvl w:val="0"/>
          <w:numId w:val="48"/>
        </w:numPr>
        <w:spacing w:before="60" w:after="0"/>
        <w:ind w:left="1134"/>
      </w:pPr>
      <w:r w:rsidRPr="00F20FA0">
        <w:rPr>
          <w:b/>
        </w:rPr>
        <w:t>Solution for supply shortage proposed in water demand strategies:</w:t>
      </w:r>
      <w:r>
        <w:t xml:space="preserve"> </w:t>
      </w:r>
    </w:p>
    <w:p w:rsidR="009B4C1F" w:rsidRDefault="009B4C1F" w:rsidP="009B4C1F">
      <w:pPr>
        <w:pStyle w:val="bt"/>
        <w:spacing w:before="60" w:after="0"/>
      </w:pPr>
      <w:r w:rsidRPr="00F20FA0">
        <w:rPr>
          <w:b/>
        </w:rPr>
        <w:t xml:space="preserve">Water </w:t>
      </w:r>
      <w:proofErr w:type="gramStart"/>
      <w:r w:rsidRPr="00F20FA0">
        <w:rPr>
          <w:b/>
        </w:rPr>
        <w:t>corporation</w:t>
      </w:r>
      <w:proofErr w:type="gramEnd"/>
      <w:r w:rsidRPr="00F20FA0">
        <w:rPr>
          <w:b/>
        </w:rPr>
        <w:t>:</w:t>
      </w:r>
      <w:r>
        <w:t xml:space="preserve"> </w:t>
      </w:r>
      <w:r w:rsidRPr="00225D10">
        <w:t>Central Highlands</w:t>
      </w:r>
    </w:p>
    <w:p w:rsidR="009B4C1F" w:rsidRDefault="009B4C1F" w:rsidP="005D4215">
      <w:pPr>
        <w:pStyle w:val="bt"/>
        <w:numPr>
          <w:ilvl w:val="0"/>
          <w:numId w:val="47"/>
        </w:numPr>
        <w:spacing w:before="60" w:after="0"/>
      </w:pPr>
      <w:r w:rsidRPr="00F20FA0">
        <w:rPr>
          <w:b/>
        </w:rPr>
        <w:t>Supply system:</w:t>
      </w:r>
      <w:r>
        <w:t xml:space="preserve"> </w:t>
      </w:r>
      <w:r w:rsidRPr="00225D10">
        <w:t>Maryborough system</w:t>
      </w:r>
    </w:p>
    <w:p w:rsidR="009B4C1F" w:rsidRDefault="009B4C1F" w:rsidP="005D4215">
      <w:pPr>
        <w:pStyle w:val="bt"/>
        <w:numPr>
          <w:ilvl w:val="0"/>
          <w:numId w:val="48"/>
        </w:numPr>
        <w:spacing w:before="60" w:after="0"/>
        <w:ind w:left="1134"/>
      </w:pPr>
      <w:r w:rsidRPr="00F20FA0">
        <w:rPr>
          <w:b/>
        </w:rPr>
        <w:t>Availability of supply to meet demand to 2041:</w:t>
      </w:r>
      <w:r>
        <w:t xml:space="preserve"> </w:t>
      </w:r>
      <w:r w:rsidRPr="00225D10">
        <w:t xml:space="preserve">Significant shortfalls.  Currently these shortfalls are alleviated through use of a temporary groundwater licence.  Central Highlands Water is seeking a permanent allocation of groundwater which should meet growth forecast in the </w:t>
      </w:r>
      <w:r>
        <w:t>water supply demand strategy (along with other measures)</w:t>
      </w:r>
    </w:p>
    <w:p w:rsidR="00F20FA0" w:rsidRPr="00F20FA0" w:rsidRDefault="009B4C1F" w:rsidP="005D4215">
      <w:pPr>
        <w:pStyle w:val="bt"/>
        <w:numPr>
          <w:ilvl w:val="0"/>
          <w:numId w:val="48"/>
        </w:numPr>
        <w:spacing w:before="60" w:after="0"/>
        <w:ind w:left="1134"/>
      </w:pPr>
      <w:r w:rsidRPr="00F20FA0">
        <w:rPr>
          <w:b/>
        </w:rPr>
        <w:t>Solution for supply shortage proposed in water demand strategies:</w:t>
      </w:r>
      <w:r>
        <w:t xml:space="preserve"> Yes</w:t>
      </w:r>
    </w:p>
    <w:p w:rsidR="009B4C1F" w:rsidRDefault="009B4C1F" w:rsidP="00D34F87">
      <w:pPr>
        <w:pStyle w:val="bt"/>
        <w:tabs>
          <w:tab w:val="left" w:pos="8931"/>
        </w:tabs>
        <w:rPr>
          <w:i/>
        </w:rPr>
      </w:pPr>
      <w:r>
        <w:rPr>
          <w:i/>
        </w:rPr>
        <w:t>N</w:t>
      </w:r>
      <w:r w:rsidRPr="008C5456">
        <w:rPr>
          <w:i/>
        </w:rPr>
        <w:t>ote: Grampians Wimmera Mallee Water also services some areas in the far north-west of the region, but there are no towns receiving urban supplies in this area. Therefore its water supply demand strategy does not apply to these areas.</w:t>
      </w:r>
    </w:p>
    <w:p w:rsidR="00DE56B4" w:rsidRPr="00225D10" w:rsidRDefault="00DE56B4" w:rsidP="00D34F87">
      <w:pPr>
        <w:pStyle w:val="bt"/>
        <w:tabs>
          <w:tab w:val="left" w:pos="8931"/>
        </w:tabs>
      </w:pPr>
      <w:r w:rsidRPr="00225D10">
        <w:lastRenderedPageBreak/>
        <w:t xml:space="preserve">Integrated </w:t>
      </w:r>
      <w:r w:rsidR="00E93A2B" w:rsidRPr="00225D10">
        <w:t>w</w:t>
      </w:r>
      <w:r w:rsidRPr="00225D10">
        <w:t xml:space="preserve">ater </w:t>
      </w:r>
      <w:r w:rsidR="00E93A2B" w:rsidRPr="00225D10">
        <w:t>c</w:t>
      </w:r>
      <w:r w:rsidRPr="00225D10">
        <w:t xml:space="preserve">ycle </w:t>
      </w:r>
      <w:r w:rsidR="00E93A2B" w:rsidRPr="00225D10">
        <w:t>s</w:t>
      </w:r>
      <w:r w:rsidRPr="00225D10">
        <w:t>trategies</w:t>
      </w:r>
      <w:r w:rsidR="00A56408">
        <w:t xml:space="preserve">, </w:t>
      </w:r>
      <w:r w:rsidR="00E93A2B" w:rsidRPr="00225D10">
        <w:t xml:space="preserve">to </w:t>
      </w:r>
      <w:r w:rsidRPr="00225D10">
        <w:t xml:space="preserve">replace </w:t>
      </w:r>
      <w:r w:rsidR="00E93A2B" w:rsidRPr="00225D10">
        <w:t>water supply demand strategie</w:t>
      </w:r>
      <w:r w:rsidR="00A56408">
        <w:t>s,</w:t>
      </w:r>
      <w:r w:rsidRPr="00225D10">
        <w:t xml:space="preserve"> will identify the best mix of measures to:</w:t>
      </w:r>
    </w:p>
    <w:p w:rsidR="00DE56B4" w:rsidRPr="00225D10" w:rsidRDefault="00DE56B4" w:rsidP="00D34F87">
      <w:pPr>
        <w:pStyle w:val="ListParagraphSummary"/>
        <w:tabs>
          <w:tab w:val="left" w:pos="8931"/>
        </w:tabs>
      </w:pPr>
      <w:r w:rsidRPr="00225D10">
        <w:t>maintain a balance between the demand for water and the supply of water in cities and towns</w:t>
      </w:r>
    </w:p>
    <w:p w:rsidR="00DE56B4" w:rsidRPr="00225D10" w:rsidRDefault="00DE56B4" w:rsidP="00D34F87">
      <w:pPr>
        <w:pStyle w:val="ListParagraphSummary"/>
        <w:tabs>
          <w:tab w:val="left" w:pos="8931"/>
        </w:tabs>
      </w:pPr>
      <w:r w:rsidRPr="00225D10">
        <w:t>facilitate efficient investment in all water cycle services, including recycling sewage or trade waste, stormwater capture and re-use, and demand management</w:t>
      </w:r>
    </w:p>
    <w:p w:rsidR="00DE56B4" w:rsidRPr="00225D10" w:rsidRDefault="00DE56B4" w:rsidP="00D34F87">
      <w:pPr>
        <w:pStyle w:val="ListParagraphSummary"/>
        <w:tabs>
          <w:tab w:val="left" w:pos="8931"/>
        </w:tabs>
      </w:pPr>
      <w:proofErr w:type="gramStart"/>
      <w:r w:rsidRPr="00225D10">
        <w:t>improve</w:t>
      </w:r>
      <w:proofErr w:type="gramEnd"/>
      <w:r w:rsidRPr="00225D10">
        <w:t xml:space="preserve"> the resilience of water supply systems</w:t>
      </w:r>
      <w:r w:rsidR="00A56408">
        <w:t xml:space="preserve">, </w:t>
      </w:r>
      <w:r w:rsidRPr="00225D10">
        <w:t>including fit-for</w:t>
      </w:r>
      <w:r w:rsidR="00E93A2B" w:rsidRPr="00225D10">
        <w:t>-</w:t>
      </w:r>
      <w:r w:rsidRPr="00225D10">
        <w:t>purpose</w:t>
      </w:r>
      <w:r w:rsidR="00A56408">
        <w:t>,</w:t>
      </w:r>
      <w:r w:rsidRPr="00225D10">
        <w:t xml:space="preserve"> through scenario-based planning and adaptive management, having regard to risk and uncertainty.</w:t>
      </w:r>
    </w:p>
    <w:p w:rsidR="00DE56B4" w:rsidRPr="00225D10" w:rsidRDefault="00DE56B4" w:rsidP="00D34F87">
      <w:pPr>
        <w:pStyle w:val="Heading4"/>
        <w:tabs>
          <w:tab w:val="left" w:pos="8931"/>
        </w:tabs>
      </w:pPr>
      <w:r w:rsidRPr="00225D10">
        <w:t xml:space="preserve">Sustainable </w:t>
      </w:r>
      <w:r w:rsidR="00E93A2B" w:rsidRPr="00225D10">
        <w:t>w</w:t>
      </w:r>
      <w:r w:rsidRPr="00225D10">
        <w:t xml:space="preserve">ater </w:t>
      </w:r>
      <w:r w:rsidR="00E93A2B" w:rsidRPr="00225D10">
        <w:t>s</w:t>
      </w:r>
      <w:r w:rsidRPr="00225D10">
        <w:t>trategies</w:t>
      </w:r>
    </w:p>
    <w:p w:rsidR="00D52C8B" w:rsidRPr="00225D10" w:rsidRDefault="00D52C8B" w:rsidP="00D34F87">
      <w:pPr>
        <w:pStyle w:val="bt"/>
        <w:tabs>
          <w:tab w:val="left" w:pos="8931"/>
        </w:tabs>
      </w:pPr>
      <w:r w:rsidRPr="00225D10">
        <w:t xml:space="preserve">Water supply issues for the Loddon Mallee South region are being managed through </w:t>
      </w:r>
      <w:r w:rsidR="00E93A2B" w:rsidRPr="00225D10">
        <w:t>s</w:t>
      </w:r>
      <w:r w:rsidRPr="00225D10">
        <w:t xml:space="preserve">ustainable </w:t>
      </w:r>
      <w:r w:rsidR="00E93A2B" w:rsidRPr="00225D10">
        <w:t>w</w:t>
      </w:r>
      <w:r w:rsidRPr="00225D10">
        <w:t xml:space="preserve">ater </w:t>
      </w:r>
      <w:r w:rsidR="00E93A2B" w:rsidRPr="00225D10">
        <w:t>s</w:t>
      </w:r>
      <w:r w:rsidRPr="00225D10">
        <w:t>trategies</w:t>
      </w:r>
      <w:r w:rsidR="00A56408">
        <w:t xml:space="preserve">, </w:t>
      </w:r>
      <w:r w:rsidRPr="00225D10">
        <w:t>predominantly the Northern Region S</w:t>
      </w:r>
      <w:r w:rsidR="00E93A2B" w:rsidRPr="00225D10">
        <w:t>ustainable Water Strategy</w:t>
      </w:r>
      <w:r w:rsidRPr="00225D10">
        <w:t xml:space="preserve">, but also the </w:t>
      </w:r>
      <w:r w:rsidR="00931FD4" w:rsidRPr="00225D10">
        <w:t>Western</w:t>
      </w:r>
      <w:r w:rsidRPr="00225D10">
        <w:t xml:space="preserve"> Region</w:t>
      </w:r>
      <w:r w:rsidRPr="00225D10">
        <w:rPr>
          <w:color w:val="FF0000"/>
        </w:rPr>
        <w:t xml:space="preserve"> </w:t>
      </w:r>
      <w:r w:rsidRPr="00225D10">
        <w:t>S</w:t>
      </w:r>
      <w:r w:rsidR="00E93A2B" w:rsidRPr="00225D10">
        <w:t>ustainable Water Strategy</w:t>
      </w:r>
      <w:r w:rsidRPr="00225D10">
        <w:t>, and the various water authority water supply demand strategies</w:t>
      </w:r>
      <w:r w:rsidR="00931FD4" w:rsidRPr="00225D10">
        <w:t xml:space="preserve"> to secure the water for urban, industrial, agricultural and environmental water users in the long term.</w:t>
      </w:r>
    </w:p>
    <w:p w:rsidR="00DE56B4" w:rsidRPr="00225D10" w:rsidRDefault="00DE56B4" w:rsidP="00D34F87">
      <w:pPr>
        <w:pStyle w:val="bt"/>
        <w:tabs>
          <w:tab w:val="left" w:pos="8931"/>
        </w:tabs>
      </w:pPr>
      <w:r w:rsidRPr="00225D10">
        <w:t xml:space="preserve">These </w:t>
      </w:r>
      <w:r w:rsidR="008A32C5" w:rsidRPr="00225D10">
        <w:t xml:space="preserve">sustainable water strategies </w:t>
      </w:r>
      <w:r w:rsidRPr="00225D10">
        <w:t>identify threats to reliability of water supply and quality of water, and ways to improve supply and quality of supply for existing and future consumptive users. They also identify ways to improve, protect and increase environmental water reserves. Most of the actions in the Northern Region S</w:t>
      </w:r>
      <w:r w:rsidR="008A32C5" w:rsidRPr="00225D10">
        <w:t xml:space="preserve">ustainable Water Strategy </w:t>
      </w:r>
      <w:r w:rsidRPr="00225D10">
        <w:t>have been completed or are being refined and pursued in line with the Murray-Darling Basin Plan. The Western Region S</w:t>
      </w:r>
      <w:r w:rsidR="008A32C5" w:rsidRPr="00225D10">
        <w:t xml:space="preserve">ustainable Water Strategy </w:t>
      </w:r>
      <w:r w:rsidRPr="00225D10">
        <w:t>is still relatively new and is now being implemented.</w:t>
      </w:r>
    </w:p>
    <w:p w:rsidR="00DE56B4" w:rsidRPr="00225D10" w:rsidRDefault="00DE56B4" w:rsidP="00D34F87">
      <w:pPr>
        <w:pStyle w:val="Heading4"/>
        <w:tabs>
          <w:tab w:val="left" w:pos="8931"/>
        </w:tabs>
      </w:pPr>
      <w:r w:rsidRPr="00225D10">
        <w:t xml:space="preserve">Drought </w:t>
      </w:r>
      <w:r w:rsidR="008A32C5" w:rsidRPr="00225D10">
        <w:t>r</w:t>
      </w:r>
      <w:r w:rsidRPr="00225D10">
        <w:t xml:space="preserve">esponse </w:t>
      </w:r>
      <w:r w:rsidR="008A32C5" w:rsidRPr="00225D10">
        <w:t>p</w:t>
      </w:r>
      <w:r w:rsidRPr="00225D10">
        <w:t>lans</w:t>
      </w:r>
    </w:p>
    <w:p w:rsidR="00DE56B4" w:rsidRPr="00225D10" w:rsidRDefault="00DE56B4" w:rsidP="00D34F87">
      <w:pPr>
        <w:pStyle w:val="bt"/>
        <w:tabs>
          <w:tab w:val="left" w:pos="8931"/>
        </w:tabs>
      </w:pPr>
      <w:r w:rsidRPr="00225D10">
        <w:t xml:space="preserve">Drought response plans manage temporary water shortages </w:t>
      </w:r>
      <w:r w:rsidR="008C5456">
        <w:t>caused by</w:t>
      </w:r>
      <w:r w:rsidRPr="00225D10">
        <w:t xml:space="preserve"> prolonged periods of below average rainfall or other causes such as poor water quality. They outline a range of options to balance supply and demand, which may include imposing water restrictions. The water restriction framework was reviewed in late 2011 to meet community expectations and to apply consistent restriction rules across the state.</w:t>
      </w:r>
    </w:p>
    <w:p w:rsidR="00D52C8B" w:rsidRPr="00225D10" w:rsidRDefault="00D52C8B" w:rsidP="00D34F87">
      <w:pPr>
        <w:pStyle w:val="Heading4"/>
        <w:tabs>
          <w:tab w:val="left" w:pos="8931"/>
        </w:tabs>
      </w:pPr>
      <w:r w:rsidRPr="00225D10">
        <w:t xml:space="preserve">Water </w:t>
      </w:r>
      <w:r w:rsidR="008A32C5" w:rsidRPr="00225D10">
        <w:t>s</w:t>
      </w:r>
      <w:r w:rsidRPr="00225D10">
        <w:t xml:space="preserve">upply </w:t>
      </w:r>
      <w:r w:rsidR="008A32C5" w:rsidRPr="00225D10">
        <w:t>p</w:t>
      </w:r>
      <w:r w:rsidRPr="00225D10">
        <w:t>rojects</w:t>
      </w:r>
    </w:p>
    <w:p w:rsidR="00211BD9" w:rsidRDefault="00D52C8B" w:rsidP="00D34F87">
      <w:pPr>
        <w:pStyle w:val="bt"/>
        <w:tabs>
          <w:tab w:val="left" w:pos="8931"/>
        </w:tabs>
      </w:pPr>
      <w:r w:rsidRPr="00225D10">
        <w:t xml:space="preserve">Water supply throughout the region will have a strong influence on the type of industries that can operate in both rural and urban areas, and on the sustainability of settlements into the future. </w:t>
      </w:r>
      <w:r w:rsidR="004543FF" w:rsidRPr="00225D10">
        <w:t xml:space="preserve">Upgrades to </w:t>
      </w:r>
      <w:proofErr w:type="spellStart"/>
      <w:r w:rsidR="004543FF" w:rsidRPr="00225D10">
        <w:t>Coliban</w:t>
      </w:r>
      <w:proofErr w:type="spellEnd"/>
      <w:r w:rsidR="004543FF" w:rsidRPr="00225D10">
        <w:t xml:space="preserve"> Water’s supply network are</w:t>
      </w:r>
      <w:r w:rsidRPr="00225D10">
        <w:t xml:space="preserve"> affecting much of the rest of the region. Major capital works and asset renewal programs to maintain and improve the quality and reliability of water and sewerage infrastructure</w:t>
      </w:r>
      <w:r w:rsidR="008C5456">
        <w:t xml:space="preserve"> are identified in </w:t>
      </w:r>
      <w:r w:rsidR="00162534">
        <w:fldChar w:fldCharType="begin"/>
      </w:r>
      <w:r w:rsidR="008C5456">
        <w:instrText xml:space="preserve"> REF _Ref372889815 \h </w:instrText>
      </w:r>
      <w:r w:rsidR="00162534">
        <w:fldChar w:fldCharType="separate"/>
      </w:r>
      <w:r w:rsidR="00EF1401" w:rsidRPr="00225D10">
        <w:t xml:space="preserve">Figure </w:t>
      </w:r>
      <w:r w:rsidR="00EF1401">
        <w:rPr>
          <w:noProof/>
        </w:rPr>
        <w:t>39</w:t>
      </w:r>
      <w:r w:rsidR="00162534">
        <w:fldChar w:fldCharType="end"/>
      </w:r>
      <w:r w:rsidR="00211BD9">
        <w:t>.</w:t>
      </w:r>
    </w:p>
    <w:p w:rsidR="00565611" w:rsidRDefault="00565611" w:rsidP="00D34F87">
      <w:pPr>
        <w:pStyle w:val="Caption"/>
        <w:tabs>
          <w:tab w:val="left" w:pos="8931"/>
        </w:tabs>
      </w:pPr>
      <w:bookmarkStart w:id="210" w:name="_Ref372889815"/>
      <w:bookmarkStart w:id="211" w:name="_Toc352166570"/>
      <w:bookmarkStart w:id="212" w:name="_Toc374530834"/>
      <w:r w:rsidRPr="00225D10">
        <w:t xml:space="preserve">Figure </w:t>
      </w:r>
      <w:r w:rsidR="00162534">
        <w:fldChar w:fldCharType="begin"/>
      </w:r>
      <w:r w:rsidR="00154847">
        <w:instrText xml:space="preserve"> SEQ Figure \* ARABIC </w:instrText>
      </w:r>
      <w:r w:rsidR="00162534">
        <w:fldChar w:fldCharType="separate"/>
      </w:r>
      <w:r w:rsidR="00EF1401">
        <w:rPr>
          <w:noProof/>
        </w:rPr>
        <w:t>39</w:t>
      </w:r>
      <w:r w:rsidR="00162534">
        <w:fldChar w:fldCharType="end"/>
      </w:r>
      <w:bookmarkEnd w:id="210"/>
      <w:r w:rsidR="00377F5C">
        <w:t xml:space="preserve">: </w:t>
      </w:r>
      <w:r w:rsidRPr="00225D10">
        <w:t>Major water supply and wastewater projects in the Loddon Mallee South region</w:t>
      </w:r>
      <w:bookmarkEnd w:id="211"/>
      <w:bookmarkEnd w:id="212"/>
    </w:p>
    <w:p w:rsidR="009B4C1F" w:rsidRPr="00473417" w:rsidRDefault="009B4C1F" w:rsidP="009B4C1F">
      <w:pPr>
        <w:pStyle w:val="Heading4"/>
      </w:pPr>
      <w:r w:rsidRPr="00473417">
        <w:t>Current projects</w:t>
      </w:r>
    </w:p>
    <w:p w:rsidR="009B4C1F" w:rsidRPr="00473417" w:rsidRDefault="009B4C1F" w:rsidP="005D4215">
      <w:pPr>
        <w:pStyle w:val="ListParagraph"/>
        <w:numPr>
          <w:ilvl w:val="0"/>
          <w:numId w:val="49"/>
        </w:numPr>
        <w:spacing w:before="240"/>
      </w:pPr>
      <w:r w:rsidRPr="00473417">
        <w:t xml:space="preserve">Harcourt Rural Modernisation Project: Investigation is underway to replace the current open irrigation channel system in the Harcourt area with a network of pipes, and will reduce transfer losses that can exceed 50% through evaporation and leakage, provide reliability to irrigators and enhanced water security to urban supply. </w:t>
      </w:r>
    </w:p>
    <w:p w:rsidR="009B4C1F" w:rsidRDefault="009B4C1F" w:rsidP="009B4C1F">
      <w:pPr>
        <w:pStyle w:val="Heading4"/>
      </w:pPr>
      <w:r w:rsidRPr="00473417">
        <w:t>Completed Projects</w:t>
      </w:r>
    </w:p>
    <w:p w:rsidR="009B4C1F" w:rsidRPr="00473417" w:rsidRDefault="009B4C1F" w:rsidP="005D4215">
      <w:pPr>
        <w:pStyle w:val="ListParagraph"/>
        <w:numPr>
          <w:ilvl w:val="0"/>
          <w:numId w:val="49"/>
        </w:numPr>
        <w:spacing w:before="240"/>
      </w:pPr>
      <w:proofErr w:type="spellStart"/>
      <w:r w:rsidRPr="00473417">
        <w:t>Raywo</w:t>
      </w:r>
      <w:r>
        <w:t>od</w:t>
      </w:r>
      <w:proofErr w:type="spellEnd"/>
      <w:r>
        <w:t xml:space="preserve"> – Sebastian Pipeline Project: </w:t>
      </w:r>
      <w:r w:rsidRPr="00473417">
        <w:t xml:space="preserve">Connection of the townships of </w:t>
      </w:r>
      <w:proofErr w:type="spellStart"/>
      <w:r w:rsidRPr="00473417">
        <w:t>Raywood</w:t>
      </w:r>
      <w:proofErr w:type="spellEnd"/>
      <w:r w:rsidRPr="00473417">
        <w:t xml:space="preserve"> and Sebastian to the Bendigo water supply system.</w:t>
      </w:r>
    </w:p>
    <w:p w:rsidR="009B4C1F" w:rsidRPr="00473417" w:rsidRDefault="009B4C1F" w:rsidP="005D4215">
      <w:pPr>
        <w:pStyle w:val="ListParagraph"/>
        <w:numPr>
          <w:ilvl w:val="0"/>
          <w:numId w:val="49"/>
        </w:numPr>
        <w:spacing w:before="240"/>
      </w:pPr>
      <w:r w:rsidRPr="00473417">
        <w:t>Bendigo Creek Sewer Duplication</w:t>
      </w:r>
      <w:r>
        <w:t xml:space="preserve">: </w:t>
      </w:r>
      <w:r w:rsidRPr="00473417">
        <w:t>Major sewer main upgrade for Bendigo to create more capacity for the city’s growing population.</w:t>
      </w:r>
    </w:p>
    <w:p w:rsidR="009B4C1F" w:rsidRPr="00473417" w:rsidRDefault="009B4C1F" w:rsidP="005D4215">
      <w:pPr>
        <w:pStyle w:val="ListParagraph"/>
        <w:numPr>
          <w:ilvl w:val="0"/>
          <w:numId w:val="49"/>
        </w:numPr>
        <w:spacing w:before="240"/>
      </w:pPr>
      <w:r>
        <w:t xml:space="preserve">Back Creek Siphon Upgrade: </w:t>
      </w:r>
      <w:r w:rsidRPr="00473417">
        <w:t xml:space="preserve">Upgrading of the pipeline transferring water from the </w:t>
      </w:r>
      <w:proofErr w:type="spellStart"/>
      <w:r w:rsidRPr="00473417">
        <w:t>Coliban</w:t>
      </w:r>
      <w:proofErr w:type="spellEnd"/>
      <w:r w:rsidRPr="00473417">
        <w:t xml:space="preserve"> catchment storages in </w:t>
      </w:r>
      <w:proofErr w:type="spellStart"/>
      <w:r w:rsidRPr="00473417">
        <w:t>Malmsbury</w:t>
      </w:r>
      <w:proofErr w:type="spellEnd"/>
      <w:r w:rsidRPr="00473417">
        <w:t xml:space="preserve"> to meet the water supply needs of Castlemaine and Bendigo, keeping the historical integrity of the pipeline intact.</w:t>
      </w:r>
    </w:p>
    <w:p w:rsidR="009B4C1F" w:rsidRPr="00473417" w:rsidRDefault="009B4C1F" w:rsidP="005D4215">
      <w:pPr>
        <w:pStyle w:val="ListParagraph"/>
        <w:numPr>
          <w:ilvl w:val="0"/>
          <w:numId w:val="49"/>
        </w:numPr>
        <w:spacing w:before="240"/>
      </w:pPr>
      <w:proofErr w:type="spellStart"/>
      <w:r w:rsidRPr="00473417">
        <w:t>Eppalock</w:t>
      </w:r>
      <w:proofErr w:type="spellEnd"/>
      <w:r w:rsidRPr="00473417">
        <w:t xml:space="preserve"> to </w:t>
      </w:r>
      <w:proofErr w:type="spellStart"/>
      <w:r w:rsidRPr="00473417">
        <w:t>Sandhurst</w:t>
      </w:r>
      <w:proofErr w:type="spellEnd"/>
      <w:r w:rsidRPr="00473417">
        <w:t xml:space="preserve"> Augmentation</w:t>
      </w:r>
      <w:r>
        <w:t>:</w:t>
      </w:r>
      <w:r w:rsidR="009B6FFA">
        <w:t xml:space="preserve"> </w:t>
      </w:r>
      <w:r w:rsidRPr="00473417">
        <w:t xml:space="preserve">Duplication of sections of the existing </w:t>
      </w:r>
      <w:proofErr w:type="spellStart"/>
      <w:r w:rsidRPr="00473417">
        <w:t>Eppalock-Sandhurst</w:t>
      </w:r>
      <w:proofErr w:type="spellEnd"/>
      <w:r w:rsidRPr="00473417">
        <w:t xml:space="preserve"> pipeline that connects Lake </w:t>
      </w:r>
      <w:proofErr w:type="spellStart"/>
      <w:r w:rsidRPr="00473417">
        <w:t>Eppalock</w:t>
      </w:r>
      <w:proofErr w:type="spellEnd"/>
      <w:r w:rsidRPr="00473417">
        <w:t xml:space="preserve"> to </w:t>
      </w:r>
      <w:proofErr w:type="spellStart"/>
      <w:r w:rsidRPr="00473417">
        <w:t>Sandhurst</w:t>
      </w:r>
      <w:proofErr w:type="spellEnd"/>
      <w:r w:rsidRPr="00473417">
        <w:t xml:space="preserve"> Reservoir in Bendigo.</w:t>
      </w:r>
    </w:p>
    <w:p w:rsidR="009B4C1F" w:rsidRPr="00473417" w:rsidRDefault="009B4C1F" w:rsidP="005D4215">
      <w:pPr>
        <w:pStyle w:val="ListParagraph"/>
        <w:numPr>
          <w:ilvl w:val="0"/>
          <w:numId w:val="49"/>
        </w:numPr>
        <w:spacing w:before="240"/>
      </w:pPr>
      <w:r>
        <w:lastRenderedPageBreak/>
        <w:t xml:space="preserve">Goldfields </w:t>
      </w:r>
      <w:proofErr w:type="spellStart"/>
      <w:r>
        <w:t>Superpipe</w:t>
      </w:r>
      <w:proofErr w:type="spellEnd"/>
      <w:r>
        <w:t xml:space="preserve">: </w:t>
      </w:r>
      <w:r w:rsidRPr="00473417">
        <w:t xml:space="preserve">Construction of a 46.5 </w:t>
      </w:r>
      <w:proofErr w:type="spellStart"/>
      <w:r w:rsidRPr="00473417">
        <w:t>kilometre</w:t>
      </w:r>
      <w:proofErr w:type="spellEnd"/>
      <w:r w:rsidRPr="00473417">
        <w:t xml:space="preserve"> pipeline to connect the </w:t>
      </w:r>
      <w:proofErr w:type="spellStart"/>
      <w:r w:rsidRPr="00473417">
        <w:t>Waranga</w:t>
      </w:r>
      <w:proofErr w:type="spellEnd"/>
      <w:r w:rsidRPr="00473417">
        <w:t xml:space="preserve"> Western Channel with the water supply system near Lake </w:t>
      </w:r>
      <w:proofErr w:type="spellStart"/>
      <w:r w:rsidRPr="00473417">
        <w:t>Eppalock</w:t>
      </w:r>
      <w:proofErr w:type="spellEnd"/>
      <w:r w:rsidRPr="00473417">
        <w:t xml:space="preserve"> to improve water security in Bendigo, Kyneton, Castlemaine and Heathcote.</w:t>
      </w:r>
    </w:p>
    <w:p w:rsidR="009B4C1F" w:rsidRPr="00473417" w:rsidRDefault="009B4C1F" w:rsidP="005D4215">
      <w:pPr>
        <w:pStyle w:val="ListParagraph"/>
        <w:numPr>
          <w:ilvl w:val="0"/>
          <w:numId w:val="49"/>
        </w:numPr>
        <w:spacing w:before="240"/>
      </w:pPr>
      <w:r w:rsidRPr="00473417">
        <w:t>Epsom-Spring Gully Recycled Water Project:</w:t>
      </w:r>
      <w:r>
        <w:t xml:space="preserve"> </w:t>
      </w:r>
      <w:r w:rsidRPr="00473417">
        <w:t xml:space="preserve">Construction of a 14.5 </w:t>
      </w:r>
      <w:proofErr w:type="spellStart"/>
      <w:r w:rsidRPr="00473417">
        <w:t>kilometre</w:t>
      </w:r>
      <w:proofErr w:type="spellEnd"/>
      <w:r w:rsidRPr="00473417">
        <w:t xml:space="preserve"> pipeline from </w:t>
      </w:r>
      <w:proofErr w:type="spellStart"/>
      <w:r w:rsidRPr="00473417">
        <w:t>Bendigo</w:t>
      </w:r>
      <w:proofErr w:type="spellEnd"/>
      <w:r w:rsidRPr="00473417">
        <w:t xml:space="preserve"> Water Reclamation Plant (WRP) in Epsom to Spring Gully Reservoir and the construction of a Recycled Water Factory at Epsom, to produce more than 4 billion litres of water annually for use on public gardens, sporting facilities and irrigation in the Bendigo area.</w:t>
      </w:r>
    </w:p>
    <w:p w:rsidR="00B63E12" w:rsidRDefault="0015325D" w:rsidP="00D34F87">
      <w:pPr>
        <w:pStyle w:val="Source"/>
        <w:tabs>
          <w:tab w:val="left" w:pos="8931"/>
        </w:tabs>
      </w:pPr>
      <w:r w:rsidRPr="00225D10">
        <w:t xml:space="preserve">Source: </w:t>
      </w:r>
      <w:hyperlink r:id="rId47" w:history="1">
        <w:r w:rsidRPr="009B4C1F">
          <w:rPr>
            <w:rStyle w:val="Hyperlink"/>
          </w:rPr>
          <w:t>http://www.coliban.com.au/projects/</w:t>
        </w:r>
      </w:hyperlink>
    </w:p>
    <w:p w:rsidR="00DE56B4" w:rsidRPr="00663F7F" w:rsidRDefault="00DE56B4" w:rsidP="00D34F87">
      <w:pPr>
        <w:pStyle w:val="Heading2"/>
        <w:tabs>
          <w:tab w:val="left" w:pos="8931"/>
        </w:tabs>
        <w:rPr>
          <w:rFonts w:cs="Arial"/>
        </w:rPr>
      </w:pPr>
      <w:bookmarkStart w:id="213" w:name="_Toc374530890"/>
      <w:r w:rsidRPr="00663F7F">
        <w:rPr>
          <w:rFonts w:cs="Arial"/>
        </w:rPr>
        <w:t xml:space="preserve">Rural </w:t>
      </w:r>
      <w:r w:rsidR="009E21D6" w:rsidRPr="00663F7F">
        <w:rPr>
          <w:rFonts w:cs="Arial"/>
        </w:rPr>
        <w:t>w</w:t>
      </w:r>
      <w:r w:rsidRPr="00663F7F">
        <w:rPr>
          <w:rFonts w:cs="Arial"/>
        </w:rPr>
        <w:t xml:space="preserve">ater </w:t>
      </w:r>
      <w:r w:rsidR="009E21D6" w:rsidRPr="00663F7F">
        <w:rPr>
          <w:rFonts w:cs="Arial"/>
        </w:rPr>
        <w:t>s</w:t>
      </w:r>
      <w:r w:rsidRPr="00663F7F">
        <w:rPr>
          <w:rFonts w:cs="Arial"/>
        </w:rPr>
        <w:t>upply</w:t>
      </w:r>
      <w:bookmarkEnd w:id="213"/>
    </w:p>
    <w:p w:rsidR="00DE56B4" w:rsidRPr="00225D10" w:rsidRDefault="00DE56B4" w:rsidP="00D34F87">
      <w:pPr>
        <w:pStyle w:val="bt"/>
        <w:tabs>
          <w:tab w:val="left" w:pos="8931"/>
        </w:tabs>
      </w:pPr>
      <w:r w:rsidRPr="00225D10">
        <w:t>Water supply throughout the region is changing as a result of climate variability, as well as changes to water policy. In particular, irrigation system reform and the Murray</w:t>
      </w:r>
      <w:r w:rsidR="009E21D6" w:rsidRPr="00225D10">
        <w:t>-</w:t>
      </w:r>
      <w:r w:rsidRPr="00225D10">
        <w:t>Darling Basin Plan are driving significant change in the region. The full implications of the Murray</w:t>
      </w:r>
      <w:r w:rsidR="009E21D6" w:rsidRPr="00225D10">
        <w:t>-</w:t>
      </w:r>
      <w:r w:rsidRPr="00225D10">
        <w:t xml:space="preserve">Darling Basin Plan are still emerging </w:t>
      </w:r>
      <w:r w:rsidR="009E21D6" w:rsidRPr="00225D10">
        <w:t xml:space="preserve">although </w:t>
      </w:r>
      <w:r w:rsidRPr="00225D10">
        <w:t>anticipated implications include a potential reduction in the amount of water available for irrigation over time.</w:t>
      </w:r>
    </w:p>
    <w:p w:rsidR="009059EA" w:rsidRPr="00225D10" w:rsidRDefault="00DE56B4" w:rsidP="00D34F87">
      <w:pPr>
        <w:pStyle w:val="bt"/>
        <w:tabs>
          <w:tab w:val="left" w:pos="8931"/>
        </w:tabs>
      </w:pPr>
      <w:r w:rsidRPr="00225D10">
        <w:t xml:space="preserve">Significant changes to the irrigation system are occurring as result of the Goulburn-Murray Water Connections Program (formerly known as the Northern Victoria Irrigation Renewal </w:t>
      </w:r>
      <w:r w:rsidR="004543FF" w:rsidRPr="00225D10">
        <w:t>Project)</w:t>
      </w:r>
      <w:r w:rsidRPr="00225D10">
        <w:t xml:space="preserve">. The geographic footprint </w:t>
      </w:r>
      <w:r w:rsidR="00865219" w:rsidRPr="00225D10">
        <w:t xml:space="preserve">of irrigated areas </w:t>
      </w:r>
      <w:r w:rsidRPr="00225D10">
        <w:t>in the region will be reduced as a result of this program</w:t>
      </w:r>
      <w:r w:rsidR="00865219" w:rsidRPr="00225D10">
        <w:t xml:space="preserve"> and through </w:t>
      </w:r>
      <w:r w:rsidRPr="00225D10">
        <w:t>water trade</w:t>
      </w:r>
      <w:r w:rsidR="00A56408">
        <w:t xml:space="preserve">, </w:t>
      </w:r>
      <w:r w:rsidRPr="00225D10">
        <w:t xml:space="preserve">including the </w:t>
      </w:r>
      <w:r w:rsidR="00A56408">
        <w:t>f</w:t>
      </w:r>
      <w:r w:rsidR="00A56408" w:rsidRPr="00225D10">
        <w:t xml:space="preserve">ederal </w:t>
      </w:r>
      <w:r w:rsidR="00A56408">
        <w:t>g</w:t>
      </w:r>
      <w:r w:rsidR="00A56408" w:rsidRPr="00225D10">
        <w:t xml:space="preserve">overnment’s </w:t>
      </w:r>
      <w:r w:rsidRPr="00225D10">
        <w:t xml:space="preserve">water buy backs.  </w:t>
      </w:r>
    </w:p>
    <w:p w:rsidR="00B25C9C" w:rsidRPr="00225D10" w:rsidRDefault="00AB0D7C" w:rsidP="00D34F87">
      <w:pPr>
        <w:pStyle w:val="bt"/>
        <w:tabs>
          <w:tab w:val="left" w:pos="8931"/>
        </w:tabs>
        <w:rPr>
          <w:lang w:val="en-US"/>
        </w:rPr>
      </w:pPr>
      <w:r w:rsidRPr="00225D10">
        <w:t xml:space="preserve">Water availability is a concern both for maintaining environmental water supplies and for use by people and industry. </w:t>
      </w:r>
      <w:r w:rsidR="000E2D40" w:rsidRPr="00225D10">
        <w:rPr>
          <w:lang w:val="en-US"/>
        </w:rPr>
        <w:t xml:space="preserve">Water supply throughout the region will have a strong influence on the type of industries that can operate in both rural and urban areas, and on the </w:t>
      </w:r>
      <w:r w:rsidR="00865219" w:rsidRPr="00225D10">
        <w:rPr>
          <w:lang w:val="en-US"/>
        </w:rPr>
        <w:t xml:space="preserve">future </w:t>
      </w:r>
      <w:r w:rsidR="000E2D40" w:rsidRPr="00225D10">
        <w:rPr>
          <w:lang w:val="en-US"/>
        </w:rPr>
        <w:t>sustainability of settlements. Water supply to rural areas is changing as part of</w:t>
      </w:r>
      <w:r w:rsidR="008C5456">
        <w:rPr>
          <w:lang w:val="en-US"/>
        </w:rPr>
        <w:t xml:space="preserve"> water reform across the state </w:t>
      </w:r>
      <w:r w:rsidR="000E2D40" w:rsidRPr="00225D10">
        <w:rPr>
          <w:lang w:val="en-US"/>
        </w:rPr>
        <w:t>which should provide a more secure water future for the region for</w:t>
      </w:r>
      <w:r w:rsidR="001B459D">
        <w:rPr>
          <w:lang w:val="en-US"/>
        </w:rPr>
        <w:t xml:space="preserve"> the next 30 years and beyond.</w:t>
      </w:r>
    </w:p>
    <w:p w:rsidR="00211BD9" w:rsidRDefault="00DE56B4" w:rsidP="00D34F87">
      <w:pPr>
        <w:pStyle w:val="bt"/>
        <w:tabs>
          <w:tab w:val="left" w:pos="8931"/>
        </w:tabs>
      </w:pPr>
      <w:r w:rsidRPr="00225D10">
        <w:t>Structural adjustment to the agricultural industry, as a result of these and other drivers, may result in land use change as the industry adapts to changes in water availability and distribution.</w:t>
      </w:r>
    </w:p>
    <w:p w:rsidR="007A36F2" w:rsidRPr="00663F7F" w:rsidRDefault="007A36F2" w:rsidP="00D34F87">
      <w:pPr>
        <w:pStyle w:val="Heading2"/>
        <w:tabs>
          <w:tab w:val="left" w:pos="8931"/>
        </w:tabs>
        <w:rPr>
          <w:rFonts w:cs="Arial"/>
        </w:rPr>
      </w:pPr>
      <w:bookmarkStart w:id="214" w:name="_Toc374530891"/>
      <w:r w:rsidRPr="00663F7F">
        <w:rPr>
          <w:rFonts w:cs="Arial"/>
        </w:rPr>
        <w:t xml:space="preserve">Waste </w:t>
      </w:r>
      <w:r w:rsidR="00022524" w:rsidRPr="00663F7F">
        <w:rPr>
          <w:rFonts w:cs="Arial"/>
        </w:rPr>
        <w:t>m</w:t>
      </w:r>
      <w:r w:rsidRPr="00663F7F">
        <w:rPr>
          <w:rFonts w:cs="Arial"/>
        </w:rPr>
        <w:t>anagement</w:t>
      </w:r>
      <w:bookmarkEnd w:id="214"/>
    </w:p>
    <w:p w:rsidR="009059EA" w:rsidRPr="00225D10" w:rsidRDefault="009059EA" w:rsidP="00D34F87">
      <w:pPr>
        <w:pStyle w:val="bt"/>
        <w:tabs>
          <w:tab w:val="left" w:pos="8931"/>
        </w:tabs>
      </w:pPr>
      <w:r w:rsidRPr="00225D10">
        <w:t>Effective waste and resource recovery management is an essential service that protects environmental and public health. The Victorian waste management system includes waste generation, collection and transport, sorting and processing, recycling and reprocessing, export, re</w:t>
      </w:r>
      <w:r w:rsidR="001331AF" w:rsidRPr="00225D10">
        <w:t>-</w:t>
      </w:r>
      <w:r w:rsidRPr="00225D10">
        <w:t xml:space="preserve">use and disposal. The waste management system operates across all activities in the </w:t>
      </w:r>
      <w:r w:rsidR="00865219" w:rsidRPr="00225D10">
        <w:t xml:space="preserve">Loddon Mallee South </w:t>
      </w:r>
      <w:r w:rsidRPr="00225D10">
        <w:t>region</w:t>
      </w:r>
      <w:r w:rsidR="00977BFF">
        <w:t>,</w:t>
      </w:r>
      <w:r w:rsidRPr="00225D10">
        <w:t xml:space="preserve"> household or municipal, commercial and industrial, and construction and demolition.</w:t>
      </w:r>
    </w:p>
    <w:p w:rsidR="009059EA" w:rsidRPr="00225D10" w:rsidRDefault="009059EA" w:rsidP="00D34F87">
      <w:pPr>
        <w:pStyle w:val="bt"/>
        <w:tabs>
          <w:tab w:val="left" w:pos="8931"/>
        </w:tabs>
      </w:pPr>
      <w:r w:rsidRPr="00225D10">
        <w:t xml:space="preserve">The </w:t>
      </w:r>
      <w:r w:rsidR="007C5534">
        <w:t>state government</w:t>
      </w:r>
      <w:r w:rsidRPr="00225D10">
        <w:t xml:space="preserve"> is responsible for policy development and regulation around waste management, and for promoting environmental sustainability. Local </w:t>
      </w:r>
      <w:r w:rsidR="00865219" w:rsidRPr="00225D10">
        <w:t>g</w:t>
      </w:r>
      <w:r w:rsidRPr="00225D10">
        <w:t>overnments are responsible for providing waste collection, transport and reprocessing</w:t>
      </w:r>
      <w:r w:rsidR="00865219" w:rsidRPr="00225D10">
        <w:t>,</w:t>
      </w:r>
      <w:r w:rsidRPr="00225D10">
        <w:t xml:space="preserve"> or disposal to landfill services. Regional Waste Management Groups are responsible for planning and coordinating municipal solid waste for local governments within their regions, as well as helping them to reduce waste, maximise recovery and reduce environmental harm. </w:t>
      </w:r>
    </w:p>
    <w:p w:rsidR="00B25C9C" w:rsidRPr="00225D10" w:rsidRDefault="00B25C9C" w:rsidP="00D34F87">
      <w:pPr>
        <w:pStyle w:val="bt"/>
        <w:tabs>
          <w:tab w:val="left" w:pos="8931"/>
        </w:tabs>
      </w:pPr>
      <w:r w:rsidRPr="00225D10">
        <w:t xml:space="preserve">Victorian waste generation is expected to increase by around </w:t>
      </w:r>
      <w:r w:rsidR="008C5456">
        <w:t>four</w:t>
      </w:r>
      <w:r w:rsidR="00CE2E84">
        <w:t xml:space="preserve"> per cent</w:t>
      </w:r>
      <w:r w:rsidR="00CE2E84" w:rsidRPr="00225D10">
        <w:t xml:space="preserve"> </w:t>
      </w:r>
      <w:r w:rsidRPr="00225D10">
        <w:t xml:space="preserve">per year. The </w:t>
      </w:r>
      <w:r w:rsidR="00865219" w:rsidRPr="00225D10">
        <w:t xml:space="preserve">Loddon Mallee South </w:t>
      </w:r>
      <w:r w:rsidRPr="00225D10">
        <w:t>Regional Growth Plan consider</w:t>
      </w:r>
      <w:r w:rsidR="008C5456">
        <w:t>s</w:t>
      </w:r>
      <w:r w:rsidRPr="00225D10">
        <w:t xml:space="preserve"> how </w:t>
      </w:r>
      <w:r w:rsidR="00865219" w:rsidRPr="00225D10">
        <w:t xml:space="preserve">to </w:t>
      </w:r>
      <w:r w:rsidRPr="00225D10">
        <w:t xml:space="preserve">plan for and manage the waste associated with proposed population and economic growth. </w:t>
      </w:r>
      <w:r w:rsidR="008C5456">
        <w:t>T</w:t>
      </w:r>
      <w:r w:rsidRPr="00225D10">
        <w:t>he Victorian Waste and Resource Recovery Policy</w:t>
      </w:r>
      <w:r w:rsidRPr="00754B4F">
        <w:rPr>
          <w:rStyle w:val="FootnoteReference"/>
          <w:rFonts w:asciiTheme="minorHAnsi" w:hAnsiTheme="minorHAnsi" w:cs="Arial"/>
          <w:szCs w:val="20"/>
        </w:rPr>
        <w:footnoteReference w:id="34"/>
      </w:r>
      <w:r w:rsidR="00BB6CA8">
        <w:t xml:space="preserve"> (</w:t>
      </w:r>
      <w:r w:rsidR="002A2A25">
        <w:t>page 16</w:t>
      </w:r>
      <w:r w:rsidR="00BB6CA8">
        <w:t>)</w:t>
      </w:r>
      <w:r w:rsidR="002A2A25">
        <w:t xml:space="preserve"> </w:t>
      </w:r>
      <w:r w:rsidRPr="00225D10">
        <w:t>states:</w:t>
      </w:r>
    </w:p>
    <w:p w:rsidR="00D611F3" w:rsidRPr="00225D10" w:rsidRDefault="00B25C9C" w:rsidP="00D34F87">
      <w:pPr>
        <w:pStyle w:val="bt"/>
        <w:tabs>
          <w:tab w:val="left" w:pos="8931"/>
        </w:tabs>
      </w:pPr>
      <w:r w:rsidRPr="00225D10">
        <w:t>“</w:t>
      </w:r>
      <w:r w:rsidRPr="00932D62">
        <w:rPr>
          <w:i/>
        </w:rPr>
        <w:t>As our cities grow, securing land for our waste management facilities is a challenge. As population increases our waste generation increases and as we strive for world’s best practice environmental standards, finding and securing land for waste management facilities is likely to become even more difficult</w:t>
      </w:r>
      <w:r w:rsidR="002A2A25">
        <w:t xml:space="preserve">.” </w:t>
      </w:r>
    </w:p>
    <w:p w:rsidR="00977BFF" w:rsidRDefault="009059EA" w:rsidP="00D34F87">
      <w:pPr>
        <w:pStyle w:val="bt"/>
        <w:tabs>
          <w:tab w:val="left" w:pos="8931"/>
        </w:tabs>
      </w:pPr>
      <w:r w:rsidRPr="00225D10">
        <w:lastRenderedPageBreak/>
        <w:t xml:space="preserve">There are many existing and emerging </w:t>
      </w:r>
      <w:r w:rsidR="001331AF" w:rsidRPr="00225D10">
        <w:t xml:space="preserve">industries </w:t>
      </w:r>
      <w:r w:rsidRPr="00225D10">
        <w:t>in waste management, particularly in terms of recovery, re</w:t>
      </w:r>
      <w:r w:rsidR="001331AF" w:rsidRPr="00225D10">
        <w:t>-</w:t>
      </w:r>
      <w:r w:rsidRPr="00225D10">
        <w:t xml:space="preserve">use and recycling of waste. Energy generation from waste is an expanding industry in the state. There are also opportunities to promote </w:t>
      </w:r>
      <w:r w:rsidR="001331AF" w:rsidRPr="00225D10">
        <w:t xml:space="preserve">waste </w:t>
      </w:r>
      <w:r w:rsidRPr="00225D10">
        <w:t>recovery for use in other production processes, either as recycled waste for re-manufacturing or as new products created from recycled materials</w:t>
      </w:r>
      <w:r w:rsidR="00977BFF">
        <w:t xml:space="preserve">, </w:t>
      </w:r>
      <w:r w:rsidRPr="00225D10">
        <w:t xml:space="preserve">including generating energy from waste. </w:t>
      </w:r>
    </w:p>
    <w:p w:rsidR="009059EA" w:rsidRPr="00225D10" w:rsidRDefault="009059EA" w:rsidP="00D34F87">
      <w:pPr>
        <w:pStyle w:val="bt"/>
        <w:tabs>
          <w:tab w:val="left" w:pos="8931"/>
        </w:tabs>
      </w:pPr>
      <w:r w:rsidRPr="00225D10">
        <w:t>Promoting these opportunities would help reduce the amount of waste going to landfill.</w:t>
      </w:r>
      <w:r w:rsidR="00146692" w:rsidRPr="00225D10">
        <w:t xml:space="preserve"> There are opportunities to encourage and support investment in advanced technology that can convert waste into energy or fuel products in the region. Business and industry within the region should be supported in their efforts to realise the economic benefits of boosting resource productivity through waste recovery and re</w:t>
      </w:r>
      <w:r w:rsidR="001331AF" w:rsidRPr="00225D10">
        <w:t>-</w:t>
      </w:r>
      <w:r w:rsidR="00146692" w:rsidRPr="00225D10">
        <w:t>use, including the exchange of waste materials for re</w:t>
      </w:r>
      <w:r w:rsidR="001331AF" w:rsidRPr="00225D10">
        <w:t>-</w:t>
      </w:r>
      <w:r w:rsidR="00146692" w:rsidRPr="00225D10">
        <w:t>use and mutual benefit.</w:t>
      </w:r>
    </w:p>
    <w:p w:rsidR="00146692" w:rsidRPr="00225D10" w:rsidRDefault="00146692" w:rsidP="00D34F87">
      <w:pPr>
        <w:pStyle w:val="bt"/>
        <w:tabs>
          <w:tab w:val="left" w:pos="8931"/>
        </w:tabs>
      </w:pPr>
      <w:r w:rsidRPr="00225D10">
        <w:t xml:space="preserve">As towns expand, they often encroach on land that is </w:t>
      </w:r>
      <w:r w:rsidR="00865219" w:rsidRPr="00225D10">
        <w:t xml:space="preserve">close </w:t>
      </w:r>
      <w:r w:rsidRPr="00225D10">
        <w:t xml:space="preserve">to landfills. Conflicts </w:t>
      </w:r>
      <w:r w:rsidR="008C5456">
        <w:t xml:space="preserve">are common </w:t>
      </w:r>
      <w:r w:rsidRPr="00225D10">
        <w:t xml:space="preserve">between landfills and incompatible neighbouring land use, such as residential development. The </w:t>
      </w:r>
      <w:r w:rsidR="00977BFF">
        <w:t>r</w:t>
      </w:r>
      <w:r w:rsidRPr="00225D10">
        <w:t xml:space="preserve">egional </w:t>
      </w:r>
      <w:r w:rsidR="00977BFF">
        <w:t>g</w:t>
      </w:r>
      <w:r w:rsidR="00977BFF" w:rsidRPr="00225D10">
        <w:t xml:space="preserve">rowth </w:t>
      </w:r>
      <w:r w:rsidR="00977BFF">
        <w:t>p</w:t>
      </w:r>
      <w:r w:rsidR="00977BFF" w:rsidRPr="00225D10">
        <w:t xml:space="preserve">lan </w:t>
      </w:r>
      <w:r w:rsidRPr="00225D10">
        <w:t>can encourage future strategic land use planning of councils to include consideration of waste management</w:t>
      </w:r>
      <w:r w:rsidR="001331AF" w:rsidRPr="00225D10">
        <w:t xml:space="preserve"> such as </w:t>
      </w:r>
      <w:r w:rsidRPr="00225D10">
        <w:t>protecting buffer zones around these sites from incompatible development.</w:t>
      </w:r>
    </w:p>
    <w:p w:rsidR="00977BFF" w:rsidRDefault="00A936F0" w:rsidP="00D34F87">
      <w:pPr>
        <w:pStyle w:val="bt"/>
        <w:tabs>
          <w:tab w:val="left" w:pos="8931"/>
        </w:tabs>
      </w:pPr>
      <w:r w:rsidRPr="00225D10">
        <w:t>The majority of waste generated within the region is disposed of at sites outside the region. D</w:t>
      </w:r>
      <w:r w:rsidR="00DC348E" w:rsidRPr="00225D10">
        <w:t>isposal of waste</w:t>
      </w:r>
      <w:r w:rsidRPr="00225D10">
        <w:t xml:space="preserve"> from the Macedon Ranges Shire</w:t>
      </w:r>
      <w:r w:rsidR="00DC348E" w:rsidRPr="00225D10">
        <w:t xml:space="preserve"> is to the </w:t>
      </w:r>
      <w:r w:rsidRPr="00225D10">
        <w:t xml:space="preserve">Sunbury </w:t>
      </w:r>
      <w:r w:rsidR="001331AF" w:rsidRPr="00225D10">
        <w:t>l</w:t>
      </w:r>
      <w:r w:rsidRPr="00225D10">
        <w:t xml:space="preserve">andfill within the </w:t>
      </w:r>
      <w:r w:rsidR="00DC348E" w:rsidRPr="00225D10">
        <w:t>City of Hume</w:t>
      </w:r>
      <w:r w:rsidRPr="00225D10">
        <w:t xml:space="preserve"> </w:t>
      </w:r>
      <w:r w:rsidR="00DC348E" w:rsidRPr="00225D10">
        <w:t>and the Shire of Mount Alexander’s landfill at Castlemaine</w:t>
      </w:r>
      <w:r w:rsidR="00754B4F">
        <w:t>.</w:t>
      </w:r>
      <w:r w:rsidR="00DC348E" w:rsidRPr="00754B4F">
        <w:rPr>
          <w:rStyle w:val="FootnoteReference"/>
          <w:rFonts w:asciiTheme="minorHAnsi" w:hAnsiTheme="minorHAnsi" w:cs="Arial"/>
          <w:szCs w:val="20"/>
        </w:rPr>
        <w:footnoteReference w:id="35"/>
      </w:r>
      <w:r w:rsidR="00F343A3" w:rsidRPr="00754B4F">
        <w:rPr>
          <w:szCs w:val="20"/>
        </w:rPr>
        <w:t xml:space="preserve"> </w:t>
      </w:r>
      <w:r w:rsidR="00F343A3" w:rsidRPr="00225D10">
        <w:t xml:space="preserve">The Sunbury </w:t>
      </w:r>
      <w:r w:rsidR="001331AF" w:rsidRPr="00225D10">
        <w:t>l</w:t>
      </w:r>
      <w:r w:rsidR="00F343A3" w:rsidRPr="00225D10">
        <w:t>andfill has a limited remaining lifespan</w:t>
      </w:r>
      <w:r w:rsidR="00C84172" w:rsidRPr="00225D10">
        <w:t xml:space="preserve"> based on current filling rates, while the Castlemaine landfill is estimated to use all available airspace by 2020.</w:t>
      </w:r>
      <w:r w:rsidR="00C84172" w:rsidRPr="00754B4F">
        <w:rPr>
          <w:rStyle w:val="FootnoteReference"/>
          <w:rFonts w:asciiTheme="minorHAnsi" w:hAnsiTheme="minorHAnsi" w:cs="Arial"/>
          <w:szCs w:val="20"/>
        </w:rPr>
        <w:footnoteReference w:id="36"/>
      </w:r>
      <w:r w:rsidR="00C84172" w:rsidRPr="00225D10">
        <w:t xml:space="preserve">  </w:t>
      </w:r>
      <w:r w:rsidR="00F343A3" w:rsidRPr="00225D10">
        <w:t xml:space="preserve">Central Goldfields Shire </w:t>
      </w:r>
      <w:r w:rsidR="00C84172" w:rsidRPr="00225D10">
        <w:t>no longer operates landfills,</w:t>
      </w:r>
      <w:r w:rsidR="00F343A3" w:rsidRPr="00225D10">
        <w:t xml:space="preserve"> </w:t>
      </w:r>
      <w:r w:rsidR="00C84172" w:rsidRPr="00225D10">
        <w:t>with</w:t>
      </w:r>
      <w:r w:rsidR="00F343A3" w:rsidRPr="00225D10">
        <w:t xml:space="preserve"> all waste </w:t>
      </w:r>
      <w:r w:rsidR="00C84172" w:rsidRPr="00225D10">
        <w:t>being</w:t>
      </w:r>
      <w:r w:rsidR="00F343A3" w:rsidRPr="00225D10">
        <w:t xml:space="preserve"> transferred by road to either a recycling facility or landfill elsewhere. </w:t>
      </w:r>
    </w:p>
    <w:p w:rsidR="00C53AC1" w:rsidRPr="00225D10" w:rsidRDefault="00F343A3" w:rsidP="00D34F87">
      <w:pPr>
        <w:pStyle w:val="bt"/>
        <w:tabs>
          <w:tab w:val="left" w:pos="8931"/>
        </w:tabs>
      </w:pPr>
      <w:r w:rsidRPr="00225D10">
        <w:t>Currently most waste generated within Central Goldfields Shire is disposed of at the Stawell landfill</w:t>
      </w:r>
      <w:r w:rsidR="00C50132">
        <w:t xml:space="preserve"> in the Wimmera Southern Mallee region</w:t>
      </w:r>
      <w:r w:rsidRPr="00225D10">
        <w:t>. This may not be available in t</w:t>
      </w:r>
      <w:r w:rsidR="00C84172" w:rsidRPr="00225D10">
        <w:t xml:space="preserve">he medium to longer term future. </w:t>
      </w:r>
      <w:r w:rsidR="00E87DEE" w:rsidRPr="00225D10">
        <w:t xml:space="preserve">The </w:t>
      </w:r>
      <w:r w:rsidR="00C84172" w:rsidRPr="00225D10">
        <w:t xml:space="preserve">City of Greater Bendigo’s </w:t>
      </w:r>
      <w:r w:rsidR="00E87DEE" w:rsidRPr="00225D10">
        <w:t>main landfill at Eaglehawk is expected to reach full capacity within three to five years.</w:t>
      </w:r>
      <w:r w:rsidR="00C84172" w:rsidRPr="00225D10">
        <w:t xml:space="preserve"> There are no</w:t>
      </w:r>
      <w:r w:rsidR="00E87DEE" w:rsidRPr="00225D10">
        <w:t xml:space="preserve"> further sites approved to receive and dispose of the large amount of waste that is generated locally. To reduce pressure on the Eaglehawk landfill, over half of </w:t>
      </w:r>
      <w:r w:rsidR="00C84172" w:rsidRPr="00225D10">
        <w:t xml:space="preserve">Greater Bendigo’s </w:t>
      </w:r>
      <w:r w:rsidR="00E87DEE" w:rsidRPr="00225D10">
        <w:t xml:space="preserve">landfill waste </w:t>
      </w:r>
      <w:r w:rsidR="00C84172" w:rsidRPr="00225D10">
        <w:t xml:space="preserve">is sent </w:t>
      </w:r>
      <w:r w:rsidR="00E87DEE" w:rsidRPr="00225D10">
        <w:t xml:space="preserve">to sites located outside </w:t>
      </w:r>
      <w:r w:rsidR="00C84172" w:rsidRPr="00225D10">
        <w:t>the</w:t>
      </w:r>
      <w:r w:rsidR="00E87DEE" w:rsidRPr="00225D10">
        <w:t xml:space="preserve"> municipality</w:t>
      </w:r>
      <w:r w:rsidR="00C84172" w:rsidRPr="00225D10">
        <w:t>.</w:t>
      </w:r>
      <w:r w:rsidR="00A936F0" w:rsidRPr="00225D10">
        <w:rPr>
          <w:vertAlign w:val="superscript"/>
        </w:rPr>
        <w:footnoteReference w:id="37"/>
      </w:r>
      <w:r w:rsidR="00E87DEE" w:rsidRPr="00225D10">
        <w:rPr>
          <w:vertAlign w:val="superscript"/>
        </w:rPr>
        <w:t xml:space="preserve"> </w:t>
      </w:r>
      <w:r w:rsidR="00C84172" w:rsidRPr="00225D10">
        <w:t>The City of Greater Bendigo is currently developing a Waste and Resource Management Strategy.</w:t>
      </w:r>
    </w:p>
    <w:p w:rsidR="00FB02AA" w:rsidRPr="00663F7F" w:rsidRDefault="00EA3941" w:rsidP="00D34F87">
      <w:pPr>
        <w:pStyle w:val="Heading2"/>
        <w:tabs>
          <w:tab w:val="left" w:pos="8931"/>
        </w:tabs>
        <w:rPr>
          <w:rFonts w:cs="Arial"/>
        </w:rPr>
      </w:pPr>
      <w:bookmarkStart w:id="215" w:name="_Toc374530892"/>
      <w:r>
        <w:rPr>
          <w:rFonts w:cs="Arial"/>
        </w:rPr>
        <w:t>Wastewater m</w:t>
      </w:r>
      <w:r w:rsidR="008D37E7" w:rsidRPr="00663F7F">
        <w:rPr>
          <w:rFonts w:cs="Arial"/>
        </w:rPr>
        <w:t>anagement</w:t>
      </w:r>
      <w:bookmarkEnd w:id="215"/>
    </w:p>
    <w:p w:rsidR="00FB02AA" w:rsidRPr="00225D10" w:rsidRDefault="008D37E7" w:rsidP="00D34F87">
      <w:pPr>
        <w:pStyle w:val="bt"/>
        <w:tabs>
          <w:tab w:val="left" w:pos="8931"/>
        </w:tabs>
      </w:pPr>
      <w:r w:rsidRPr="00225D10">
        <w:t xml:space="preserve">Reticulated sewer is provided by urban </w:t>
      </w:r>
      <w:r w:rsidR="00932D62">
        <w:t>w</w:t>
      </w:r>
      <w:r w:rsidRPr="00225D10">
        <w:t xml:space="preserve">ater </w:t>
      </w:r>
      <w:r w:rsidR="00932D62">
        <w:t>c</w:t>
      </w:r>
      <w:r w:rsidRPr="00225D10">
        <w:t>orporations</w:t>
      </w:r>
      <w:r w:rsidR="00481B01" w:rsidRPr="00225D10">
        <w:t>. O</w:t>
      </w:r>
      <w:r w:rsidRPr="00225D10">
        <w:t xml:space="preserve">utside reticulated areas </w:t>
      </w:r>
      <w:r w:rsidR="00481B01" w:rsidRPr="00225D10">
        <w:t>councils are responsible</w:t>
      </w:r>
      <w:r w:rsidRPr="00225D10">
        <w:t xml:space="preserve"> for</w:t>
      </w:r>
      <w:r w:rsidR="00481B01" w:rsidRPr="00225D10">
        <w:t xml:space="preserve"> preparing</w:t>
      </w:r>
      <w:r w:rsidRPr="00225D10">
        <w:t xml:space="preserve"> on-site wastewater management and </w:t>
      </w:r>
      <w:r w:rsidR="00977BFF">
        <w:t>d</w:t>
      </w:r>
      <w:r w:rsidR="00977BFF" w:rsidRPr="00225D10">
        <w:t xml:space="preserve">omestic </w:t>
      </w:r>
      <w:r w:rsidR="00977BFF">
        <w:t>w</w:t>
      </w:r>
      <w:r w:rsidR="00977BFF" w:rsidRPr="00225D10">
        <w:t xml:space="preserve">astewater </w:t>
      </w:r>
      <w:r w:rsidR="00977BFF">
        <w:t>m</w:t>
      </w:r>
      <w:r w:rsidR="00977BFF" w:rsidRPr="00225D10">
        <w:t xml:space="preserve">anagement </w:t>
      </w:r>
      <w:r w:rsidR="00977BFF">
        <w:t>p</w:t>
      </w:r>
      <w:r w:rsidR="00977BFF" w:rsidRPr="00225D10">
        <w:t>lans</w:t>
      </w:r>
      <w:r w:rsidR="00977BFF">
        <w:t>.</w:t>
      </w:r>
      <w:r w:rsidR="00481B01" w:rsidRPr="00225D10">
        <w:t xml:space="preserve"> </w:t>
      </w:r>
      <w:r w:rsidRPr="00225D10">
        <w:t xml:space="preserve">The need for water corporation participation in </w:t>
      </w:r>
      <w:r w:rsidR="00977BFF">
        <w:t>d</w:t>
      </w:r>
      <w:r w:rsidR="00977BFF" w:rsidRPr="00225D10">
        <w:t xml:space="preserve">omestic </w:t>
      </w:r>
      <w:r w:rsidR="00977BFF">
        <w:t>w</w:t>
      </w:r>
      <w:r w:rsidR="00977BFF" w:rsidRPr="00225D10">
        <w:t xml:space="preserve">astewater </w:t>
      </w:r>
      <w:r w:rsidR="00977BFF">
        <w:t>m</w:t>
      </w:r>
      <w:r w:rsidR="00977BFF" w:rsidRPr="00225D10">
        <w:t xml:space="preserve">anagement </w:t>
      </w:r>
      <w:r w:rsidR="00977BFF">
        <w:t>p</w:t>
      </w:r>
      <w:r w:rsidR="00977BFF" w:rsidRPr="00225D10">
        <w:t>lans</w:t>
      </w:r>
      <w:r w:rsidRPr="00225D10">
        <w:t xml:space="preserve"> is apparent when sewerage is identified as the only option for wastewater treatment, however on-site treatment solutions</w:t>
      </w:r>
      <w:r w:rsidR="00481B01" w:rsidRPr="00225D10">
        <w:t xml:space="preserve"> must be given due consideration</w:t>
      </w:r>
      <w:r w:rsidRPr="00225D10">
        <w:t>. Peri-urban areas that have experienced significant growth without the provision of appropriate infrastructure</w:t>
      </w:r>
      <w:r w:rsidR="00481B01" w:rsidRPr="00225D10">
        <w:t>,</w:t>
      </w:r>
      <w:r w:rsidRPr="00225D10">
        <w:t xml:space="preserve"> and small isolated towns</w:t>
      </w:r>
      <w:r w:rsidR="00481B01" w:rsidRPr="00225D10">
        <w:t>,</w:t>
      </w:r>
      <w:r w:rsidRPr="00225D10">
        <w:t xml:space="preserve"> make up the bulk of these cases. </w:t>
      </w:r>
    </w:p>
    <w:p w:rsidR="00FB02AA" w:rsidRPr="00225D10" w:rsidRDefault="008D37E7" w:rsidP="00D34F87">
      <w:pPr>
        <w:pStyle w:val="bt"/>
        <w:tabs>
          <w:tab w:val="left" w:pos="8931"/>
        </w:tabs>
      </w:pPr>
      <w:r w:rsidRPr="00225D10">
        <w:t>Provision of reticulated sewerage is very reliant upon adequate density and flows which are not always available in Low Density Residential Zones. Provision of a form of reticulated sewerage system as an alternative to on</w:t>
      </w:r>
      <w:r w:rsidR="00481B01" w:rsidRPr="00225D10">
        <w:t>-</w:t>
      </w:r>
      <w:r w:rsidRPr="00225D10">
        <w:t>site wastewater disposal is not always a solution to catchment management concerns. Alternatives to reticulated sewer systems are always available</w:t>
      </w:r>
      <w:r w:rsidR="00481B01" w:rsidRPr="00225D10">
        <w:t>;</w:t>
      </w:r>
      <w:r w:rsidRPr="00225D10">
        <w:t xml:space="preserve"> however the business cases of the various systems</w:t>
      </w:r>
      <w:r w:rsidR="00114A56" w:rsidRPr="00225D10">
        <w:t>,</w:t>
      </w:r>
      <w:r w:rsidRPr="00225D10">
        <w:t xml:space="preserve"> including that of On</w:t>
      </w:r>
      <w:r w:rsidR="00481B01" w:rsidRPr="00225D10">
        <w:t>-</w:t>
      </w:r>
      <w:r w:rsidRPr="00225D10">
        <w:t>site Wastewater Management</w:t>
      </w:r>
      <w:r w:rsidR="00114A56" w:rsidRPr="00225D10">
        <w:t>,</w:t>
      </w:r>
      <w:r w:rsidRPr="00225D10">
        <w:t xml:space="preserve"> need to be evaluated and considered.</w:t>
      </w:r>
    </w:p>
    <w:p w:rsidR="00FB02AA" w:rsidRPr="00225D10" w:rsidRDefault="008D37E7" w:rsidP="00D34F87">
      <w:pPr>
        <w:pStyle w:val="bt"/>
        <w:tabs>
          <w:tab w:val="left" w:pos="8931"/>
        </w:tabs>
      </w:pPr>
      <w:r w:rsidRPr="00225D10">
        <w:t xml:space="preserve">Many rural towns that rely upon waterways as a source of drinking water do not have protection </w:t>
      </w:r>
      <w:r w:rsidR="00114A56" w:rsidRPr="00225D10">
        <w:t xml:space="preserve">under </w:t>
      </w:r>
      <w:r w:rsidR="00C50132">
        <w:t>legislated</w:t>
      </w:r>
      <w:r w:rsidRPr="00225D10">
        <w:t xml:space="preserve"> mechanisms such as </w:t>
      </w:r>
      <w:r w:rsidR="00977BFF">
        <w:t>d</w:t>
      </w:r>
      <w:r w:rsidR="00977BFF" w:rsidRPr="00225D10">
        <w:t xml:space="preserve">eclared </w:t>
      </w:r>
      <w:r w:rsidR="00977BFF">
        <w:t>w</w:t>
      </w:r>
      <w:r w:rsidR="00977BFF" w:rsidRPr="00225D10">
        <w:t xml:space="preserve">ater </w:t>
      </w:r>
      <w:r w:rsidR="00977BFF">
        <w:t>s</w:t>
      </w:r>
      <w:r w:rsidR="00977BFF" w:rsidRPr="00225D10">
        <w:t xml:space="preserve">upply </w:t>
      </w:r>
      <w:r w:rsidR="00977BFF">
        <w:t>c</w:t>
      </w:r>
      <w:r w:rsidR="00977BFF" w:rsidRPr="00225D10">
        <w:t>atchments</w:t>
      </w:r>
      <w:r w:rsidRPr="00225D10">
        <w:t>. This results in the raw water supply being vulnerable to impacts from excessive development density, inappropriate siting and poorly maintained on-site systems.</w:t>
      </w:r>
      <w:r w:rsidR="00C53AC1" w:rsidRPr="00225D10">
        <w:t xml:space="preserve"> </w:t>
      </w:r>
      <w:r w:rsidRPr="00225D10">
        <w:t xml:space="preserve">Significant improvements </w:t>
      </w:r>
      <w:r w:rsidR="00114A56" w:rsidRPr="00225D10">
        <w:t xml:space="preserve">are required </w:t>
      </w:r>
      <w:r w:rsidRPr="00225D10">
        <w:t xml:space="preserve">to council </w:t>
      </w:r>
      <w:r w:rsidR="00977BFF">
        <w:t>d</w:t>
      </w:r>
      <w:r w:rsidR="00977BFF" w:rsidRPr="00225D10">
        <w:t xml:space="preserve">omestic </w:t>
      </w:r>
      <w:r w:rsidR="00977BFF">
        <w:t>w</w:t>
      </w:r>
      <w:r w:rsidR="00977BFF" w:rsidRPr="00225D10">
        <w:t xml:space="preserve">astewater </w:t>
      </w:r>
      <w:r w:rsidR="00977BFF">
        <w:t>m</w:t>
      </w:r>
      <w:r w:rsidR="00977BFF" w:rsidRPr="00225D10">
        <w:t xml:space="preserve">anagement </w:t>
      </w:r>
      <w:r w:rsidR="00977BFF">
        <w:t>p</w:t>
      </w:r>
      <w:r w:rsidR="00977BFF" w:rsidRPr="00225D10">
        <w:t xml:space="preserve">lans </w:t>
      </w:r>
      <w:r w:rsidRPr="00225D10">
        <w:t xml:space="preserve">which formulate a business case for </w:t>
      </w:r>
      <w:r w:rsidRPr="00225D10">
        <w:lastRenderedPageBreak/>
        <w:t>upgrading</w:t>
      </w:r>
      <w:r w:rsidR="00C50132">
        <w:t xml:space="preserve">, </w:t>
      </w:r>
      <w:r w:rsidRPr="00225D10">
        <w:t>repairing, managing and levying on</w:t>
      </w:r>
      <w:r w:rsidR="00114A56" w:rsidRPr="00225D10">
        <w:t>-</w:t>
      </w:r>
      <w:r w:rsidRPr="00225D10">
        <w:t xml:space="preserve">site systems as compared </w:t>
      </w:r>
      <w:r w:rsidR="00114A56" w:rsidRPr="00225D10">
        <w:t xml:space="preserve">to </w:t>
      </w:r>
      <w:r w:rsidRPr="00225D10">
        <w:t>alternative options that typically involve implementing a reticulated sewerage scheme.</w:t>
      </w:r>
    </w:p>
    <w:p w:rsidR="00FB02AA" w:rsidRPr="00225D10" w:rsidRDefault="00114A56" w:rsidP="00D34F87">
      <w:pPr>
        <w:pStyle w:val="bt"/>
        <w:tabs>
          <w:tab w:val="left" w:pos="8931"/>
        </w:tabs>
      </w:pPr>
      <w:r w:rsidRPr="00225D10">
        <w:t>B</w:t>
      </w:r>
      <w:r w:rsidR="008D37E7" w:rsidRPr="00225D10">
        <w:t>usiness cases</w:t>
      </w:r>
      <w:r w:rsidRPr="00225D10">
        <w:t xml:space="preserve"> for wastewater management projects</w:t>
      </w:r>
      <w:r w:rsidR="008D37E7" w:rsidRPr="00225D10">
        <w:t xml:space="preserve"> </w:t>
      </w:r>
      <w:r w:rsidRPr="00225D10">
        <w:t>need to</w:t>
      </w:r>
      <w:r w:rsidR="008D37E7" w:rsidRPr="00225D10">
        <w:t xml:space="preserve"> be measured against growth predictions and contribute toward Municipal Strategic Statements and Local Planning Policy that are directing the future of a township.</w:t>
      </w:r>
    </w:p>
    <w:p w:rsidR="00FB02AA" w:rsidRPr="00225D10" w:rsidRDefault="00114A56" w:rsidP="00D34F87">
      <w:pPr>
        <w:pStyle w:val="bt"/>
        <w:tabs>
          <w:tab w:val="left" w:pos="8931"/>
        </w:tabs>
      </w:pPr>
      <w:r w:rsidRPr="00225D10">
        <w:t>Provision</w:t>
      </w:r>
      <w:r w:rsidR="008D37E7" w:rsidRPr="00225D10">
        <w:t xml:space="preserve"> for rural </w:t>
      </w:r>
      <w:r w:rsidRPr="00225D10">
        <w:t>living</w:t>
      </w:r>
      <w:r w:rsidR="008D37E7" w:rsidRPr="00225D10">
        <w:t xml:space="preserve"> must be approached cautiously in </w:t>
      </w:r>
      <w:r w:rsidR="00977BFF">
        <w:t>d</w:t>
      </w:r>
      <w:r w:rsidR="00977BFF" w:rsidRPr="00225D10">
        <w:t xml:space="preserve">eclared </w:t>
      </w:r>
      <w:r w:rsidR="00977BFF">
        <w:t>w</w:t>
      </w:r>
      <w:r w:rsidR="00977BFF" w:rsidRPr="00225D10">
        <w:t xml:space="preserve">ater </w:t>
      </w:r>
      <w:r w:rsidR="00977BFF">
        <w:t>s</w:t>
      </w:r>
      <w:r w:rsidR="00977BFF" w:rsidRPr="00225D10">
        <w:t xml:space="preserve">upply </w:t>
      </w:r>
      <w:r w:rsidR="00977BFF">
        <w:t>c</w:t>
      </w:r>
      <w:r w:rsidR="00977BFF" w:rsidRPr="00225D10">
        <w:t>atchments</w:t>
      </w:r>
      <w:r w:rsidR="008D37E7" w:rsidRPr="00225D10">
        <w:t xml:space="preserve"> to limit exc</w:t>
      </w:r>
      <w:r w:rsidR="00C50132">
        <w:t>eeding principal</w:t>
      </w:r>
      <w:r w:rsidR="008D37E7" w:rsidRPr="00225D10">
        <w:t xml:space="preserve"> thresholds of one dwelling per forty hectare</w:t>
      </w:r>
      <w:r w:rsidR="00C50132">
        <w:t>s</w:t>
      </w:r>
      <w:r w:rsidR="008D37E7" w:rsidRPr="00225D10">
        <w:t>, the ratio being established at a local scale.</w:t>
      </w:r>
    </w:p>
    <w:p w:rsidR="008C2B10" w:rsidRPr="00663F7F" w:rsidRDefault="008C2B10" w:rsidP="00D34F87">
      <w:pPr>
        <w:pStyle w:val="Heading2"/>
        <w:tabs>
          <w:tab w:val="left" w:pos="8931"/>
        </w:tabs>
        <w:rPr>
          <w:rFonts w:cs="Arial"/>
        </w:rPr>
      </w:pPr>
      <w:bookmarkStart w:id="216" w:name="_Toc374530893"/>
      <w:r w:rsidRPr="00663F7F">
        <w:rPr>
          <w:rFonts w:cs="Arial"/>
        </w:rPr>
        <w:t xml:space="preserve">Communications and </w:t>
      </w:r>
      <w:r w:rsidR="00FA0859">
        <w:rPr>
          <w:rFonts w:cs="Arial"/>
        </w:rPr>
        <w:t>information and communication technology</w:t>
      </w:r>
      <w:bookmarkEnd w:id="216"/>
    </w:p>
    <w:p w:rsidR="008C2B10" w:rsidRPr="00225D10" w:rsidRDefault="008C2B10" w:rsidP="00D34F87">
      <w:pPr>
        <w:pStyle w:val="bt"/>
        <w:tabs>
          <w:tab w:val="left" w:pos="8931"/>
        </w:tabs>
      </w:pPr>
      <w:r w:rsidRPr="00225D10">
        <w:t xml:space="preserve">There are significant gaps in </w:t>
      </w:r>
      <w:r w:rsidR="001331AF" w:rsidRPr="00225D10">
        <w:t xml:space="preserve">the </w:t>
      </w:r>
      <w:r w:rsidRPr="00225D10">
        <w:t>telecommunications infrastructure</w:t>
      </w:r>
      <w:r w:rsidR="001331AF" w:rsidRPr="00225D10">
        <w:t xml:space="preserve"> of the Loddon Mallee South region</w:t>
      </w:r>
      <w:r w:rsidRPr="00225D10">
        <w:t xml:space="preserve">. Region-wide mobile phone coverage and high speed broadband access are critical to providing access to a wide range of services, including healthcare, education, finance, training and retail services. </w:t>
      </w:r>
      <w:r w:rsidR="001331AF" w:rsidRPr="00225D10">
        <w:t xml:space="preserve">These services are </w:t>
      </w:r>
      <w:r w:rsidRPr="00225D10">
        <w:t>also required for business growth and as a key means of maintaining social connections and reducing social disadvantage.</w:t>
      </w:r>
    </w:p>
    <w:p w:rsidR="008C2B10" w:rsidRPr="00225D10" w:rsidRDefault="008C2B10" w:rsidP="00D34F87">
      <w:pPr>
        <w:pStyle w:val="bt"/>
        <w:tabs>
          <w:tab w:val="left" w:pos="8931"/>
        </w:tabs>
      </w:pPr>
      <w:bookmarkStart w:id="217" w:name="_Toc323111589"/>
      <w:bookmarkStart w:id="218" w:name="_Toc306715481"/>
      <w:bookmarkStart w:id="219" w:name="_Toc305156898"/>
      <w:r w:rsidRPr="00225D10">
        <w:t xml:space="preserve">The development of the </w:t>
      </w:r>
      <w:r w:rsidR="00977BFF">
        <w:t>National Broadband Network</w:t>
      </w:r>
      <w:r w:rsidR="00977BFF" w:rsidRPr="00225D10">
        <w:t xml:space="preserve"> </w:t>
      </w:r>
      <w:r w:rsidRPr="00225D10">
        <w:t xml:space="preserve">is likely to make possible new and improved ways of connecting with one another, regardless of geography, from business and lifestyle to medical and education purposes. </w:t>
      </w:r>
      <w:r w:rsidR="00162534">
        <w:fldChar w:fldCharType="begin"/>
      </w:r>
      <w:r w:rsidR="00C50132">
        <w:instrText xml:space="preserve"> REF _Ref372890309 \h </w:instrText>
      </w:r>
      <w:r w:rsidR="00162534">
        <w:fldChar w:fldCharType="separate"/>
      </w:r>
      <w:r w:rsidR="00EF1401" w:rsidRPr="00225D10">
        <w:t xml:space="preserve">Figure </w:t>
      </w:r>
      <w:r w:rsidR="00EF1401">
        <w:rPr>
          <w:noProof/>
        </w:rPr>
        <w:t>40</w:t>
      </w:r>
      <w:r w:rsidR="00162534">
        <w:fldChar w:fldCharType="end"/>
      </w:r>
      <w:r w:rsidR="00C50132">
        <w:t xml:space="preserve"> shows the </w:t>
      </w:r>
      <w:r w:rsidR="00893C2B">
        <w:t>proposed</w:t>
      </w:r>
      <w:r w:rsidR="00C50132">
        <w:t xml:space="preserve"> National Broadband Network in the region.</w:t>
      </w:r>
    </w:p>
    <w:p w:rsidR="001B459D" w:rsidRDefault="008C2B10" w:rsidP="00D34F87">
      <w:pPr>
        <w:pStyle w:val="bt"/>
        <w:tabs>
          <w:tab w:val="left" w:pos="8931"/>
        </w:tabs>
      </w:pPr>
      <w:r w:rsidRPr="00225D10">
        <w:t xml:space="preserve">Access to superfast broadband will give businesses the opportunity to increase productivity, save time and money and to compete on a global scale. It </w:t>
      </w:r>
      <w:r w:rsidR="001331AF" w:rsidRPr="00225D10">
        <w:t xml:space="preserve">will also </w:t>
      </w:r>
      <w:r w:rsidRPr="00225D10">
        <w:t>increase opportunities for people to access services and products outside the region, potentially impacting on the economy. This impact may need to be considere</w:t>
      </w:r>
      <w:r w:rsidR="00211BD9">
        <w:t>d.</w:t>
      </w:r>
    </w:p>
    <w:p w:rsidR="00E53352" w:rsidRPr="00663F7F" w:rsidRDefault="008C2B10" w:rsidP="00D34F87">
      <w:pPr>
        <w:pStyle w:val="Heading2"/>
        <w:tabs>
          <w:tab w:val="left" w:pos="8931"/>
        </w:tabs>
        <w:rPr>
          <w:rFonts w:cs="Arial"/>
        </w:rPr>
      </w:pPr>
      <w:bookmarkStart w:id="220" w:name="_Toc374530894"/>
      <w:bookmarkEnd w:id="217"/>
      <w:bookmarkEnd w:id="218"/>
      <w:bookmarkEnd w:id="219"/>
      <w:r w:rsidRPr="00663F7F">
        <w:rPr>
          <w:rFonts w:cs="Arial"/>
        </w:rPr>
        <w:t>Energy</w:t>
      </w:r>
      <w:bookmarkEnd w:id="220"/>
      <w:r w:rsidR="00CB7E63" w:rsidRPr="00663F7F">
        <w:rPr>
          <w:rFonts w:cs="Arial"/>
        </w:rPr>
        <w:t xml:space="preserve"> </w:t>
      </w:r>
    </w:p>
    <w:p w:rsidR="008C2B10" w:rsidRPr="00225D10" w:rsidRDefault="008C2B10" w:rsidP="00D34F87">
      <w:pPr>
        <w:pStyle w:val="bt"/>
        <w:tabs>
          <w:tab w:val="left" w:pos="8931"/>
        </w:tabs>
      </w:pPr>
      <w:r w:rsidRPr="00225D10">
        <w:t>Regional electricity and gas transmission networks connect</w:t>
      </w:r>
      <w:r w:rsidR="00977BFF">
        <w:t xml:space="preserve"> the</w:t>
      </w:r>
      <w:r w:rsidRPr="00225D10">
        <w:t xml:space="preserve"> </w:t>
      </w:r>
      <w:r w:rsidR="001331AF" w:rsidRPr="00225D10">
        <w:t>Loddon Mallee South</w:t>
      </w:r>
      <w:r w:rsidR="00977BFF">
        <w:t xml:space="preserve"> region</w:t>
      </w:r>
      <w:r w:rsidR="001331AF" w:rsidRPr="00225D10">
        <w:t xml:space="preserve"> </w:t>
      </w:r>
      <w:r w:rsidRPr="00225D10">
        <w:t>to the national electricity grid and gas produced from the Bass Strait fields. Bendigo, Castlemaine, Gisborne, Kyneton, Maryborough and Woodend have access to natural gas. Other towns which have been identified for future gas rollout include Heathcote, Marong, Maldon and Huntly.</w:t>
      </w:r>
    </w:p>
    <w:p w:rsidR="00371EFF" w:rsidRDefault="008C2B10" w:rsidP="00D34F87">
      <w:pPr>
        <w:pStyle w:val="bt"/>
        <w:tabs>
          <w:tab w:val="left" w:pos="8931"/>
        </w:tabs>
      </w:pPr>
      <w:r w:rsidRPr="00225D10">
        <w:t xml:space="preserve">The existing power network is adequate to serve the growth of towns. The opportunities for alternative sources of energy generation are </w:t>
      </w:r>
      <w:r w:rsidR="001331AF" w:rsidRPr="00225D10">
        <w:t xml:space="preserve">starting </w:t>
      </w:r>
      <w:r w:rsidRPr="00225D10">
        <w:t>to be recognised by communities, and in government policy and strategies. The region is well resourced in alternative energy sources, particularly solar and bioenergy. Large</w:t>
      </w:r>
      <w:r w:rsidR="008562D4" w:rsidRPr="00225D10">
        <w:t>-</w:t>
      </w:r>
      <w:r w:rsidRPr="00225D10">
        <w:t xml:space="preserve">scale alternative energy production occurs outside </w:t>
      </w:r>
      <w:r w:rsidR="00C50132">
        <w:t>the region’s</w:t>
      </w:r>
      <w:r w:rsidRPr="00225D10">
        <w:t xml:space="preserve"> urban centres, in rural areas. Many </w:t>
      </w:r>
      <w:r w:rsidR="00737DC1" w:rsidRPr="00225D10">
        <w:t xml:space="preserve">of these </w:t>
      </w:r>
      <w:r w:rsidRPr="00225D10">
        <w:t xml:space="preserve">technologies </w:t>
      </w:r>
      <w:r w:rsidR="00737DC1" w:rsidRPr="00225D10">
        <w:t xml:space="preserve">are </w:t>
      </w:r>
      <w:r w:rsidR="00616E12">
        <w:t>comple</w:t>
      </w:r>
      <w:r w:rsidRPr="00225D10">
        <w:t xml:space="preserve">mentary to farming activities. As well as offering green energy and benefiting the environment, alternative energy </w:t>
      </w:r>
      <w:r w:rsidR="00737DC1" w:rsidRPr="00225D10">
        <w:t xml:space="preserve">provides </w:t>
      </w:r>
      <w:r w:rsidRPr="00225D10">
        <w:t>another potential income source for farmers</w:t>
      </w:r>
      <w:r w:rsidR="005776EC" w:rsidRPr="00225D10">
        <w:t>.</w:t>
      </w:r>
    </w:p>
    <w:p w:rsidR="00C32B06" w:rsidRDefault="00162534" w:rsidP="00D34F87">
      <w:pPr>
        <w:pStyle w:val="bt"/>
        <w:tabs>
          <w:tab w:val="left" w:pos="8931"/>
        </w:tabs>
      </w:pPr>
      <w:r>
        <w:fldChar w:fldCharType="begin"/>
      </w:r>
      <w:r w:rsidR="00C50132">
        <w:instrText xml:space="preserve"> REF _Ref372890394 \h </w:instrText>
      </w:r>
      <w:r>
        <w:fldChar w:fldCharType="separate"/>
      </w:r>
      <w:r w:rsidR="00EF1401" w:rsidRPr="001B459D">
        <w:t xml:space="preserve">Figure </w:t>
      </w:r>
      <w:r w:rsidR="00EF1401">
        <w:rPr>
          <w:noProof/>
        </w:rPr>
        <w:t>41</w:t>
      </w:r>
      <w:r>
        <w:fldChar w:fldCharType="end"/>
      </w:r>
      <w:r w:rsidR="00C50132">
        <w:t xml:space="preserve"> shows the location of key utility installations in the Loddon Mallee South region.</w:t>
      </w:r>
    </w:p>
    <w:p w:rsidR="00371EFF" w:rsidRDefault="00C32B06" w:rsidP="00D34F87">
      <w:pPr>
        <w:pStyle w:val="Caption"/>
        <w:tabs>
          <w:tab w:val="left" w:pos="8931"/>
        </w:tabs>
      </w:pPr>
      <w:bookmarkStart w:id="221" w:name="_Ref372890309"/>
      <w:r>
        <w:rPr>
          <w:noProof/>
        </w:rPr>
        <w:lastRenderedPageBreak/>
        <w:drawing>
          <wp:anchor distT="0" distB="0" distL="114300" distR="114300" simplePos="0" relativeHeight="251679744" behindDoc="0" locked="0" layoutInCell="1" allowOverlap="1">
            <wp:simplePos x="0" y="0"/>
            <wp:positionH relativeFrom="column">
              <wp:posOffset>45720</wp:posOffset>
            </wp:positionH>
            <wp:positionV relativeFrom="paragraph">
              <wp:posOffset>339725</wp:posOffset>
            </wp:positionV>
            <wp:extent cx="6048375" cy="8216900"/>
            <wp:effectExtent l="19050" t="0" r="9525" b="0"/>
            <wp:wrapTopAndBottom/>
            <wp:docPr id="43" name="Picture 4" descr="Map showing NBN Loddon coverage including Regional Growth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w78\Desktop\TST-Loddon Mallee NBN Coverage Map A3 4Oct2011.jpg"/>
                    <pic:cNvPicPr>
                      <a:picLocks noChangeAspect="1" noChangeArrowheads="1"/>
                    </pic:cNvPicPr>
                  </pic:nvPicPr>
                  <pic:blipFill>
                    <a:blip r:embed="rId48" cstate="email"/>
                    <a:srcRect/>
                    <a:stretch>
                      <a:fillRect/>
                    </a:stretch>
                  </pic:blipFill>
                  <pic:spPr bwMode="auto">
                    <a:xfrm>
                      <a:off x="0" y="0"/>
                      <a:ext cx="6048375" cy="8216900"/>
                    </a:xfrm>
                    <a:prstGeom prst="rect">
                      <a:avLst/>
                    </a:prstGeom>
                    <a:noFill/>
                    <a:ln w="9525">
                      <a:noFill/>
                      <a:miter lim="800000"/>
                      <a:headEnd/>
                      <a:tailEnd/>
                    </a:ln>
                  </pic:spPr>
                </pic:pic>
              </a:graphicData>
            </a:graphic>
          </wp:anchor>
        </w:drawing>
      </w:r>
      <w:bookmarkStart w:id="222" w:name="_Toc374530835"/>
      <w:r w:rsidR="005776EC" w:rsidRPr="00225D10">
        <w:t xml:space="preserve">Figure </w:t>
      </w:r>
      <w:r w:rsidR="00162534">
        <w:fldChar w:fldCharType="begin"/>
      </w:r>
      <w:r w:rsidR="00154847">
        <w:instrText xml:space="preserve"> SEQ Figure \* ARABIC </w:instrText>
      </w:r>
      <w:r w:rsidR="00162534">
        <w:fldChar w:fldCharType="separate"/>
      </w:r>
      <w:r w:rsidR="00EF1401">
        <w:rPr>
          <w:noProof/>
        </w:rPr>
        <w:t>40</w:t>
      </w:r>
      <w:r w:rsidR="00162534">
        <w:fldChar w:fldCharType="end"/>
      </w:r>
      <w:bookmarkEnd w:id="221"/>
      <w:r w:rsidR="00377F5C">
        <w:t xml:space="preserve">: </w:t>
      </w:r>
      <w:r w:rsidR="005776EC" w:rsidRPr="00225D10">
        <w:t>NBN Loddon coverage</w:t>
      </w:r>
      <w:bookmarkEnd w:id="222"/>
    </w:p>
    <w:p w:rsidR="00FE1A3E" w:rsidRDefault="00C73CC6" w:rsidP="00D34F87">
      <w:pPr>
        <w:pStyle w:val="Source"/>
        <w:tabs>
          <w:tab w:val="left" w:pos="8931"/>
        </w:tabs>
        <w:sectPr w:rsidR="00FE1A3E" w:rsidSect="002C1145">
          <w:pgSz w:w="11907" w:h="16839" w:code="9"/>
          <w:pgMar w:top="425" w:right="851" w:bottom="993" w:left="1077" w:header="709" w:footer="709" w:gutter="0"/>
          <w:cols w:space="720"/>
          <w:docGrid w:linePitch="360"/>
        </w:sectPr>
      </w:pPr>
      <w:r>
        <w:t>Source: National Broadband Network Company</w:t>
      </w:r>
    </w:p>
    <w:p w:rsidR="001E6C39" w:rsidRPr="001B459D" w:rsidRDefault="000E68C0" w:rsidP="001B459D">
      <w:pPr>
        <w:pStyle w:val="Caption"/>
      </w:pPr>
      <w:bookmarkStart w:id="223" w:name="_Ref372890394"/>
      <w:bookmarkStart w:id="224" w:name="_Toc352171566"/>
      <w:r w:rsidRPr="001B459D">
        <w:rPr>
          <w:noProof/>
        </w:rPr>
        <w:lastRenderedPageBreak/>
        <w:drawing>
          <wp:anchor distT="0" distB="0" distL="114300" distR="114300" simplePos="0" relativeHeight="251680768" behindDoc="0" locked="0" layoutInCell="1" allowOverlap="1">
            <wp:simplePos x="0" y="0"/>
            <wp:positionH relativeFrom="column">
              <wp:posOffset>-78105</wp:posOffset>
            </wp:positionH>
            <wp:positionV relativeFrom="paragraph">
              <wp:posOffset>454025</wp:posOffset>
            </wp:positionV>
            <wp:extent cx="7359015" cy="5207000"/>
            <wp:effectExtent l="19050" t="0" r="0" b="0"/>
            <wp:wrapTopAndBottom/>
            <wp:docPr id="54" name="Picture 3" descr="Map showing Loddon Mallee South ut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w78\Desktop\LMS Utilities Map-16Feb2012.jpg"/>
                    <pic:cNvPicPr>
                      <a:picLocks noChangeAspect="1" noChangeArrowheads="1"/>
                    </pic:cNvPicPr>
                  </pic:nvPicPr>
                  <pic:blipFill>
                    <a:blip r:embed="rId49" cstate="email"/>
                    <a:srcRect/>
                    <a:stretch>
                      <a:fillRect/>
                    </a:stretch>
                  </pic:blipFill>
                  <pic:spPr bwMode="auto">
                    <a:xfrm>
                      <a:off x="0" y="0"/>
                      <a:ext cx="7359015" cy="5207000"/>
                    </a:xfrm>
                    <a:prstGeom prst="rect">
                      <a:avLst/>
                    </a:prstGeom>
                    <a:noFill/>
                    <a:ln w="9525">
                      <a:noFill/>
                      <a:miter lim="800000"/>
                      <a:headEnd/>
                      <a:tailEnd/>
                    </a:ln>
                  </pic:spPr>
                </pic:pic>
              </a:graphicData>
            </a:graphic>
          </wp:anchor>
        </w:drawing>
      </w:r>
      <w:bookmarkStart w:id="225" w:name="_Toc374530836"/>
      <w:r w:rsidR="000B75EA" w:rsidRPr="001B459D">
        <w:t xml:space="preserve">Figure </w:t>
      </w:r>
      <w:r w:rsidR="00680EEE">
        <w:fldChar w:fldCharType="begin"/>
      </w:r>
      <w:r w:rsidR="00680EEE">
        <w:instrText xml:space="preserve"> SEQ Figure \* ARABIC </w:instrText>
      </w:r>
      <w:r w:rsidR="00680EEE">
        <w:fldChar w:fldCharType="separate"/>
      </w:r>
      <w:r w:rsidR="00EF1401">
        <w:rPr>
          <w:noProof/>
        </w:rPr>
        <w:t>41</w:t>
      </w:r>
      <w:r w:rsidR="00680EEE">
        <w:rPr>
          <w:noProof/>
        </w:rPr>
        <w:fldChar w:fldCharType="end"/>
      </w:r>
      <w:bookmarkEnd w:id="223"/>
      <w:r w:rsidR="00377F5C" w:rsidRPr="001B459D">
        <w:t xml:space="preserve">: </w:t>
      </w:r>
      <w:r w:rsidR="000B75EA" w:rsidRPr="001B459D">
        <w:t>Loddon Mallee South utilities</w:t>
      </w:r>
      <w:bookmarkEnd w:id="224"/>
      <w:bookmarkEnd w:id="225"/>
    </w:p>
    <w:p w:rsidR="00FE1A3E" w:rsidRDefault="00C73CC6" w:rsidP="00D34F87">
      <w:pPr>
        <w:pStyle w:val="Source"/>
        <w:tabs>
          <w:tab w:val="left" w:pos="8931"/>
        </w:tabs>
        <w:sectPr w:rsidR="00FE1A3E" w:rsidSect="00FE1A3E">
          <w:pgSz w:w="16839" w:h="11907" w:orient="landscape" w:code="9"/>
          <w:pgMar w:top="1077" w:right="425" w:bottom="993" w:left="993" w:header="709" w:footer="709" w:gutter="0"/>
          <w:cols w:space="720"/>
          <w:docGrid w:linePitch="360"/>
        </w:sectPr>
      </w:pPr>
      <w:r>
        <w:t>Source: Department of Transport, Planning and Local Infrastructure</w:t>
      </w:r>
    </w:p>
    <w:p w:rsidR="00CA582A" w:rsidRPr="00663F7F" w:rsidRDefault="00014032" w:rsidP="00D34F87">
      <w:pPr>
        <w:pStyle w:val="Heading1"/>
        <w:tabs>
          <w:tab w:val="left" w:pos="8931"/>
        </w:tabs>
      </w:pPr>
      <w:bookmarkStart w:id="226" w:name="_Toc374530895"/>
      <w:r w:rsidRPr="00663F7F">
        <w:lastRenderedPageBreak/>
        <w:t xml:space="preserve">Developing the </w:t>
      </w:r>
      <w:r w:rsidR="007C5534">
        <w:t>regional growth plan</w:t>
      </w:r>
      <w:bookmarkEnd w:id="226"/>
    </w:p>
    <w:p w:rsidR="002E1861" w:rsidRPr="00663F7F" w:rsidRDefault="00CE2166" w:rsidP="00D34F87">
      <w:pPr>
        <w:pStyle w:val="Heading2"/>
        <w:tabs>
          <w:tab w:val="left" w:pos="8931"/>
        </w:tabs>
        <w:rPr>
          <w:rFonts w:cs="Arial"/>
        </w:rPr>
      </w:pPr>
      <w:bookmarkStart w:id="227" w:name="_Toc374530896"/>
      <w:r w:rsidRPr="00663F7F">
        <w:rPr>
          <w:rFonts w:cs="Arial"/>
        </w:rPr>
        <w:t xml:space="preserve">Planning </w:t>
      </w:r>
      <w:r w:rsidR="00411FF4" w:rsidRPr="00663F7F">
        <w:rPr>
          <w:rFonts w:cs="Arial"/>
        </w:rPr>
        <w:t>c</w:t>
      </w:r>
      <w:r w:rsidRPr="00663F7F">
        <w:rPr>
          <w:rFonts w:cs="Arial"/>
        </w:rPr>
        <w:t>onsiderations</w:t>
      </w:r>
      <w:bookmarkEnd w:id="227"/>
    </w:p>
    <w:p w:rsidR="002B475A" w:rsidRPr="00225D10" w:rsidRDefault="00680EEE" w:rsidP="00D34F87">
      <w:pPr>
        <w:pStyle w:val="bt"/>
        <w:tabs>
          <w:tab w:val="left" w:pos="8931"/>
        </w:tabs>
      </w:pPr>
      <w:r>
        <w:fldChar w:fldCharType="begin"/>
      </w:r>
      <w:r>
        <w:instrText xml:space="preserve"> REF _Ref366060598 \h  \* MERGEFORMAT </w:instrText>
      </w:r>
      <w:r>
        <w:fldChar w:fldCharType="separate"/>
      </w:r>
      <w:r w:rsidR="00EF1401">
        <w:t xml:space="preserve">Figure </w:t>
      </w:r>
      <w:r w:rsidR="00EF1401">
        <w:rPr>
          <w:noProof/>
        </w:rPr>
        <w:t>42</w:t>
      </w:r>
      <w:r>
        <w:fldChar w:fldCharType="end"/>
      </w:r>
      <w:r w:rsidR="00616E12">
        <w:t xml:space="preserve"> </w:t>
      </w:r>
      <w:r w:rsidR="002B475A" w:rsidRPr="00225D10">
        <w:t xml:space="preserve">was produced to </w:t>
      </w:r>
      <w:r w:rsidR="00445164">
        <w:t>provide a broad</w:t>
      </w:r>
      <w:r w:rsidR="002B475A" w:rsidRPr="00225D10">
        <w:t xml:space="preserve"> indication of areas within the </w:t>
      </w:r>
      <w:r w:rsidR="00737DC1" w:rsidRPr="00225D10">
        <w:t xml:space="preserve">Loddon Mallee South </w:t>
      </w:r>
      <w:r w:rsidR="002B475A" w:rsidRPr="00225D10">
        <w:t xml:space="preserve">region that are relatively unconstrained for future </w:t>
      </w:r>
      <w:r w:rsidR="00C50132">
        <w:t xml:space="preserve">urban </w:t>
      </w:r>
      <w:r w:rsidR="002B475A" w:rsidRPr="00225D10">
        <w:t xml:space="preserve">growth and those areas </w:t>
      </w:r>
      <w:r w:rsidR="00737DC1" w:rsidRPr="00225D10">
        <w:t xml:space="preserve">that </w:t>
      </w:r>
      <w:r w:rsidR="00C5168D">
        <w:t>require more detailed planning consideration due to the</w:t>
      </w:r>
      <w:r w:rsidR="00A75929" w:rsidRPr="00225D10">
        <w:t xml:space="preserve"> constraints</w:t>
      </w:r>
      <w:r w:rsidR="00737DC1" w:rsidRPr="00225D10">
        <w:t xml:space="preserve">, </w:t>
      </w:r>
      <w:r w:rsidR="00CE2166" w:rsidRPr="00225D10">
        <w:t>environmental assets and natural hazards in those areas</w:t>
      </w:r>
      <w:r w:rsidR="00A75929" w:rsidRPr="00225D10">
        <w:t xml:space="preserve">. These </w:t>
      </w:r>
      <w:r w:rsidR="00940AA5" w:rsidRPr="00225D10">
        <w:t>in turn</w:t>
      </w:r>
      <w:r w:rsidR="00A75929" w:rsidRPr="00225D10">
        <w:t>, have</w:t>
      </w:r>
      <w:r w:rsidR="00940AA5" w:rsidRPr="00225D10">
        <w:t xml:space="preserve"> informed the development of Future Settlement Growth Directions.</w:t>
      </w:r>
    </w:p>
    <w:p w:rsidR="00CF420A" w:rsidRDefault="008D37E7" w:rsidP="00D34F87">
      <w:pPr>
        <w:pStyle w:val="bt"/>
        <w:tabs>
          <w:tab w:val="left" w:pos="8931"/>
        </w:tabs>
      </w:pPr>
      <w:r w:rsidRPr="00387F09">
        <w:rPr>
          <w:rStyle w:val="Strong"/>
        </w:rPr>
        <w:t>Significant Planning Considerations</w:t>
      </w:r>
      <w:r w:rsidR="00772D25" w:rsidRPr="00225D10">
        <w:t xml:space="preserve"> are those areas which </w:t>
      </w:r>
      <w:r w:rsidR="00C5168D">
        <w:t>require detailed planning consideration and must consider protection of assets in planning decisions</w:t>
      </w:r>
      <w:r w:rsidR="00CF420A">
        <w:t>.</w:t>
      </w:r>
    </w:p>
    <w:p w:rsidR="002638C4" w:rsidRDefault="00CF420A" w:rsidP="00D34F87">
      <w:pPr>
        <w:pStyle w:val="bt"/>
        <w:tabs>
          <w:tab w:val="left" w:pos="8931"/>
        </w:tabs>
      </w:pPr>
      <w:r>
        <w:t>These areas</w:t>
      </w:r>
      <w:r w:rsidR="00630207" w:rsidRPr="00225D10">
        <w:t xml:space="preserve"> include:</w:t>
      </w:r>
    </w:p>
    <w:p w:rsidR="002638C4" w:rsidRDefault="00CE2166" w:rsidP="00D34F87">
      <w:pPr>
        <w:pStyle w:val="ListParagraphSummary"/>
        <w:tabs>
          <w:tab w:val="left" w:pos="8931"/>
        </w:tabs>
      </w:pPr>
      <w:r w:rsidRPr="00225D10">
        <w:t xml:space="preserve">Parks and </w:t>
      </w:r>
      <w:r w:rsidR="00737DC1" w:rsidRPr="00225D10">
        <w:t>c</w:t>
      </w:r>
      <w:r w:rsidRPr="00225D10">
        <w:t xml:space="preserve">onservation </w:t>
      </w:r>
      <w:r w:rsidR="00737DC1" w:rsidRPr="00225D10">
        <w:t>r</w:t>
      </w:r>
      <w:r w:rsidRPr="00225D10">
        <w:t>eserves</w:t>
      </w:r>
    </w:p>
    <w:p w:rsidR="00630207" w:rsidRPr="00225D10" w:rsidRDefault="00CE2166" w:rsidP="00D34F87">
      <w:pPr>
        <w:pStyle w:val="ListParagraphSummary"/>
        <w:tabs>
          <w:tab w:val="left" w:pos="8931"/>
        </w:tabs>
      </w:pPr>
      <w:r w:rsidRPr="00225D10">
        <w:t>Ramsar wetlands</w:t>
      </w:r>
    </w:p>
    <w:p w:rsidR="00CE2166" w:rsidRPr="00225D10" w:rsidRDefault="00C50132" w:rsidP="00D34F87">
      <w:pPr>
        <w:pStyle w:val="ListParagraphSummary"/>
        <w:tabs>
          <w:tab w:val="left" w:pos="8931"/>
        </w:tabs>
      </w:pPr>
      <w:r>
        <w:t xml:space="preserve">Sites listed in the </w:t>
      </w:r>
      <w:r w:rsidR="00CE2166" w:rsidRPr="00225D10">
        <w:t>Directory of Important Wetlands within Victoria</w:t>
      </w:r>
    </w:p>
    <w:p w:rsidR="00CE2166" w:rsidRPr="00225D10" w:rsidRDefault="00CE2166" w:rsidP="00D34F87">
      <w:pPr>
        <w:pStyle w:val="ListParagraphSummary"/>
        <w:tabs>
          <w:tab w:val="left" w:pos="8931"/>
        </w:tabs>
      </w:pPr>
      <w:r w:rsidRPr="00225D10">
        <w:t>Watercourse</w:t>
      </w:r>
      <w:r w:rsidR="004D7490">
        <w:t>s</w:t>
      </w:r>
    </w:p>
    <w:p w:rsidR="00CE2166" w:rsidRPr="00225D10" w:rsidRDefault="00CE2166" w:rsidP="00D34F87">
      <w:pPr>
        <w:pStyle w:val="ListParagraphSummary"/>
        <w:tabs>
          <w:tab w:val="left" w:pos="8931"/>
        </w:tabs>
      </w:pPr>
      <w:r w:rsidRPr="00225D10">
        <w:t>Public land</w:t>
      </w:r>
    </w:p>
    <w:p w:rsidR="007C68E1" w:rsidRPr="00225D10" w:rsidRDefault="007C68E1" w:rsidP="00D34F87">
      <w:pPr>
        <w:pStyle w:val="ListParagraphSummary"/>
        <w:tabs>
          <w:tab w:val="left" w:pos="8931"/>
        </w:tabs>
      </w:pPr>
      <w:r w:rsidRPr="00225D10">
        <w:t>Flood</w:t>
      </w:r>
      <w:r w:rsidR="00CE2166" w:rsidRPr="00225D10">
        <w:t>way</w:t>
      </w:r>
      <w:r w:rsidRPr="00225D10">
        <w:t xml:space="preserve"> Overlay</w:t>
      </w:r>
    </w:p>
    <w:p w:rsidR="007C68E1" w:rsidRPr="00225D10" w:rsidRDefault="007C68E1" w:rsidP="00D34F87">
      <w:pPr>
        <w:pStyle w:val="ListParagraphSummary"/>
        <w:tabs>
          <w:tab w:val="left" w:pos="8931"/>
        </w:tabs>
      </w:pPr>
      <w:r w:rsidRPr="00225D10">
        <w:t>Land Subject to Inundation</w:t>
      </w:r>
      <w:r w:rsidR="00CE2166" w:rsidRPr="00225D10">
        <w:t xml:space="preserve"> Overlay</w:t>
      </w:r>
    </w:p>
    <w:p w:rsidR="00D9527C" w:rsidRPr="00225D10" w:rsidRDefault="00D9527C" w:rsidP="00D34F87">
      <w:pPr>
        <w:pStyle w:val="ListParagraphSummary"/>
        <w:tabs>
          <w:tab w:val="left" w:pos="8931"/>
        </w:tabs>
      </w:pPr>
      <w:r w:rsidRPr="00225D10">
        <w:t xml:space="preserve">Bushfire Management Overlay </w:t>
      </w:r>
      <w:r w:rsidR="00CE2166" w:rsidRPr="00225D10">
        <w:t>(</w:t>
      </w:r>
      <w:r w:rsidRPr="00225D10">
        <w:t xml:space="preserve">inclusive of </w:t>
      </w:r>
      <w:r w:rsidR="00445164">
        <w:t xml:space="preserve">the </w:t>
      </w:r>
      <w:r w:rsidRPr="00225D10">
        <w:t>Wildfire Management Overlay</w:t>
      </w:r>
      <w:r w:rsidR="00CE2166" w:rsidRPr="00225D10">
        <w:t>)</w:t>
      </w:r>
      <w:r w:rsidR="00737DC1" w:rsidRPr="00225D10">
        <w:t>.</w:t>
      </w:r>
    </w:p>
    <w:p w:rsidR="00F5323A" w:rsidRPr="00225D10" w:rsidRDefault="008D37E7" w:rsidP="00D34F87">
      <w:pPr>
        <w:pStyle w:val="bt"/>
        <w:tabs>
          <w:tab w:val="left" w:pos="8931"/>
        </w:tabs>
      </w:pPr>
      <w:r w:rsidRPr="00387F09">
        <w:rPr>
          <w:rStyle w:val="Strong"/>
        </w:rPr>
        <w:t>Medium Level Planning Considerations</w:t>
      </w:r>
      <w:r w:rsidR="00940AA5" w:rsidRPr="00225D10">
        <w:t xml:space="preserve"> are areas where </w:t>
      </w:r>
      <w:r w:rsidR="00CE2166" w:rsidRPr="00225D10">
        <w:t xml:space="preserve">growth may occur in balance with planning considerations, and </w:t>
      </w:r>
      <w:r w:rsidR="00940AA5" w:rsidRPr="00225D10">
        <w:t>include:</w:t>
      </w:r>
    </w:p>
    <w:p w:rsidR="006D75F9" w:rsidRPr="00225D10" w:rsidRDefault="00A75929" w:rsidP="00D34F87">
      <w:pPr>
        <w:pStyle w:val="ListParagraphSummary"/>
        <w:tabs>
          <w:tab w:val="left" w:pos="8931"/>
        </w:tabs>
      </w:pPr>
      <w:r w:rsidRPr="00225D10">
        <w:t>Environmental Significance Overlay</w:t>
      </w:r>
    </w:p>
    <w:p w:rsidR="00A75929" w:rsidRPr="00225D10" w:rsidRDefault="00A75929" w:rsidP="00D34F87">
      <w:pPr>
        <w:pStyle w:val="ListParagraphSummary"/>
        <w:tabs>
          <w:tab w:val="left" w:pos="8931"/>
        </w:tabs>
      </w:pPr>
      <w:r w:rsidRPr="00225D10">
        <w:t>Vegetation Protection Overlay</w:t>
      </w:r>
    </w:p>
    <w:p w:rsidR="00A75929" w:rsidRPr="00225D10" w:rsidRDefault="00A75929" w:rsidP="00D34F87">
      <w:pPr>
        <w:pStyle w:val="ListParagraphSummary"/>
        <w:tabs>
          <w:tab w:val="left" w:pos="8931"/>
        </w:tabs>
      </w:pPr>
      <w:r w:rsidRPr="00225D10">
        <w:t>Significant Landscape Overlay</w:t>
      </w:r>
    </w:p>
    <w:p w:rsidR="00A75929" w:rsidRPr="00225D10" w:rsidRDefault="00A75929" w:rsidP="00D34F87">
      <w:pPr>
        <w:pStyle w:val="ListParagraphSummary"/>
        <w:tabs>
          <w:tab w:val="left" w:pos="8931"/>
        </w:tabs>
      </w:pPr>
      <w:r w:rsidRPr="00225D10">
        <w:t>Erosion Management Overlay</w:t>
      </w:r>
    </w:p>
    <w:p w:rsidR="00A75929" w:rsidRPr="00225D10" w:rsidRDefault="00A75929" w:rsidP="00D34F87">
      <w:pPr>
        <w:pStyle w:val="ListParagraphSummary"/>
        <w:tabs>
          <w:tab w:val="left" w:pos="8931"/>
        </w:tabs>
      </w:pPr>
      <w:r w:rsidRPr="00225D10">
        <w:t>Salinity Management Overlay</w:t>
      </w:r>
    </w:p>
    <w:p w:rsidR="00A75929" w:rsidRPr="00225D10" w:rsidRDefault="00A75929" w:rsidP="00D34F87">
      <w:pPr>
        <w:pStyle w:val="ListParagraphSummary"/>
        <w:tabs>
          <w:tab w:val="left" w:pos="8931"/>
        </w:tabs>
      </w:pPr>
      <w:r w:rsidRPr="00225D10">
        <w:t>Areas of High Habitat Value</w:t>
      </w:r>
      <w:r w:rsidR="00CE2166" w:rsidRPr="00225D10">
        <w:t xml:space="preserve"> (based on the top </w:t>
      </w:r>
      <w:r w:rsidR="00737DC1" w:rsidRPr="00225D10">
        <w:t xml:space="preserve">three </w:t>
      </w:r>
      <w:r w:rsidR="00CE2166" w:rsidRPr="00225D10">
        <w:t>levels of NaturePrint)</w:t>
      </w:r>
    </w:p>
    <w:p w:rsidR="00A75929" w:rsidRPr="00225D10" w:rsidRDefault="00A75929" w:rsidP="00D34F87">
      <w:pPr>
        <w:pStyle w:val="ListParagraphSummary"/>
        <w:tabs>
          <w:tab w:val="left" w:pos="8931"/>
        </w:tabs>
      </w:pPr>
      <w:r w:rsidRPr="00225D10">
        <w:t>Designated Water Supply Catchment</w:t>
      </w:r>
    </w:p>
    <w:p w:rsidR="00A75929" w:rsidRPr="00225D10" w:rsidRDefault="00A75929" w:rsidP="00D34F87">
      <w:pPr>
        <w:pStyle w:val="ListParagraphSummary"/>
        <w:tabs>
          <w:tab w:val="left" w:pos="8931"/>
        </w:tabs>
      </w:pPr>
      <w:r w:rsidRPr="00225D10">
        <w:t>Current Mining Licences</w:t>
      </w:r>
    </w:p>
    <w:p w:rsidR="00A75929" w:rsidRPr="00225D10" w:rsidRDefault="00A75929" w:rsidP="00D34F87">
      <w:pPr>
        <w:pStyle w:val="ListParagraphSummary"/>
        <w:tabs>
          <w:tab w:val="left" w:pos="8931"/>
        </w:tabs>
      </w:pPr>
      <w:r w:rsidRPr="00225D10">
        <w:t>Current Extractive Tenements</w:t>
      </w:r>
    </w:p>
    <w:p w:rsidR="00940AA5" w:rsidRPr="00225D10" w:rsidRDefault="00A75929" w:rsidP="00D34F87">
      <w:pPr>
        <w:pStyle w:val="ListParagraphSummary"/>
        <w:tabs>
          <w:tab w:val="left" w:pos="8931"/>
        </w:tabs>
      </w:pPr>
      <w:r w:rsidRPr="00225D10">
        <w:t>Excavation Sites</w:t>
      </w:r>
      <w:r w:rsidR="00737DC1" w:rsidRPr="00225D10">
        <w:t>.</w:t>
      </w:r>
    </w:p>
    <w:p w:rsidR="002C3E6D" w:rsidRPr="00225D10" w:rsidRDefault="00A75929" w:rsidP="00D34F87">
      <w:pPr>
        <w:pStyle w:val="bt"/>
        <w:tabs>
          <w:tab w:val="left" w:pos="8931"/>
        </w:tabs>
        <w:rPr>
          <w:lang w:val="en-US" w:eastAsia="en-US"/>
        </w:rPr>
      </w:pPr>
      <w:r w:rsidRPr="00225D10">
        <w:t>Other localised planning consideration</w:t>
      </w:r>
      <w:r w:rsidR="00D363D9" w:rsidRPr="00225D10">
        <w:t>s are those that need to be considered as part of the normal planning approval process.</w:t>
      </w:r>
      <w:r w:rsidR="00737DC1" w:rsidRPr="00225D10">
        <w:rPr>
          <w:lang w:val="en-US" w:eastAsia="en-US"/>
        </w:rPr>
        <w:t xml:space="preserve"> </w:t>
      </w:r>
      <w:r w:rsidR="00C835AF" w:rsidRPr="00225D10">
        <w:rPr>
          <w:lang w:val="en-US" w:eastAsia="en-US"/>
        </w:rPr>
        <w:t>These factors are considered in detail</w:t>
      </w:r>
      <w:r w:rsidR="00C50132">
        <w:rPr>
          <w:lang w:val="en-US" w:eastAsia="en-US"/>
        </w:rPr>
        <w:t>, for example,</w:t>
      </w:r>
      <w:r w:rsidR="00C835AF" w:rsidRPr="00225D10">
        <w:rPr>
          <w:lang w:val="en-US" w:eastAsia="en-US"/>
        </w:rPr>
        <w:t xml:space="preserve"> in the framework growth plan for Bendigo, in the </w:t>
      </w:r>
      <w:r w:rsidR="00445164">
        <w:rPr>
          <w:lang w:val="en-US" w:eastAsia="en-US"/>
        </w:rPr>
        <w:t>r</w:t>
      </w:r>
      <w:r w:rsidR="00C835AF" w:rsidRPr="00225D10">
        <w:rPr>
          <w:lang w:val="en-US" w:eastAsia="en-US"/>
        </w:rPr>
        <w:t xml:space="preserve">egional </w:t>
      </w:r>
      <w:r w:rsidR="00445164">
        <w:rPr>
          <w:lang w:val="en-US" w:eastAsia="en-US"/>
        </w:rPr>
        <w:t>g</w:t>
      </w:r>
      <w:r w:rsidR="00C835AF" w:rsidRPr="00225D10">
        <w:rPr>
          <w:lang w:val="en-US" w:eastAsia="en-US"/>
        </w:rPr>
        <w:t xml:space="preserve">rowth </w:t>
      </w:r>
      <w:r w:rsidR="00445164">
        <w:rPr>
          <w:lang w:val="en-US" w:eastAsia="en-US"/>
        </w:rPr>
        <w:t>p</w:t>
      </w:r>
      <w:r w:rsidR="00C835AF" w:rsidRPr="00225D10">
        <w:rPr>
          <w:lang w:val="en-US" w:eastAsia="en-US"/>
        </w:rPr>
        <w:t>lan.</w:t>
      </w:r>
    </w:p>
    <w:p w:rsidR="002C3E6D" w:rsidRPr="00387F09" w:rsidRDefault="002C3E6D" w:rsidP="00D34F87">
      <w:pPr>
        <w:pStyle w:val="Heading4"/>
        <w:tabs>
          <w:tab w:val="left" w:pos="8931"/>
        </w:tabs>
      </w:pPr>
      <w:r w:rsidRPr="00387F09">
        <w:t>Drivers of growth</w:t>
      </w:r>
    </w:p>
    <w:p w:rsidR="002C3E6D" w:rsidRPr="00225D10" w:rsidRDefault="002C3E6D" w:rsidP="00D34F87">
      <w:pPr>
        <w:pStyle w:val="bt"/>
        <w:tabs>
          <w:tab w:val="left" w:pos="8931"/>
        </w:tabs>
      </w:pPr>
      <w:r w:rsidRPr="00225D10">
        <w:t xml:space="preserve">Drivers of </w:t>
      </w:r>
      <w:r w:rsidR="00C50132">
        <w:t>growth</w:t>
      </w:r>
      <w:r w:rsidRPr="00225D10">
        <w:t xml:space="preserve"> range from global economic trends and impacts, to state and regional considerations. Critical drivers of population growth in the region include:</w:t>
      </w:r>
    </w:p>
    <w:p w:rsidR="002C3E6D" w:rsidRPr="00225D10" w:rsidRDefault="002C3E6D" w:rsidP="00D34F87">
      <w:pPr>
        <w:pStyle w:val="ListParagraphSummary"/>
        <w:tabs>
          <w:tab w:val="left" w:pos="8931"/>
        </w:tabs>
      </w:pPr>
      <w:r w:rsidRPr="00225D10">
        <w:t>Bendigo’s housing affordability and regional lifestyle which will co</w:t>
      </w:r>
      <w:r w:rsidR="00CD7FF5" w:rsidRPr="00225D10">
        <w:t>ntinue to attract new residents</w:t>
      </w:r>
      <w:r w:rsidR="00CD7FF5" w:rsidRPr="00225D10">
        <w:br/>
      </w:r>
      <w:r w:rsidRPr="00225D10">
        <w:t>and ‘tree-changers’</w:t>
      </w:r>
    </w:p>
    <w:p w:rsidR="002C3E6D" w:rsidRPr="00225D10" w:rsidRDefault="002C3E6D" w:rsidP="00D34F87">
      <w:pPr>
        <w:pStyle w:val="ListParagraphSummary"/>
        <w:tabs>
          <w:tab w:val="left" w:pos="8931"/>
        </w:tabs>
      </w:pPr>
      <w:r w:rsidRPr="00225D10">
        <w:t>Bendigo as a regional city, providing many of the services and becoming an alternative to Melbourne</w:t>
      </w:r>
    </w:p>
    <w:p w:rsidR="002C3E6D" w:rsidRPr="00225D10" w:rsidRDefault="002C3E6D" w:rsidP="00D34F87">
      <w:pPr>
        <w:pStyle w:val="ListParagraphSummary"/>
        <w:tabs>
          <w:tab w:val="left" w:pos="8931"/>
        </w:tabs>
      </w:pPr>
      <w:r w:rsidRPr="00225D10">
        <w:t>regional migration from Melbourne and overseas</w:t>
      </w:r>
    </w:p>
    <w:p w:rsidR="002C3E6D" w:rsidRPr="00225D10" w:rsidRDefault="002C3E6D" w:rsidP="00D34F87">
      <w:pPr>
        <w:pStyle w:val="ListParagraphSummary"/>
        <w:tabs>
          <w:tab w:val="left" w:pos="8931"/>
        </w:tabs>
      </w:pPr>
      <w:r w:rsidRPr="00225D10">
        <w:lastRenderedPageBreak/>
        <w:t>proximity to Melbourne and strong transport links</w:t>
      </w:r>
    </w:p>
    <w:p w:rsidR="002C3E6D" w:rsidRPr="00225D10" w:rsidRDefault="002C3E6D" w:rsidP="00D34F87">
      <w:pPr>
        <w:pStyle w:val="ListParagraphSummary"/>
        <w:tabs>
          <w:tab w:val="left" w:pos="8931"/>
        </w:tabs>
      </w:pPr>
      <w:r w:rsidRPr="00225D10">
        <w:t xml:space="preserve">improved road and rail links and supporting social infrastructure </w:t>
      </w:r>
    </w:p>
    <w:p w:rsidR="002C3E6D" w:rsidRPr="00225D10" w:rsidRDefault="002C3E6D" w:rsidP="00D34F87">
      <w:pPr>
        <w:pStyle w:val="ListParagraphSummary"/>
        <w:tabs>
          <w:tab w:val="left" w:pos="8931"/>
        </w:tabs>
      </w:pPr>
      <w:r w:rsidRPr="00225D10">
        <w:t>changes in economic sectors, particularly agriculture and manufacturing</w:t>
      </w:r>
    </w:p>
    <w:p w:rsidR="00211BD9" w:rsidRDefault="002C3E6D" w:rsidP="00D34F87">
      <w:pPr>
        <w:pStyle w:val="ListParagraphSummary"/>
        <w:tabs>
          <w:tab w:val="left" w:pos="8931"/>
        </w:tabs>
        <w:sectPr w:rsidR="00211BD9" w:rsidSect="002C1145">
          <w:pgSz w:w="11907" w:h="16839" w:code="9"/>
          <w:pgMar w:top="425" w:right="851" w:bottom="993" w:left="1077" w:header="709" w:footer="709" w:gutter="0"/>
          <w:cols w:space="720"/>
          <w:docGrid w:linePitch="360"/>
        </w:sectPr>
      </w:pPr>
      <w:proofErr w:type="gramStart"/>
      <w:r w:rsidRPr="00225D10">
        <w:t>more</w:t>
      </w:r>
      <w:proofErr w:type="gramEnd"/>
      <w:r w:rsidRPr="00225D10">
        <w:t xml:space="preserve"> jobs and investment.</w:t>
      </w:r>
    </w:p>
    <w:p w:rsidR="004A1FF9" w:rsidRDefault="00F01C8F">
      <w:pPr>
        <w:pStyle w:val="Caption"/>
      </w:pPr>
      <w:bookmarkStart w:id="228" w:name="_Ref366060598"/>
      <w:r>
        <w:rPr>
          <w:noProof/>
        </w:rPr>
        <w:lastRenderedPageBreak/>
        <w:drawing>
          <wp:anchor distT="0" distB="0" distL="114300" distR="114300" simplePos="0" relativeHeight="251687936" behindDoc="0" locked="0" layoutInCell="1" allowOverlap="1">
            <wp:simplePos x="0" y="0"/>
            <wp:positionH relativeFrom="column">
              <wp:posOffset>23495</wp:posOffset>
            </wp:positionH>
            <wp:positionV relativeFrom="paragraph">
              <wp:posOffset>504825</wp:posOffset>
            </wp:positionV>
            <wp:extent cx="7562850" cy="5041900"/>
            <wp:effectExtent l="19050" t="0" r="0" b="0"/>
            <wp:wrapTopAndBottom/>
            <wp:docPr id="16" name="Picture 3" descr="Map showing Loddon Mallee South planning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DPCD Permanent All Staff\Regional Growth Plans\Phase 5 LMS RGP Products\LMS Background Report\Replacement maps\Map42_Pg68 LMS Planning Considerations_26November2013.jpg"/>
                    <pic:cNvPicPr>
                      <a:picLocks noChangeAspect="1" noChangeArrowheads="1"/>
                    </pic:cNvPicPr>
                  </pic:nvPicPr>
                  <pic:blipFill>
                    <a:blip r:embed="rId50" cstate="email"/>
                    <a:srcRect/>
                    <a:stretch>
                      <a:fillRect/>
                    </a:stretch>
                  </pic:blipFill>
                  <pic:spPr bwMode="auto">
                    <a:xfrm>
                      <a:off x="0" y="0"/>
                      <a:ext cx="7562850" cy="5041900"/>
                    </a:xfrm>
                    <a:prstGeom prst="rect">
                      <a:avLst/>
                    </a:prstGeom>
                    <a:noFill/>
                    <a:ln w="9525">
                      <a:noFill/>
                      <a:miter lim="800000"/>
                      <a:headEnd/>
                      <a:tailEnd/>
                    </a:ln>
                  </pic:spPr>
                </pic:pic>
              </a:graphicData>
            </a:graphic>
          </wp:anchor>
        </w:drawing>
      </w:r>
      <w:bookmarkStart w:id="229" w:name="_Toc374530837"/>
      <w:r w:rsidR="00BD072D">
        <w:t xml:space="preserve">Figure </w:t>
      </w:r>
      <w:r w:rsidR="00162534" w:rsidRPr="00EC6C49">
        <w:fldChar w:fldCharType="begin"/>
      </w:r>
      <w:r w:rsidR="00BD072D">
        <w:instrText xml:space="preserve"> SEQ Figure \* ARABIC </w:instrText>
      </w:r>
      <w:r w:rsidR="00162534" w:rsidRPr="00EC6C49">
        <w:fldChar w:fldCharType="separate"/>
      </w:r>
      <w:r w:rsidR="00EF1401">
        <w:rPr>
          <w:noProof/>
        </w:rPr>
        <w:t>42</w:t>
      </w:r>
      <w:r w:rsidR="00162534" w:rsidRPr="00EC6C49">
        <w:fldChar w:fldCharType="end"/>
      </w:r>
      <w:bookmarkEnd w:id="228"/>
      <w:r w:rsidR="00BD072D">
        <w:t>: Loddon Mallee South planning considerations</w:t>
      </w:r>
      <w:bookmarkEnd w:id="229"/>
    </w:p>
    <w:p w:rsidR="00211BD9" w:rsidRDefault="00616E12" w:rsidP="00D34F87">
      <w:pPr>
        <w:pStyle w:val="Source"/>
        <w:tabs>
          <w:tab w:val="left" w:pos="8931"/>
        </w:tabs>
        <w:sectPr w:rsidR="00211BD9" w:rsidSect="00211BD9">
          <w:pgSz w:w="16839" w:h="11907" w:orient="landscape" w:code="9"/>
          <w:pgMar w:top="1077" w:right="425" w:bottom="851" w:left="993" w:header="709" w:footer="709" w:gutter="0"/>
          <w:cols w:space="720"/>
          <w:docGrid w:linePitch="360"/>
        </w:sectPr>
      </w:pPr>
      <w:r>
        <w:t>Source: Department of Transport, Planning and Local Infrastructure</w:t>
      </w:r>
    </w:p>
    <w:p w:rsidR="00B934F3" w:rsidRPr="00663F7F" w:rsidRDefault="00B934F3" w:rsidP="00D34F87">
      <w:pPr>
        <w:pStyle w:val="Heading2"/>
        <w:tabs>
          <w:tab w:val="left" w:pos="8931"/>
        </w:tabs>
        <w:spacing w:before="120" w:after="0"/>
        <w:rPr>
          <w:rFonts w:cs="Arial"/>
        </w:rPr>
      </w:pPr>
      <w:bookmarkStart w:id="230" w:name="_Toc374530897"/>
      <w:r w:rsidRPr="00663F7F">
        <w:rPr>
          <w:rFonts w:cs="Arial"/>
        </w:rPr>
        <w:lastRenderedPageBreak/>
        <w:t>Planned and future growth</w:t>
      </w:r>
      <w:bookmarkEnd w:id="230"/>
      <w:r w:rsidRPr="00663F7F">
        <w:rPr>
          <w:rFonts w:cs="Arial"/>
        </w:rPr>
        <w:t xml:space="preserve"> </w:t>
      </w:r>
    </w:p>
    <w:p w:rsidR="00E8192C" w:rsidRPr="00225D10" w:rsidRDefault="00267D13" w:rsidP="00655244">
      <w:pPr>
        <w:pStyle w:val="Heading3"/>
      </w:pPr>
      <w:bookmarkStart w:id="231" w:name="_Toc371951940"/>
      <w:bookmarkStart w:id="232" w:name="_Toc372889320"/>
      <w:bookmarkStart w:id="233" w:name="_Toc374530898"/>
      <w:r w:rsidRPr="00225D10">
        <w:t>Settlement growth</w:t>
      </w:r>
      <w:bookmarkEnd w:id="231"/>
      <w:bookmarkEnd w:id="232"/>
      <w:bookmarkEnd w:id="233"/>
    </w:p>
    <w:p w:rsidR="006F6F69" w:rsidRPr="00225D10" w:rsidRDefault="00EE20AA" w:rsidP="00D34F87">
      <w:pPr>
        <w:pStyle w:val="bt"/>
        <w:tabs>
          <w:tab w:val="left" w:pos="8931"/>
        </w:tabs>
        <w:rPr>
          <w:lang w:val="en-US" w:eastAsia="en-US"/>
        </w:rPr>
      </w:pPr>
      <w:r w:rsidRPr="00225D10">
        <w:rPr>
          <w:lang w:val="en-US" w:eastAsia="en-US"/>
        </w:rPr>
        <w:t xml:space="preserve">The basis for </w:t>
      </w:r>
      <w:r w:rsidR="00211BD9">
        <w:rPr>
          <w:lang w:val="en-US" w:eastAsia="en-US"/>
        </w:rPr>
        <w:t xml:space="preserve">the settlement growth directions in </w:t>
      </w:r>
      <w:r w:rsidRPr="00225D10">
        <w:rPr>
          <w:lang w:val="en-US" w:eastAsia="en-US"/>
        </w:rPr>
        <w:t xml:space="preserve">the </w:t>
      </w:r>
      <w:r w:rsidR="00445164">
        <w:rPr>
          <w:lang w:val="en-US" w:eastAsia="en-US"/>
        </w:rPr>
        <w:t>r</w:t>
      </w:r>
      <w:r w:rsidRPr="00225D10">
        <w:rPr>
          <w:lang w:val="en-US" w:eastAsia="en-US"/>
        </w:rPr>
        <w:t xml:space="preserve">egional </w:t>
      </w:r>
      <w:r w:rsidR="00445164">
        <w:rPr>
          <w:lang w:val="en-US" w:eastAsia="en-US"/>
        </w:rPr>
        <w:t>g</w:t>
      </w:r>
      <w:r w:rsidR="00445164" w:rsidRPr="00225D10">
        <w:rPr>
          <w:lang w:val="en-US" w:eastAsia="en-US"/>
        </w:rPr>
        <w:t xml:space="preserve">rowth </w:t>
      </w:r>
      <w:r w:rsidR="00445164">
        <w:rPr>
          <w:lang w:val="en-US" w:eastAsia="en-US"/>
        </w:rPr>
        <w:t>p</w:t>
      </w:r>
      <w:r w:rsidR="00445164" w:rsidRPr="00225D10">
        <w:rPr>
          <w:lang w:val="en-US" w:eastAsia="en-US"/>
        </w:rPr>
        <w:t xml:space="preserve">lan </w:t>
      </w:r>
      <w:r w:rsidRPr="00225D10">
        <w:rPr>
          <w:lang w:val="en-US" w:eastAsia="en-US"/>
        </w:rPr>
        <w:t xml:space="preserve">is strategic work already been undertaken by </w:t>
      </w:r>
      <w:r w:rsidR="00B27F70" w:rsidRPr="00225D10">
        <w:rPr>
          <w:lang w:val="en-US" w:eastAsia="en-US"/>
        </w:rPr>
        <w:t>c</w:t>
      </w:r>
      <w:r w:rsidRPr="00225D10">
        <w:rPr>
          <w:lang w:val="en-US" w:eastAsia="en-US"/>
        </w:rPr>
        <w:t xml:space="preserve">ouncils, including </w:t>
      </w:r>
      <w:r w:rsidR="00C16C58" w:rsidRPr="00225D10">
        <w:rPr>
          <w:lang w:val="en-US" w:eastAsia="en-US"/>
        </w:rPr>
        <w:t>structure plans</w:t>
      </w:r>
      <w:r w:rsidR="000C029C" w:rsidRPr="00225D10">
        <w:rPr>
          <w:lang w:val="en-US" w:eastAsia="en-US"/>
        </w:rPr>
        <w:t>, outline development plans</w:t>
      </w:r>
      <w:r w:rsidR="00C16C58" w:rsidRPr="00225D10">
        <w:rPr>
          <w:lang w:val="en-US" w:eastAsia="en-US"/>
        </w:rPr>
        <w:t xml:space="preserve"> and settlement strat</w:t>
      </w:r>
      <w:r w:rsidR="00A25D59" w:rsidRPr="00225D10">
        <w:rPr>
          <w:lang w:val="en-US" w:eastAsia="en-US"/>
        </w:rPr>
        <w:t>egies that were developed with broad community consultation</w:t>
      </w:r>
      <w:r w:rsidR="008A39BB" w:rsidRPr="00225D10">
        <w:rPr>
          <w:lang w:val="en-US" w:eastAsia="en-US"/>
        </w:rPr>
        <w:t xml:space="preserve">, as well as the </w:t>
      </w:r>
      <w:r w:rsidR="00211BD9">
        <w:rPr>
          <w:lang w:val="en-US" w:eastAsia="en-US"/>
        </w:rPr>
        <w:t>r</w:t>
      </w:r>
      <w:r w:rsidR="008A39BB" w:rsidRPr="00225D10">
        <w:rPr>
          <w:lang w:val="en-US" w:eastAsia="en-US"/>
        </w:rPr>
        <w:t xml:space="preserve">egional Urban Development Program prepared by the Department of </w:t>
      </w:r>
      <w:r w:rsidR="00445164">
        <w:rPr>
          <w:lang w:val="en-US" w:eastAsia="en-US"/>
        </w:rPr>
        <w:t>Transport, Planning and Local Infrastructure</w:t>
      </w:r>
      <w:r w:rsidR="008A39BB" w:rsidRPr="00225D10">
        <w:rPr>
          <w:lang w:val="en-US" w:eastAsia="en-US"/>
        </w:rPr>
        <w:t xml:space="preserve">.  </w:t>
      </w:r>
    </w:p>
    <w:p w:rsidR="00795A6C" w:rsidRPr="00225D10" w:rsidRDefault="008F4D9B" w:rsidP="00D34F87">
      <w:pPr>
        <w:pStyle w:val="bt"/>
        <w:tabs>
          <w:tab w:val="left" w:pos="8931"/>
        </w:tabs>
        <w:rPr>
          <w:lang w:val="en-US" w:eastAsia="en-US"/>
        </w:rPr>
      </w:pPr>
      <w:r w:rsidRPr="00225D10">
        <w:rPr>
          <w:lang w:val="en-US" w:eastAsia="en-US"/>
        </w:rPr>
        <w:t xml:space="preserve">An analysis of the individual capability of each settlement for growth was undertaken based on a range of factors including infrastructure, environmental </w:t>
      </w:r>
      <w:r w:rsidR="00A05D0A">
        <w:rPr>
          <w:lang w:val="en-US" w:eastAsia="en-US"/>
        </w:rPr>
        <w:t>considerations, natural hazards</w:t>
      </w:r>
      <w:r w:rsidRPr="00225D10">
        <w:rPr>
          <w:lang w:val="en-US" w:eastAsia="en-US"/>
        </w:rPr>
        <w:t>, character issues and community aspirations. From this, settlements were identified as having capacity for signifi</w:t>
      </w:r>
      <w:r w:rsidR="00E12F33" w:rsidRPr="00225D10">
        <w:rPr>
          <w:lang w:val="en-US" w:eastAsia="en-US"/>
        </w:rPr>
        <w:t xml:space="preserve">cant, moderate or low/no growth. For other settlements which are likely to experience only small-scale residential, commercial and industrial development, the focus will be on reinforcing the role of the settlement to support sustainable communities.  </w:t>
      </w:r>
    </w:p>
    <w:p w:rsidR="005A7DA1" w:rsidRDefault="005A7DA1" w:rsidP="00D34F87">
      <w:pPr>
        <w:pStyle w:val="bt"/>
        <w:tabs>
          <w:tab w:val="left" w:pos="8931"/>
        </w:tabs>
        <w:rPr>
          <w:lang w:val="en-US" w:eastAsia="en-US"/>
        </w:rPr>
      </w:pPr>
      <w:r w:rsidRPr="00225D10">
        <w:rPr>
          <w:lang w:val="en-US" w:eastAsia="en-US"/>
        </w:rPr>
        <w:t xml:space="preserve">Appendix 2 provides further background to the growth analysis of settlements.  </w:t>
      </w:r>
    </w:p>
    <w:p w:rsidR="004B7308" w:rsidRPr="004C15E7" w:rsidRDefault="00445164" w:rsidP="00D34F87">
      <w:pPr>
        <w:pStyle w:val="bt"/>
        <w:tabs>
          <w:tab w:val="left" w:pos="8931"/>
        </w:tabs>
        <w:rPr>
          <w:rStyle w:val="Strong"/>
          <w:rFonts w:ascii="Calibri" w:hAnsi="Calibri"/>
          <w:b w:val="0"/>
          <w:sz w:val="20"/>
        </w:rPr>
      </w:pPr>
      <w:r w:rsidRPr="004C15E7">
        <w:rPr>
          <w:rStyle w:val="Strong"/>
          <w:rFonts w:ascii="Calibri" w:hAnsi="Calibri"/>
          <w:b w:val="0"/>
          <w:sz w:val="20"/>
        </w:rPr>
        <w:t>Descriptors of growth</w:t>
      </w:r>
      <w:r w:rsidR="00EB6C89" w:rsidRPr="004C15E7">
        <w:rPr>
          <w:rStyle w:val="Strong"/>
          <w:rFonts w:ascii="Calibri" w:hAnsi="Calibri"/>
          <w:b w:val="0"/>
          <w:sz w:val="20"/>
        </w:rPr>
        <w:t xml:space="preserve"> have been identified and matched to cities and towns based on consideration of growth constraints and opportunities</w:t>
      </w:r>
      <w:r w:rsidR="00B3530A" w:rsidRPr="004C15E7">
        <w:rPr>
          <w:rStyle w:val="Strong"/>
          <w:rFonts w:ascii="Calibri" w:hAnsi="Calibri"/>
          <w:b w:val="0"/>
          <w:sz w:val="20"/>
        </w:rPr>
        <w:t>:</w:t>
      </w:r>
    </w:p>
    <w:p w:rsidR="004B7308" w:rsidRDefault="00AE690A" w:rsidP="00D34F87">
      <w:pPr>
        <w:pStyle w:val="bt"/>
        <w:tabs>
          <w:tab w:val="left" w:pos="8931"/>
        </w:tabs>
      </w:pPr>
      <w:r w:rsidRPr="00AE690A">
        <w:rPr>
          <w:b/>
        </w:rPr>
        <w:t>Significant Growth:</w:t>
      </w:r>
      <w:r w:rsidR="00C16918">
        <w:t xml:space="preserve"> Bendigo</w:t>
      </w:r>
    </w:p>
    <w:p w:rsidR="004B7308" w:rsidRDefault="00C16918" w:rsidP="00D34F87">
      <w:pPr>
        <w:pStyle w:val="bt"/>
        <w:tabs>
          <w:tab w:val="left" w:pos="8931"/>
        </w:tabs>
      </w:pPr>
      <w:r>
        <w:rPr>
          <w:b/>
        </w:rPr>
        <w:t>Manage / Support Growth</w:t>
      </w:r>
      <w:r w:rsidR="00AE690A" w:rsidRPr="00AE690A">
        <w:rPr>
          <w:b/>
        </w:rPr>
        <w:t>:</w:t>
      </w:r>
      <w:r>
        <w:t xml:space="preserve"> Castlemaine, Kyneton, Gisborne, Maryborough</w:t>
      </w:r>
    </w:p>
    <w:p w:rsidR="004B7308" w:rsidRDefault="00C16918" w:rsidP="00D34F87">
      <w:pPr>
        <w:pStyle w:val="bt"/>
        <w:tabs>
          <w:tab w:val="left" w:pos="8931"/>
        </w:tabs>
      </w:pPr>
      <w:r>
        <w:rPr>
          <w:b/>
        </w:rPr>
        <w:t>Encourage growth in Bendigo’s hinterland:</w:t>
      </w:r>
      <w:r>
        <w:t xml:space="preserve"> Inglewood, Bridgewater, Harcourt, </w:t>
      </w:r>
      <w:r w:rsidR="004B7308">
        <w:t>and Marong</w:t>
      </w:r>
    </w:p>
    <w:p w:rsidR="004B7308" w:rsidRDefault="00C16918" w:rsidP="00D34F87">
      <w:pPr>
        <w:pStyle w:val="bt"/>
        <w:tabs>
          <w:tab w:val="left" w:pos="8931"/>
        </w:tabs>
      </w:pPr>
      <w:r>
        <w:rPr>
          <w:b/>
        </w:rPr>
        <w:t xml:space="preserve">Areas within 100km of Melbourne: </w:t>
      </w:r>
      <w:r>
        <w:t>Riddells Creek, Macedon, Woodend, Romsey, Lancefield, Malmsbury</w:t>
      </w:r>
    </w:p>
    <w:p w:rsidR="00E8192C" w:rsidRPr="00225D10" w:rsidRDefault="00267D13" w:rsidP="00655244">
      <w:pPr>
        <w:pStyle w:val="Heading3"/>
      </w:pPr>
      <w:bookmarkStart w:id="234" w:name="_Toc371951941"/>
      <w:bookmarkStart w:id="235" w:name="_Toc372889321"/>
      <w:bookmarkStart w:id="236" w:name="_Toc374530899"/>
      <w:r w:rsidRPr="00225D10">
        <w:t>Planned growth</w:t>
      </w:r>
      <w:bookmarkEnd w:id="234"/>
      <w:bookmarkEnd w:id="235"/>
      <w:bookmarkEnd w:id="236"/>
    </w:p>
    <w:p w:rsidR="00D714B2" w:rsidRDefault="008A39BB" w:rsidP="00D34F87">
      <w:pPr>
        <w:pStyle w:val="bt"/>
        <w:tabs>
          <w:tab w:val="left" w:pos="8931"/>
        </w:tabs>
        <w:rPr>
          <w:lang w:val="en-US" w:eastAsia="en-US"/>
        </w:rPr>
      </w:pPr>
      <w:r w:rsidRPr="00225D10">
        <w:rPr>
          <w:lang w:val="en-US" w:eastAsia="en-US"/>
        </w:rPr>
        <w:t xml:space="preserve">An analysis of opportunities for </w:t>
      </w:r>
      <w:r w:rsidR="00EF2A49" w:rsidRPr="00225D10">
        <w:rPr>
          <w:lang w:val="en-US" w:eastAsia="en-US"/>
        </w:rPr>
        <w:t>broad</w:t>
      </w:r>
      <w:r w:rsidR="00EF2A49">
        <w:rPr>
          <w:lang w:val="en-US" w:eastAsia="en-US"/>
        </w:rPr>
        <w:t>acre</w:t>
      </w:r>
      <w:r w:rsidR="00EF2A49" w:rsidRPr="00225D10">
        <w:rPr>
          <w:lang w:val="en-US" w:eastAsia="en-US"/>
        </w:rPr>
        <w:t xml:space="preserve"> </w:t>
      </w:r>
      <w:r w:rsidRPr="00225D10">
        <w:rPr>
          <w:lang w:val="en-US" w:eastAsia="en-US"/>
        </w:rPr>
        <w:t>development, major and minor infill</w:t>
      </w:r>
      <w:r w:rsidR="005F31FE" w:rsidRPr="00225D10">
        <w:rPr>
          <w:lang w:val="en-US" w:eastAsia="en-US"/>
        </w:rPr>
        <w:t>,</w:t>
      </w:r>
      <w:r w:rsidRPr="00225D10">
        <w:rPr>
          <w:lang w:val="en-US" w:eastAsia="en-US"/>
        </w:rPr>
        <w:t xml:space="preserve"> and potential future residential development w</w:t>
      </w:r>
      <w:r w:rsidR="00EE20AA" w:rsidRPr="00225D10">
        <w:rPr>
          <w:lang w:val="en-US" w:eastAsia="en-US"/>
        </w:rPr>
        <w:t xml:space="preserve">as </w:t>
      </w:r>
      <w:r w:rsidRPr="00225D10">
        <w:rPr>
          <w:lang w:val="en-US" w:eastAsia="en-US"/>
        </w:rPr>
        <w:t>undertaken across the region.</w:t>
      </w:r>
      <w:r w:rsidR="00415744" w:rsidRPr="00225D10">
        <w:rPr>
          <w:lang w:val="en-US" w:eastAsia="en-US"/>
        </w:rPr>
        <w:t xml:space="preserve"> From this, an indication of the number of potential lots available for development</w:t>
      </w:r>
      <w:r w:rsidR="00097F36" w:rsidRPr="00225D10">
        <w:rPr>
          <w:lang w:val="en-US" w:eastAsia="en-US"/>
        </w:rPr>
        <w:t xml:space="preserve"> was obtained. This was further refined to produce an indication of the number of lots available</w:t>
      </w:r>
      <w:r w:rsidR="00415744" w:rsidRPr="00225D10">
        <w:rPr>
          <w:lang w:val="en-US" w:eastAsia="en-US"/>
        </w:rPr>
        <w:t xml:space="preserve"> </w:t>
      </w:r>
      <w:r w:rsidR="00097F36" w:rsidRPr="00225D10">
        <w:rPr>
          <w:lang w:val="en-US" w:eastAsia="en-US"/>
        </w:rPr>
        <w:t>for those settlements identified as having the capacity for significant or moderate growth</w:t>
      </w:r>
      <w:r w:rsidR="00415744" w:rsidRPr="00225D10">
        <w:rPr>
          <w:lang w:val="en-US" w:eastAsia="en-US"/>
        </w:rPr>
        <w:t xml:space="preserve">. </w:t>
      </w:r>
      <w:r w:rsidR="008F4D9B" w:rsidRPr="00225D10">
        <w:rPr>
          <w:lang w:val="en-US" w:eastAsia="en-US"/>
        </w:rPr>
        <w:t xml:space="preserve">This work is </w:t>
      </w:r>
      <w:r w:rsidR="005F31FE" w:rsidRPr="00225D10">
        <w:rPr>
          <w:lang w:val="en-US" w:eastAsia="en-US"/>
        </w:rPr>
        <w:t>termed ‘</w:t>
      </w:r>
      <w:r w:rsidR="008F4D9B" w:rsidRPr="00225D10">
        <w:rPr>
          <w:lang w:val="en-US" w:eastAsia="en-US"/>
        </w:rPr>
        <w:t>planned growth</w:t>
      </w:r>
      <w:r w:rsidR="005F31FE" w:rsidRPr="00225D10">
        <w:rPr>
          <w:lang w:val="en-US" w:eastAsia="en-US"/>
        </w:rPr>
        <w:t xml:space="preserve">’ for the purposes of </w:t>
      </w:r>
      <w:r w:rsidR="00211BD9">
        <w:rPr>
          <w:lang w:val="en-US" w:eastAsia="en-US"/>
        </w:rPr>
        <w:t xml:space="preserve">the </w:t>
      </w:r>
      <w:r w:rsidR="00D714B2">
        <w:rPr>
          <w:lang w:val="en-US" w:eastAsia="en-US"/>
        </w:rPr>
        <w:t>r</w:t>
      </w:r>
      <w:r w:rsidR="005F31FE" w:rsidRPr="00225D10">
        <w:rPr>
          <w:lang w:val="en-US" w:eastAsia="en-US"/>
        </w:rPr>
        <w:t xml:space="preserve">egional </w:t>
      </w:r>
      <w:r w:rsidR="00D714B2">
        <w:rPr>
          <w:lang w:val="en-US" w:eastAsia="en-US"/>
        </w:rPr>
        <w:t>g</w:t>
      </w:r>
      <w:r w:rsidR="00D714B2" w:rsidRPr="00225D10">
        <w:rPr>
          <w:lang w:val="en-US" w:eastAsia="en-US"/>
        </w:rPr>
        <w:t xml:space="preserve">rowth </w:t>
      </w:r>
      <w:r w:rsidR="00D714B2">
        <w:rPr>
          <w:lang w:val="en-US" w:eastAsia="en-US"/>
        </w:rPr>
        <w:t>p</w:t>
      </w:r>
      <w:r w:rsidR="00D714B2" w:rsidRPr="00225D10">
        <w:rPr>
          <w:lang w:val="en-US" w:eastAsia="en-US"/>
        </w:rPr>
        <w:t>lan</w:t>
      </w:r>
      <w:r w:rsidR="008F4D9B" w:rsidRPr="00225D10">
        <w:rPr>
          <w:lang w:val="en-US" w:eastAsia="en-US"/>
        </w:rPr>
        <w:t xml:space="preserve">. </w:t>
      </w:r>
    </w:p>
    <w:p w:rsidR="00AE7D17" w:rsidRPr="00225D10" w:rsidRDefault="00AE7D17" w:rsidP="00D34F87">
      <w:pPr>
        <w:pStyle w:val="bt"/>
        <w:tabs>
          <w:tab w:val="left" w:pos="8931"/>
        </w:tabs>
        <w:rPr>
          <w:lang w:val="en-US" w:eastAsia="en-US"/>
        </w:rPr>
      </w:pPr>
      <w:r w:rsidRPr="00225D10">
        <w:rPr>
          <w:lang w:val="en-US" w:eastAsia="en-US"/>
        </w:rPr>
        <w:t xml:space="preserve">In </w:t>
      </w:r>
      <w:r w:rsidR="00D714B2">
        <w:rPr>
          <w:lang w:val="en-US" w:eastAsia="en-US"/>
        </w:rPr>
        <w:t>identifying</w:t>
      </w:r>
      <w:r w:rsidR="00D714B2" w:rsidRPr="00225D10">
        <w:rPr>
          <w:lang w:val="en-US" w:eastAsia="en-US"/>
        </w:rPr>
        <w:t xml:space="preserve"> </w:t>
      </w:r>
      <w:r w:rsidRPr="00225D10">
        <w:rPr>
          <w:lang w:val="en-US" w:eastAsia="en-US"/>
        </w:rPr>
        <w:t xml:space="preserve">planned growth for the region, all settlements were examined. While some settlements may have the capacity to grow in terms of available land supply, in reality they may be unlikely to grow due to factors such as low or no population growth, remoteness and lack of services. </w:t>
      </w:r>
      <w:r w:rsidR="00957761" w:rsidRPr="00225D10">
        <w:rPr>
          <w:lang w:val="en-US" w:eastAsia="en-US"/>
        </w:rPr>
        <w:t xml:space="preserve">For these smaller settlements, there may be occasional opportunities for small infill development but essentially </w:t>
      </w:r>
      <w:r w:rsidR="005F31FE" w:rsidRPr="00225D10">
        <w:rPr>
          <w:lang w:val="en-US" w:eastAsia="en-US"/>
        </w:rPr>
        <w:t xml:space="preserve">they </w:t>
      </w:r>
      <w:r w:rsidR="00957761" w:rsidRPr="00225D10">
        <w:rPr>
          <w:lang w:val="en-US" w:eastAsia="en-US"/>
        </w:rPr>
        <w:t xml:space="preserve">will retain their existing role, size, services and character. </w:t>
      </w:r>
      <w:r w:rsidRPr="00225D10">
        <w:rPr>
          <w:lang w:val="en-US" w:eastAsia="en-US"/>
        </w:rPr>
        <w:t>Therefore</w:t>
      </w:r>
      <w:r w:rsidR="005F31FE" w:rsidRPr="00225D10">
        <w:rPr>
          <w:lang w:val="en-US" w:eastAsia="en-US"/>
        </w:rPr>
        <w:t>,</w:t>
      </w:r>
      <w:r w:rsidRPr="00225D10">
        <w:rPr>
          <w:lang w:val="en-US" w:eastAsia="en-US"/>
        </w:rPr>
        <w:t xml:space="preserve"> only settlements identified as having the capacity for significant </w:t>
      </w:r>
      <w:r w:rsidR="00211BD9">
        <w:rPr>
          <w:lang w:val="en-US" w:eastAsia="en-US"/>
        </w:rPr>
        <w:t xml:space="preserve">or medium </w:t>
      </w:r>
      <w:r w:rsidRPr="00225D10">
        <w:rPr>
          <w:lang w:val="en-US" w:eastAsia="en-US"/>
        </w:rPr>
        <w:t>growth were considered when determin</w:t>
      </w:r>
      <w:r w:rsidR="005F31FE" w:rsidRPr="00225D10">
        <w:rPr>
          <w:lang w:val="en-US" w:eastAsia="en-US"/>
        </w:rPr>
        <w:t>in</w:t>
      </w:r>
      <w:r w:rsidRPr="00225D10">
        <w:rPr>
          <w:lang w:val="en-US" w:eastAsia="en-US"/>
        </w:rPr>
        <w:t>g the actual planned growth capacity of the region.</w:t>
      </w:r>
    </w:p>
    <w:p w:rsidR="00AB0AA1" w:rsidRPr="00225D10" w:rsidRDefault="00CE0DBA" w:rsidP="00D34F87">
      <w:pPr>
        <w:pStyle w:val="bt"/>
        <w:tabs>
          <w:tab w:val="left" w:pos="8931"/>
        </w:tabs>
        <w:rPr>
          <w:lang w:val="en-US" w:eastAsia="en-US"/>
        </w:rPr>
      </w:pPr>
      <w:r w:rsidRPr="00225D10">
        <w:rPr>
          <w:lang w:val="en-US" w:eastAsia="en-US"/>
        </w:rPr>
        <w:t>In its nominated growth areas, t</w:t>
      </w:r>
      <w:r w:rsidR="00097F36" w:rsidRPr="00225D10">
        <w:rPr>
          <w:lang w:val="en-US" w:eastAsia="en-US"/>
        </w:rPr>
        <w:t xml:space="preserve">he </w:t>
      </w:r>
      <w:r w:rsidR="005F31FE" w:rsidRPr="00225D10">
        <w:rPr>
          <w:lang w:val="en-US" w:eastAsia="en-US"/>
        </w:rPr>
        <w:t xml:space="preserve">Loddon Mallee South </w:t>
      </w:r>
      <w:r w:rsidR="00097F36" w:rsidRPr="00225D10">
        <w:rPr>
          <w:lang w:val="en-US" w:eastAsia="en-US"/>
        </w:rPr>
        <w:t xml:space="preserve">region has enough planned growth areas to accommodate </w:t>
      </w:r>
      <w:r w:rsidR="003100A0" w:rsidRPr="00225D10">
        <w:rPr>
          <w:lang w:val="en-US" w:eastAsia="en-US"/>
        </w:rPr>
        <w:t>an additional 63,400</w:t>
      </w:r>
      <w:r w:rsidR="00327797" w:rsidRPr="00225D10">
        <w:rPr>
          <w:lang w:val="en-US" w:eastAsia="en-US"/>
        </w:rPr>
        <w:t xml:space="preserve"> </w:t>
      </w:r>
      <w:r w:rsidR="00097F36" w:rsidRPr="00225D10">
        <w:rPr>
          <w:lang w:val="en-US" w:eastAsia="en-US"/>
        </w:rPr>
        <w:t>people</w:t>
      </w:r>
      <w:r w:rsidR="00D5052D" w:rsidRPr="00225D10">
        <w:rPr>
          <w:lang w:val="en-US" w:eastAsia="en-US"/>
        </w:rPr>
        <w:t>.</w:t>
      </w:r>
      <w:r w:rsidR="00407D03" w:rsidRPr="00225D10">
        <w:rPr>
          <w:lang w:val="en-US" w:eastAsia="en-US"/>
        </w:rPr>
        <w:t xml:space="preserve"> </w:t>
      </w:r>
      <w:r w:rsidR="00D5052D" w:rsidRPr="00225D10">
        <w:rPr>
          <w:lang w:val="en-US" w:eastAsia="en-US"/>
        </w:rPr>
        <w:t>It is estimated that in the urban area of Bendigo, a</w:t>
      </w:r>
      <w:r w:rsidR="00407D03" w:rsidRPr="00225D10">
        <w:rPr>
          <w:lang w:val="en-US" w:eastAsia="en-US"/>
        </w:rPr>
        <w:t xml:space="preserve">pproximately </w:t>
      </w:r>
      <w:r w:rsidR="000307F3" w:rsidRPr="00225D10">
        <w:rPr>
          <w:lang w:val="en-US" w:eastAsia="en-US"/>
        </w:rPr>
        <w:t>38,500</w:t>
      </w:r>
      <w:r w:rsidR="00407D03" w:rsidRPr="00225D10">
        <w:rPr>
          <w:lang w:val="en-US" w:eastAsia="en-US"/>
        </w:rPr>
        <w:t xml:space="preserve"> </w:t>
      </w:r>
      <w:r w:rsidR="00D5052D" w:rsidRPr="00225D10">
        <w:rPr>
          <w:lang w:val="en-US" w:eastAsia="en-US"/>
        </w:rPr>
        <w:t>people are</w:t>
      </w:r>
      <w:r w:rsidR="00407D03" w:rsidRPr="00225D10">
        <w:rPr>
          <w:lang w:val="en-US" w:eastAsia="en-US"/>
        </w:rPr>
        <w:t xml:space="preserve"> able to be accommodated</w:t>
      </w:r>
      <w:r w:rsidR="00D5052D" w:rsidRPr="00225D10">
        <w:rPr>
          <w:lang w:val="en-US" w:eastAsia="en-US"/>
        </w:rPr>
        <w:t>, 10,300 of which would be through infill</w:t>
      </w:r>
      <w:r w:rsidR="00407D03" w:rsidRPr="00225D10">
        <w:rPr>
          <w:lang w:val="en-US" w:eastAsia="en-US"/>
        </w:rPr>
        <w:t xml:space="preserve">. </w:t>
      </w:r>
      <w:r w:rsidR="008D757B" w:rsidRPr="00225D10">
        <w:rPr>
          <w:lang w:val="en-US" w:eastAsia="en-US"/>
        </w:rPr>
        <w:t xml:space="preserve">The </w:t>
      </w:r>
      <w:r w:rsidR="004543FF">
        <w:rPr>
          <w:lang w:val="en-US" w:eastAsia="en-US"/>
        </w:rPr>
        <w:t xml:space="preserve">Loddon Mallee South Regional Growth Plan </w:t>
      </w:r>
      <w:r w:rsidR="008D757B" w:rsidRPr="00225D10">
        <w:rPr>
          <w:lang w:val="en-US" w:eastAsia="en-US"/>
        </w:rPr>
        <w:t xml:space="preserve">Technical Working Group </w:t>
      </w:r>
      <w:r w:rsidR="00211BD9">
        <w:rPr>
          <w:lang w:val="en-US" w:eastAsia="en-US"/>
        </w:rPr>
        <w:t xml:space="preserve">considered the implications of </w:t>
      </w:r>
      <w:r w:rsidR="008D757B" w:rsidRPr="00225D10">
        <w:rPr>
          <w:lang w:val="en-US" w:eastAsia="en-US"/>
        </w:rPr>
        <w:t xml:space="preserve">Bendigo </w:t>
      </w:r>
      <w:r w:rsidR="00211BD9">
        <w:rPr>
          <w:lang w:val="en-US" w:eastAsia="en-US"/>
        </w:rPr>
        <w:t xml:space="preserve">growing to a population </w:t>
      </w:r>
      <w:r w:rsidR="008D757B" w:rsidRPr="00225D10">
        <w:rPr>
          <w:lang w:val="en-US" w:eastAsia="en-US"/>
        </w:rPr>
        <w:t>of 200,000 people</w:t>
      </w:r>
      <w:r w:rsidR="00211BD9">
        <w:rPr>
          <w:lang w:val="en-US" w:eastAsia="en-US"/>
        </w:rPr>
        <w:t xml:space="preserve"> by 2041</w:t>
      </w:r>
      <w:r w:rsidR="008D757B" w:rsidRPr="00225D10">
        <w:rPr>
          <w:lang w:val="en-US" w:eastAsia="en-US"/>
        </w:rPr>
        <w:t>. For a population of this order to be accommodated, a significant amount of land supply will need to be identified</w:t>
      </w:r>
      <w:r w:rsidR="00D9527C" w:rsidRPr="00225D10">
        <w:rPr>
          <w:lang w:val="en-US" w:eastAsia="en-US"/>
        </w:rPr>
        <w:t xml:space="preserve">, including </w:t>
      </w:r>
      <w:r w:rsidR="00D5052D" w:rsidRPr="00225D10">
        <w:rPr>
          <w:lang w:val="en-US" w:eastAsia="en-US"/>
        </w:rPr>
        <w:t xml:space="preserve">additional </w:t>
      </w:r>
      <w:r w:rsidR="00D9527C" w:rsidRPr="00225D10">
        <w:rPr>
          <w:lang w:val="en-US" w:eastAsia="en-US"/>
        </w:rPr>
        <w:t>infill opportunities</w:t>
      </w:r>
      <w:r w:rsidR="008D757B" w:rsidRPr="00225D10">
        <w:rPr>
          <w:lang w:val="en-US" w:eastAsia="en-US"/>
        </w:rPr>
        <w:t xml:space="preserve">. </w:t>
      </w:r>
      <w:r w:rsidR="004543FF" w:rsidRPr="00225D10">
        <w:rPr>
          <w:lang w:val="en-US" w:eastAsia="en-US"/>
        </w:rPr>
        <w:t xml:space="preserve">The Bendigo Residential Development Strategy </w:t>
      </w:r>
      <w:r w:rsidR="004543FF">
        <w:rPr>
          <w:lang w:val="en-US" w:eastAsia="en-US"/>
        </w:rPr>
        <w:t xml:space="preserve">review </w:t>
      </w:r>
      <w:r w:rsidR="004543FF" w:rsidRPr="00225D10">
        <w:rPr>
          <w:lang w:val="en-US" w:eastAsia="en-US"/>
        </w:rPr>
        <w:t xml:space="preserve">will examine </w:t>
      </w:r>
      <w:r w:rsidR="004543FF" w:rsidRPr="00225D10">
        <w:rPr>
          <w:lang w:eastAsia="en-US"/>
        </w:rPr>
        <w:t>the adequacy of residential land supply stocks and estimate additional land requirements to accommodate demand until 2030, having regard to the current level of supply.</w:t>
      </w:r>
    </w:p>
    <w:p w:rsidR="004C15E7" w:rsidRDefault="008D757B" w:rsidP="00D34F87">
      <w:pPr>
        <w:pStyle w:val="bt"/>
        <w:tabs>
          <w:tab w:val="left" w:pos="8931"/>
        </w:tabs>
        <w:rPr>
          <w:lang w:val="en-US" w:eastAsia="en-US"/>
        </w:rPr>
      </w:pPr>
      <w:r w:rsidRPr="00225D10">
        <w:rPr>
          <w:lang w:val="en-US" w:eastAsia="en-US"/>
        </w:rPr>
        <w:lastRenderedPageBreak/>
        <w:t>The Macedon Ranges Settlement Strategy states that towns in Macedon Ranges Shire have sufficiently zoned land out to 2036 to accommodate the recommended population projection, with the exception of Riddells Creek.</w:t>
      </w:r>
      <w:r w:rsidR="005F31FE" w:rsidRPr="00225D10">
        <w:rPr>
          <w:lang w:val="en-US" w:eastAsia="en-US"/>
        </w:rPr>
        <w:t xml:space="preserve"> </w:t>
      </w:r>
      <w:r w:rsidRPr="00225D10">
        <w:rPr>
          <w:lang w:val="en-US" w:eastAsia="en-US"/>
        </w:rPr>
        <w:t xml:space="preserve">Additional land supply will need to be identified for </w:t>
      </w:r>
      <w:r w:rsidR="004543FF">
        <w:rPr>
          <w:lang w:val="en-US" w:eastAsia="en-US"/>
        </w:rPr>
        <w:t>Riddell</w:t>
      </w:r>
      <w:r w:rsidR="004543FF" w:rsidRPr="00225D10">
        <w:rPr>
          <w:lang w:val="en-US" w:eastAsia="en-US"/>
        </w:rPr>
        <w:t>s</w:t>
      </w:r>
      <w:r w:rsidRPr="00225D10">
        <w:rPr>
          <w:lang w:val="en-US" w:eastAsia="en-US"/>
        </w:rPr>
        <w:t xml:space="preserve"> Creek and Talbot</w:t>
      </w:r>
      <w:r w:rsidR="00211BD9">
        <w:rPr>
          <w:lang w:val="en-US" w:eastAsia="en-US"/>
        </w:rPr>
        <w:t xml:space="preserve"> (in Central Goldfields Shire)</w:t>
      </w:r>
      <w:r w:rsidRPr="00225D10">
        <w:rPr>
          <w:lang w:val="en-US" w:eastAsia="en-US"/>
        </w:rPr>
        <w:t xml:space="preserve"> if these settlements are to grow. </w:t>
      </w:r>
      <w:r w:rsidR="00680EEE">
        <w:fldChar w:fldCharType="begin"/>
      </w:r>
      <w:r w:rsidR="00680EEE">
        <w:instrText xml:space="preserve"> REF _Ref352166111 \h  \* MERGEFORMAT </w:instrText>
      </w:r>
      <w:r w:rsidR="00680EEE">
        <w:fldChar w:fldCharType="separate"/>
      </w:r>
      <w:r w:rsidR="00EF1401" w:rsidRPr="00225D10">
        <w:t xml:space="preserve">Figure </w:t>
      </w:r>
      <w:r w:rsidR="00EF1401">
        <w:rPr>
          <w:noProof/>
        </w:rPr>
        <w:t>43</w:t>
      </w:r>
      <w:r w:rsidR="00680EEE">
        <w:fldChar w:fldCharType="end"/>
      </w:r>
      <w:r w:rsidR="00111EE5" w:rsidRPr="00225D10">
        <w:rPr>
          <w:i/>
          <w:lang w:val="en-US" w:eastAsia="en-US"/>
        </w:rPr>
        <w:t xml:space="preserve"> </w:t>
      </w:r>
      <w:r w:rsidR="00651B22" w:rsidRPr="00225D10">
        <w:rPr>
          <w:lang w:val="en-US" w:eastAsia="en-US"/>
        </w:rPr>
        <w:t>shows the theoretical land supply for those settlements identified for significant and medium growth</w:t>
      </w:r>
      <w:r w:rsidR="005F31FE" w:rsidRPr="00225D10">
        <w:rPr>
          <w:lang w:val="en-US" w:eastAsia="en-US"/>
        </w:rPr>
        <w:t>,</w:t>
      </w:r>
      <w:r w:rsidR="00651B22" w:rsidRPr="00225D10">
        <w:rPr>
          <w:lang w:val="en-US" w:eastAsia="en-US"/>
        </w:rPr>
        <w:t xml:space="preserve"> and the population this supply could potentially support.</w:t>
      </w:r>
      <w:r w:rsidR="00407D03" w:rsidRPr="00225D10">
        <w:rPr>
          <w:lang w:val="en-US" w:eastAsia="en-US"/>
        </w:rPr>
        <w:t xml:space="preserve"> </w:t>
      </w:r>
    </w:p>
    <w:p w:rsidR="00111EE5" w:rsidRDefault="00111EE5" w:rsidP="00D34F87">
      <w:pPr>
        <w:pStyle w:val="Caption"/>
        <w:tabs>
          <w:tab w:val="left" w:pos="8931"/>
        </w:tabs>
      </w:pPr>
      <w:bookmarkStart w:id="237" w:name="_Ref352166111"/>
      <w:bookmarkStart w:id="238" w:name="_Toc374530838"/>
      <w:r w:rsidRPr="00225D10">
        <w:t xml:space="preserve">Figure </w:t>
      </w:r>
      <w:r w:rsidR="00162534">
        <w:fldChar w:fldCharType="begin"/>
      </w:r>
      <w:r w:rsidR="00154847">
        <w:instrText xml:space="preserve"> SEQ Figure \* ARABIC </w:instrText>
      </w:r>
      <w:r w:rsidR="00162534">
        <w:fldChar w:fldCharType="separate"/>
      </w:r>
      <w:r w:rsidR="00EF1401">
        <w:rPr>
          <w:noProof/>
        </w:rPr>
        <w:t>43</w:t>
      </w:r>
      <w:r w:rsidR="00162534">
        <w:fldChar w:fldCharType="end"/>
      </w:r>
      <w:bookmarkEnd w:id="237"/>
      <w:r w:rsidR="00377F5C">
        <w:t xml:space="preserve">: </w:t>
      </w:r>
      <w:r w:rsidRPr="00225D10">
        <w:t>Planned population growth and potential population, nominated growth settlements</w:t>
      </w:r>
      <w:bookmarkEnd w:id="238"/>
    </w:p>
    <w:p w:rsidR="00D571DE" w:rsidRPr="008D0189" w:rsidRDefault="00D571DE" w:rsidP="00D571DE">
      <w:pPr>
        <w:pStyle w:val="bt"/>
        <w:spacing w:before="60" w:after="0"/>
        <w:rPr>
          <w:b/>
        </w:rPr>
      </w:pPr>
      <w:r w:rsidRPr="008D0189">
        <w:rPr>
          <w:b/>
        </w:rPr>
        <w:t>Locality – Mount Alexander (S</w:t>
      </w:r>
      <w:proofErr w:type="gramStart"/>
      <w:r w:rsidRPr="008D0189">
        <w:rPr>
          <w:b/>
        </w:rPr>
        <w:t>)  TOTAL</w:t>
      </w:r>
      <w:proofErr w:type="gramEnd"/>
    </w:p>
    <w:p w:rsidR="00D571DE" w:rsidRPr="008D0189" w:rsidRDefault="00D571DE" w:rsidP="005D4215">
      <w:pPr>
        <w:pStyle w:val="bt"/>
        <w:numPr>
          <w:ilvl w:val="0"/>
          <w:numId w:val="50"/>
        </w:numPr>
        <w:spacing w:before="60" w:after="0"/>
      </w:pPr>
      <w:r w:rsidRPr="008D0189">
        <w:t>No. lots 2011 –</w:t>
      </w:r>
      <w:r w:rsidR="00C31A92">
        <w:t xml:space="preserve"> </w:t>
      </w:r>
      <w:r w:rsidRPr="008D0189">
        <w:t>1418</w:t>
      </w:r>
    </w:p>
    <w:p w:rsidR="00D571DE" w:rsidRDefault="00D571DE" w:rsidP="005D4215">
      <w:pPr>
        <w:pStyle w:val="bt"/>
        <w:numPr>
          <w:ilvl w:val="0"/>
          <w:numId w:val="50"/>
        </w:numPr>
        <w:spacing w:before="60" w:after="0"/>
      </w:pPr>
      <w:r w:rsidRPr="00211BD9">
        <w:t>Household size</w:t>
      </w:r>
      <w:r>
        <w:t xml:space="preserve"> –</w:t>
      </w:r>
    </w:p>
    <w:p w:rsidR="00D571DE" w:rsidRPr="008D0189" w:rsidRDefault="00C31A92" w:rsidP="005D4215">
      <w:pPr>
        <w:pStyle w:val="bt"/>
        <w:numPr>
          <w:ilvl w:val="0"/>
          <w:numId w:val="50"/>
        </w:numPr>
        <w:spacing w:before="60" w:after="0"/>
      </w:pPr>
      <w:r>
        <w:t>Planned population growth** –3</w:t>
      </w:r>
      <w:r w:rsidR="00D571DE" w:rsidRPr="008D0189">
        <w:t>746</w:t>
      </w:r>
    </w:p>
    <w:p w:rsidR="00D571DE" w:rsidRPr="008D0189" w:rsidRDefault="00D571DE" w:rsidP="005D4215">
      <w:pPr>
        <w:pStyle w:val="bt"/>
        <w:numPr>
          <w:ilvl w:val="0"/>
          <w:numId w:val="50"/>
        </w:numPr>
        <w:spacing w:before="60" w:after="0"/>
      </w:pPr>
      <w:r w:rsidRPr="008D0189">
        <w:t>Existing 2011 population (LGA) – 17,591</w:t>
      </w:r>
    </w:p>
    <w:p w:rsidR="00D571DE" w:rsidRPr="008D0189" w:rsidRDefault="00D571DE" w:rsidP="005D4215">
      <w:pPr>
        <w:pStyle w:val="bt"/>
        <w:numPr>
          <w:ilvl w:val="0"/>
          <w:numId w:val="50"/>
        </w:numPr>
        <w:spacing w:before="60" w:after="0"/>
      </w:pPr>
      <w:r w:rsidRPr="008D0189">
        <w:t>Total population capacity – 21,337</w:t>
      </w:r>
    </w:p>
    <w:p w:rsidR="00D571DE" w:rsidRDefault="00D571DE" w:rsidP="00D571DE">
      <w:pPr>
        <w:pStyle w:val="bt"/>
        <w:spacing w:before="60" w:after="0"/>
      </w:pPr>
      <w:r>
        <w:t xml:space="preserve">Locality – </w:t>
      </w:r>
      <w:r w:rsidRPr="00211BD9">
        <w:t>Castlemaine</w:t>
      </w:r>
    </w:p>
    <w:p w:rsidR="00D571DE" w:rsidRPr="008D0189" w:rsidRDefault="00D571DE" w:rsidP="005D4215">
      <w:pPr>
        <w:pStyle w:val="bt"/>
        <w:numPr>
          <w:ilvl w:val="0"/>
          <w:numId w:val="50"/>
        </w:numPr>
        <w:spacing w:before="60" w:after="0"/>
      </w:pPr>
      <w:r w:rsidRPr="008D0189">
        <w:t>No. lots 2011 – 749</w:t>
      </w:r>
    </w:p>
    <w:p w:rsidR="00D571DE" w:rsidRDefault="00D571DE" w:rsidP="005D4215">
      <w:pPr>
        <w:pStyle w:val="bt"/>
        <w:numPr>
          <w:ilvl w:val="0"/>
          <w:numId w:val="50"/>
        </w:numPr>
        <w:spacing w:before="60" w:after="0"/>
      </w:pPr>
      <w:r w:rsidRPr="00211BD9">
        <w:t>Household size</w:t>
      </w:r>
      <w:r>
        <w:t xml:space="preserve"> – </w:t>
      </w:r>
      <w:r w:rsidRPr="00211BD9">
        <w:t>2.5</w:t>
      </w:r>
    </w:p>
    <w:p w:rsidR="00D571DE" w:rsidRDefault="00D571DE" w:rsidP="005D4215">
      <w:pPr>
        <w:pStyle w:val="bt"/>
        <w:numPr>
          <w:ilvl w:val="0"/>
          <w:numId w:val="50"/>
        </w:numPr>
        <w:spacing w:before="60" w:after="0"/>
      </w:pPr>
      <w:r w:rsidRPr="00211BD9">
        <w:t>Planned population growth**</w:t>
      </w:r>
      <w:r>
        <w:t xml:space="preserve"> – </w:t>
      </w:r>
      <w:r w:rsidRPr="00211BD9">
        <w:t>1873</w:t>
      </w:r>
    </w:p>
    <w:p w:rsidR="00D571DE" w:rsidRDefault="00D571DE" w:rsidP="005D4215">
      <w:pPr>
        <w:pStyle w:val="bt"/>
        <w:numPr>
          <w:ilvl w:val="0"/>
          <w:numId w:val="50"/>
        </w:numPr>
        <w:spacing w:before="60" w:after="0"/>
      </w:pPr>
      <w:r w:rsidRPr="00211BD9">
        <w:t>Existing 2011 population (LGA)</w:t>
      </w:r>
      <w:r>
        <w:t xml:space="preserve"> – </w:t>
      </w:r>
      <w:r w:rsidRPr="00211BD9">
        <w:t>9124</w:t>
      </w:r>
    </w:p>
    <w:p w:rsidR="00D571DE" w:rsidRPr="0095772B" w:rsidRDefault="00D571DE" w:rsidP="005D4215">
      <w:pPr>
        <w:pStyle w:val="bt"/>
        <w:numPr>
          <w:ilvl w:val="0"/>
          <w:numId w:val="50"/>
        </w:numPr>
        <w:spacing w:before="60" w:after="0"/>
      </w:pPr>
      <w:r w:rsidRPr="00211BD9">
        <w:t>Total population capacity</w:t>
      </w:r>
      <w:r>
        <w:t xml:space="preserve"> – </w:t>
      </w:r>
      <w:r w:rsidRPr="00211BD9">
        <w:t>10,997</w:t>
      </w:r>
    </w:p>
    <w:p w:rsidR="00D571DE" w:rsidRDefault="00D571DE" w:rsidP="00D571DE">
      <w:pPr>
        <w:pStyle w:val="bt"/>
        <w:spacing w:before="60" w:after="0"/>
      </w:pPr>
      <w:r>
        <w:t xml:space="preserve">Locality – </w:t>
      </w:r>
      <w:r w:rsidRPr="00211BD9">
        <w:t>Harcourt</w:t>
      </w:r>
    </w:p>
    <w:p w:rsidR="00D571DE" w:rsidRPr="008D0189" w:rsidRDefault="00D571DE" w:rsidP="005D4215">
      <w:pPr>
        <w:pStyle w:val="bt"/>
        <w:numPr>
          <w:ilvl w:val="0"/>
          <w:numId w:val="50"/>
        </w:numPr>
        <w:spacing w:before="60" w:after="0"/>
      </w:pPr>
      <w:r w:rsidRPr="008D0189">
        <w:t>No. lots 2011 – 669</w:t>
      </w:r>
    </w:p>
    <w:p w:rsidR="00D571DE" w:rsidRDefault="00D571DE" w:rsidP="005D4215">
      <w:pPr>
        <w:pStyle w:val="bt"/>
        <w:numPr>
          <w:ilvl w:val="0"/>
          <w:numId w:val="50"/>
        </w:numPr>
        <w:spacing w:before="60" w:after="0"/>
      </w:pPr>
      <w:r w:rsidRPr="00211BD9">
        <w:t>Household size</w:t>
      </w:r>
      <w:r>
        <w:t xml:space="preserve"> – </w:t>
      </w:r>
      <w:r w:rsidRPr="00211BD9">
        <w:t>2.8</w:t>
      </w:r>
    </w:p>
    <w:p w:rsidR="00D571DE" w:rsidRDefault="00D571DE" w:rsidP="005D4215">
      <w:pPr>
        <w:pStyle w:val="bt"/>
        <w:numPr>
          <w:ilvl w:val="0"/>
          <w:numId w:val="50"/>
        </w:numPr>
        <w:spacing w:before="60" w:after="0"/>
      </w:pPr>
      <w:r w:rsidRPr="00211BD9">
        <w:t>Planned population growth**</w:t>
      </w:r>
      <w:r>
        <w:t xml:space="preserve"> – </w:t>
      </w:r>
      <w:r w:rsidRPr="00211BD9">
        <w:t>1873</w:t>
      </w:r>
    </w:p>
    <w:p w:rsidR="00D571DE" w:rsidRDefault="00D571DE" w:rsidP="005D4215">
      <w:pPr>
        <w:pStyle w:val="bt"/>
        <w:numPr>
          <w:ilvl w:val="0"/>
          <w:numId w:val="50"/>
        </w:numPr>
        <w:spacing w:before="60" w:after="0"/>
      </w:pPr>
      <w:r w:rsidRPr="00211BD9">
        <w:t>Existing 2011 population (LGA)</w:t>
      </w:r>
      <w:r>
        <w:t xml:space="preserve"> – </w:t>
      </w:r>
      <w:r w:rsidRPr="00211BD9">
        <w:t>479</w:t>
      </w:r>
    </w:p>
    <w:p w:rsidR="00D571DE" w:rsidRPr="0095772B" w:rsidRDefault="00D571DE" w:rsidP="005D4215">
      <w:pPr>
        <w:pStyle w:val="bt"/>
        <w:numPr>
          <w:ilvl w:val="0"/>
          <w:numId w:val="50"/>
        </w:numPr>
        <w:spacing w:before="60" w:after="0"/>
      </w:pPr>
      <w:r w:rsidRPr="00211BD9">
        <w:t>Total population capacity</w:t>
      </w:r>
      <w:r>
        <w:t xml:space="preserve"> – </w:t>
      </w:r>
      <w:r w:rsidRPr="00211BD9">
        <w:t>2352</w:t>
      </w:r>
    </w:p>
    <w:p w:rsidR="00D571DE" w:rsidRPr="008D0189" w:rsidRDefault="00D571DE" w:rsidP="00D571DE">
      <w:pPr>
        <w:pStyle w:val="bt"/>
        <w:spacing w:before="60" w:after="0"/>
        <w:rPr>
          <w:b/>
        </w:rPr>
      </w:pPr>
      <w:r w:rsidRPr="008D0189">
        <w:rPr>
          <w:b/>
        </w:rPr>
        <w:t>Locality – Macedon Ranges (S) TOTAL</w:t>
      </w:r>
    </w:p>
    <w:p w:rsidR="00D571DE" w:rsidRPr="008D0189" w:rsidRDefault="00D571DE" w:rsidP="005D4215">
      <w:pPr>
        <w:pStyle w:val="bt"/>
        <w:numPr>
          <w:ilvl w:val="0"/>
          <w:numId w:val="50"/>
        </w:numPr>
        <w:spacing w:before="60" w:after="0"/>
      </w:pPr>
      <w:r w:rsidRPr="008D0189">
        <w:t>No. lots 2011 – 5051</w:t>
      </w:r>
    </w:p>
    <w:p w:rsidR="00D571DE" w:rsidRPr="008D0189" w:rsidRDefault="00D571DE" w:rsidP="005D4215">
      <w:pPr>
        <w:pStyle w:val="bt"/>
        <w:numPr>
          <w:ilvl w:val="0"/>
          <w:numId w:val="50"/>
        </w:numPr>
        <w:spacing w:before="60" w:after="0"/>
      </w:pPr>
      <w:r w:rsidRPr="008D0189">
        <w:t xml:space="preserve">Household size – </w:t>
      </w:r>
    </w:p>
    <w:p w:rsidR="00D571DE" w:rsidRPr="008D0189" w:rsidRDefault="00D571DE" w:rsidP="005D4215">
      <w:pPr>
        <w:pStyle w:val="bt"/>
        <w:numPr>
          <w:ilvl w:val="0"/>
          <w:numId w:val="50"/>
        </w:numPr>
        <w:spacing w:before="60" w:after="0"/>
      </w:pPr>
      <w:r w:rsidRPr="008D0189">
        <w:t>Planned population growth** – 14,340</w:t>
      </w:r>
    </w:p>
    <w:p w:rsidR="00D571DE" w:rsidRPr="008D0189" w:rsidRDefault="00D571DE" w:rsidP="005D4215">
      <w:pPr>
        <w:pStyle w:val="bt"/>
        <w:numPr>
          <w:ilvl w:val="0"/>
          <w:numId w:val="50"/>
        </w:numPr>
        <w:spacing w:before="60" w:after="0"/>
      </w:pPr>
      <w:r w:rsidRPr="008D0189">
        <w:t>Existing 2011 population (LGA) – 41,860</w:t>
      </w:r>
    </w:p>
    <w:p w:rsidR="00D571DE" w:rsidRPr="008D0189" w:rsidRDefault="00D571DE" w:rsidP="005D4215">
      <w:pPr>
        <w:pStyle w:val="bt"/>
        <w:numPr>
          <w:ilvl w:val="0"/>
          <w:numId w:val="50"/>
        </w:numPr>
        <w:spacing w:before="60" w:after="0"/>
      </w:pPr>
      <w:r w:rsidRPr="008D0189">
        <w:t>Total population capacity – 56,200</w:t>
      </w:r>
    </w:p>
    <w:p w:rsidR="00D571DE" w:rsidRDefault="00D571DE" w:rsidP="00D571DE">
      <w:pPr>
        <w:pStyle w:val="bt"/>
        <w:spacing w:before="60" w:after="0"/>
      </w:pPr>
      <w:r>
        <w:t xml:space="preserve">Locality – </w:t>
      </w:r>
      <w:r w:rsidRPr="00211BD9">
        <w:t>Kyneton</w:t>
      </w:r>
    </w:p>
    <w:p w:rsidR="00D571DE" w:rsidRPr="008D0189" w:rsidRDefault="00D571DE" w:rsidP="005D4215">
      <w:pPr>
        <w:pStyle w:val="bt"/>
        <w:numPr>
          <w:ilvl w:val="0"/>
          <w:numId w:val="50"/>
        </w:numPr>
        <w:spacing w:before="60" w:after="0"/>
      </w:pPr>
      <w:r w:rsidRPr="008D0189">
        <w:t>No. lots 2011 – 1270</w:t>
      </w:r>
    </w:p>
    <w:p w:rsidR="00D571DE" w:rsidRDefault="00D571DE" w:rsidP="005D4215">
      <w:pPr>
        <w:pStyle w:val="bt"/>
        <w:numPr>
          <w:ilvl w:val="0"/>
          <w:numId w:val="50"/>
        </w:numPr>
        <w:spacing w:before="60" w:after="0"/>
      </w:pPr>
      <w:r w:rsidRPr="00211BD9">
        <w:t>Household size</w:t>
      </w:r>
      <w:r>
        <w:t xml:space="preserve"> – </w:t>
      </w:r>
      <w:r w:rsidRPr="00211BD9">
        <w:t>2.56</w:t>
      </w:r>
    </w:p>
    <w:p w:rsidR="00D571DE" w:rsidRDefault="00D571DE" w:rsidP="005D4215">
      <w:pPr>
        <w:pStyle w:val="bt"/>
        <w:numPr>
          <w:ilvl w:val="0"/>
          <w:numId w:val="50"/>
        </w:numPr>
        <w:spacing w:before="60" w:after="0"/>
      </w:pPr>
      <w:r w:rsidRPr="00211BD9">
        <w:t>Planned population growth**</w:t>
      </w:r>
      <w:r>
        <w:t xml:space="preserve"> – </w:t>
      </w:r>
      <w:r w:rsidRPr="00211BD9">
        <w:t>3251</w:t>
      </w:r>
    </w:p>
    <w:p w:rsidR="00D571DE" w:rsidRDefault="00D571DE" w:rsidP="005D4215">
      <w:pPr>
        <w:pStyle w:val="bt"/>
        <w:numPr>
          <w:ilvl w:val="0"/>
          <w:numId w:val="50"/>
        </w:numPr>
        <w:spacing w:before="60" w:after="0"/>
      </w:pPr>
      <w:r w:rsidRPr="00211BD9">
        <w:t>Existing 2011 population (LGA)</w:t>
      </w:r>
      <w:r>
        <w:t xml:space="preserve"> – </w:t>
      </w:r>
      <w:r w:rsidRPr="00211BD9">
        <w:t>4460</w:t>
      </w:r>
    </w:p>
    <w:p w:rsidR="00D571DE" w:rsidRPr="0095772B" w:rsidRDefault="00D571DE" w:rsidP="005D4215">
      <w:pPr>
        <w:pStyle w:val="bt"/>
        <w:numPr>
          <w:ilvl w:val="0"/>
          <w:numId w:val="50"/>
        </w:numPr>
        <w:spacing w:before="60" w:after="0"/>
      </w:pPr>
      <w:r w:rsidRPr="00211BD9">
        <w:t>Total population capacity</w:t>
      </w:r>
      <w:r>
        <w:t xml:space="preserve"> – </w:t>
      </w:r>
      <w:r w:rsidRPr="00211BD9">
        <w:t>7711</w:t>
      </w:r>
    </w:p>
    <w:p w:rsidR="00D571DE" w:rsidRDefault="00D571DE" w:rsidP="00D571DE">
      <w:pPr>
        <w:pStyle w:val="bt"/>
        <w:spacing w:before="60" w:after="0"/>
      </w:pPr>
      <w:r>
        <w:t xml:space="preserve">Locality – </w:t>
      </w:r>
      <w:r w:rsidRPr="00211BD9">
        <w:t>Riddells Creek</w:t>
      </w:r>
    </w:p>
    <w:p w:rsidR="00D571DE" w:rsidRPr="008D0189" w:rsidRDefault="00D571DE" w:rsidP="005D4215">
      <w:pPr>
        <w:pStyle w:val="bt"/>
        <w:numPr>
          <w:ilvl w:val="0"/>
          <w:numId w:val="50"/>
        </w:numPr>
        <w:spacing w:before="60" w:after="0"/>
      </w:pPr>
      <w:r w:rsidRPr="008D0189">
        <w:t>No. lots 2011 – 486</w:t>
      </w:r>
    </w:p>
    <w:p w:rsidR="00D571DE" w:rsidRDefault="00D571DE" w:rsidP="005D4215">
      <w:pPr>
        <w:pStyle w:val="bt"/>
        <w:numPr>
          <w:ilvl w:val="0"/>
          <w:numId w:val="50"/>
        </w:numPr>
        <w:spacing w:before="60" w:after="0"/>
      </w:pPr>
      <w:r w:rsidRPr="00211BD9">
        <w:t>Household size</w:t>
      </w:r>
      <w:r>
        <w:t xml:space="preserve"> – </w:t>
      </w:r>
      <w:r w:rsidRPr="00211BD9">
        <w:t>3.04</w:t>
      </w:r>
    </w:p>
    <w:p w:rsidR="00D571DE" w:rsidRDefault="00D571DE" w:rsidP="005D4215">
      <w:pPr>
        <w:pStyle w:val="bt"/>
        <w:numPr>
          <w:ilvl w:val="0"/>
          <w:numId w:val="50"/>
        </w:numPr>
        <w:spacing w:before="60" w:after="0"/>
      </w:pPr>
      <w:r w:rsidRPr="00211BD9">
        <w:t>Planned population growth**</w:t>
      </w:r>
      <w:r>
        <w:t xml:space="preserve"> – </w:t>
      </w:r>
      <w:r w:rsidRPr="00211BD9">
        <w:t>1477</w:t>
      </w:r>
    </w:p>
    <w:p w:rsidR="00D571DE" w:rsidRDefault="00D571DE" w:rsidP="005D4215">
      <w:pPr>
        <w:pStyle w:val="bt"/>
        <w:numPr>
          <w:ilvl w:val="0"/>
          <w:numId w:val="50"/>
        </w:numPr>
        <w:spacing w:before="60" w:after="0"/>
      </w:pPr>
      <w:r w:rsidRPr="00211BD9">
        <w:t>Existing 2011 population (LGA)</w:t>
      </w:r>
      <w:r>
        <w:t xml:space="preserve"> – </w:t>
      </w:r>
      <w:r w:rsidRPr="00211BD9">
        <w:t>2976</w:t>
      </w:r>
    </w:p>
    <w:p w:rsidR="00D571DE" w:rsidRPr="0095772B" w:rsidRDefault="00D571DE" w:rsidP="005D4215">
      <w:pPr>
        <w:pStyle w:val="bt"/>
        <w:numPr>
          <w:ilvl w:val="0"/>
          <w:numId w:val="50"/>
        </w:numPr>
        <w:spacing w:before="60" w:after="0"/>
      </w:pPr>
      <w:r w:rsidRPr="00211BD9">
        <w:t>Total population capacity</w:t>
      </w:r>
      <w:r>
        <w:t xml:space="preserve"> – </w:t>
      </w:r>
      <w:r w:rsidRPr="00211BD9">
        <w:t>4453</w:t>
      </w:r>
    </w:p>
    <w:p w:rsidR="00D571DE" w:rsidRDefault="00D571DE" w:rsidP="00D571DE">
      <w:pPr>
        <w:pStyle w:val="bt"/>
        <w:spacing w:before="60" w:after="0"/>
      </w:pPr>
      <w:r>
        <w:lastRenderedPageBreak/>
        <w:t xml:space="preserve">Locality – </w:t>
      </w:r>
      <w:r w:rsidRPr="00211BD9">
        <w:t>Romsey</w:t>
      </w:r>
    </w:p>
    <w:p w:rsidR="00D571DE" w:rsidRPr="008D0189" w:rsidRDefault="00D571DE" w:rsidP="005D4215">
      <w:pPr>
        <w:pStyle w:val="bt"/>
        <w:numPr>
          <w:ilvl w:val="0"/>
          <w:numId w:val="50"/>
        </w:numPr>
        <w:spacing w:before="60" w:after="0"/>
      </w:pPr>
      <w:r w:rsidRPr="008D0189">
        <w:t>No. lots 2011 – 702</w:t>
      </w:r>
    </w:p>
    <w:p w:rsidR="00D571DE" w:rsidRDefault="00D571DE" w:rsidP="005D4215">
      <w:pPr>
        <w:pStyle w:val="bt"/>
        <w:numPr>
          <w:ilvl w:val="0"/>
          <w:numId w:val="50"/>
        </w:numPr>
        <w:spacing w:before="60" w:after="0"/>
      </w:pPr>
      <w:r w:rsidRPr="00211BD9">
        <w:t>Household size</w:t>
      </w:r>
      <w:r>
        <w:t xml:space="preserve"> – </w:t>
      </w:r>
      <w:r w:rsidRPr="00211BD9">
        <w:t>2.98</w:t>
      </w:r>
    </w:p>
    <w:p w:rsidR="00D571DE" w:rsidRDefault="00D571DE" w:rsidP="005D4215">
      <w:pPr>
        <w:pStyle w:val="bt"/>
        <w:numPr>
          <w:ilvl w:val="0"/>
          <w:numId w:val="50"/>
        </w:numPr>
        <w:spacing w:before="60" w:after="0"/>
      </w:pPr>
      <w:r w:rsidRPr="00211BD9">
        <w:t>Planned population growth**</w:t>
      </w:r>
      <w:r>
        <w:t xml:space="preserve"> – </w:t>
      </w:r>
      <w:r w:rsidRPr="00211BD9">
        <w:t>2092</w:t>
      </w:r>
    </w:p>
    <w:p w:rsidR="00D571DE" w:rsidRDefault="00D571DE" w:rsidP="005D4215">
      <w:pPr>
        <w:pStyle w:val="bt"/>
        <w:numPr>
          <w:ilvl w:val="0"/>
          <w:numId w:val="50"/>
        </w:numPr>
        <w:spacing w:before="60" w:after="0"/>
      </w:pPr>
      <w:r w:rsidRPr="00211BD9">
        <w:t>Existing 2011 population (LGA)</w:t>
      </w:r>
      <w:r>
        <w:t xml:space="preserve"> – </w:t>
      </w:r>
      <w:r w:rsidRPr="00211BD9">
        <w:t>3678</w:t>
      </w:r>
    </w:p>
    <w:p w:rsidR="00D571DE" w:rsidRPr="0095772B" w:rsidRDefault="00D571DE" w:rsidP="005D4215">
      <w:pPr>
        <w:pStyle w:val="bt"/>
        <w:numPr>
          <w:ilvl w:val="0"/>
          <w:numId w:val="50"/>
        </w:numPr>
        <w:spacing w:before="60" w:after="0"/>
      </w:pPr>
      <w:r w:rsidRPr="00211BD9">
        <w:t>Total population capacity</w:t>
      </w:r>
      <w:r>
        <w:t xml:space="preserve"> – </w:t>
      </w:r>
      <w:r w:rsidRPr="00211BD9">
        <w:t>5770</w:t>
      </w:r>
    </w:p>
    <w:p w:rsidR="00D571DE" w:rsidRDefault="00D571DE" w:rsidP="00D571DE">
      <w:pPr>
        <w:pStyle w:val="bt"/>
        <w:spacing w:before="60" w:after="0"/>
      </w:pPr>
      <w:r>
        <w:t xml:space="preserve">Locality – </w:t>
      </w:r>
      <w:r w:rsidRPr="00211BD9">
        <w:t>Gisborne</w:t>
      </w:r>
    </w:p>
    <w:p w:rsidR="00D571DE" w:rsidRPr="008D0189" w:rsidRDefault="00D571DE" w:rsidP="005D4215">
      <w:pPr>
        <w:pStyle w:val="bt"/>
        <w:numPr>
          <w:ilvl w:val="0"/>
          <w:numId w:val="50"/>
        </w:numPr>
        <w:spacing w:before="60" w:after="0"/>
      </w:pPr>
      <w:r w:rsidRPr="008D0189">
        <w:t>No. lots 2011 – 2593</w:t>
      </w:r>
    </w:p>
    <w:p w:rsidR="00D571DE" w:rsidRDefault="00D571DE" w:rsidP="005D4215">
      <w:pPr>
        <w:pStyle w:val="bt"/>
        <w:numPr>
          <w:ilvl w:val="0"/>
          <w:numId w:val="50"/>
        </w:numPr>
        <w:spacing w:before="60" w:after="0"/>
      </w:pPr>
      <w:r w:rsidRPr="00211BD9">
        <w:t>Household size</w:t>
      </w:r>
      <w:r>
        <w:t xml:space="preserve"> – </w:t>
      </w:r>
      <w:r w:rsidRPr="00211BD9">
        <w:t>2.9</w:t>
      </w:r>
    </w:p>
    <w:p w:rsidR="00D571DE" w:rsidRDefault="00D571DE" w:rsidP="005D4215">
      <w:pPr>
        <w:pStyle w:val="bt"/>
        <w:numPr>
          <w:ilvl w:val="0"/>
          <w:numId w:val="50"/>
        </w:numPr>
        <w:spacing w:before="60" w:after="0"/>
      </w:pPr>
      <w:r w:rsidRPr="00211BD9">
        <w:t>Planned population growth**</w:t>
      </w:r>
      <w:r>
        <w:t xml:space="preserve"> – </w:t>
      </w:r>
      <w:r w:rsidRPr="00211BD9">
        <w:t>7520</w:t>
      </w:r>
    </w:p>
    <w:p w:rsidR="00D571DE" w:rsidRDefault="00D571DE" w:rsidP="005D4215">
      <w:pPr>
        <w:pStyle w:val="bt"/>
        <w:numPr>
          <w:ilvl w:val="0"/>
          <w:numId w:val="50"/>
        </w:numPr>
        <w:spacing w:before="60" w:after="0"/>
      </w:pPr>
      <w:r w:rsidRPr="00211BD9">
        <w:t>Existing 2011 population (LGA)</w:t>
      </w:r>
      <w:r>
        <w:t xml:space="preserve"> – </w:t>
      </w:r>
      <w:r w:rsidRPr="00211BD9">
        <w:t>8057</w:t>
      </w:r>
    </w:p>
    <w:p w:rsidR="00D571DE" w:rsidRPr="0095772B" w:rsidRDefault="00D571DE" w:rsidP="005D4215">
      <w:pPr>
        <w:pStyle w:val="bt"/>
        <w:numPr>
          <w:ilvl w:val="0"/>
          <w:numId w:val="50"/>
        </w:numPr>
        <w:spacing w:before="60" w:after="0"/>
      </w:pPr>
      <w:r w:rsidRPr="00211BD9">
        <w:t>Total population capacity</w:t>
      </w:r>
      <w:r>
        <w:t xml:space="preserve"> – </w:t>
      </w:r>
      <w:r w:rsidRPr="00211BD9">
        <w:t>15,577</w:t>
      </w:r>
    </w:p>
    <w:p w:rsidR="00D571DE" w:rsidRPr="008D0189" w:rsidRDefault="00D571DE" w:rsidP="00D571DE">
      <w:pPr>
        <w:pStyle w:val="bt"/>
        <w:spacing w:before="60" w:after="0"/>
        <w:rPr>
          <w:b/>
        </w:rPr>
      </w:pPr>
      <w:r w:rsidRPr="008D0189">
        <w:rPr>
          <w:b/>
        </w:rPr>
        <w:t>Locality – Greater Bendigo (C) TOTAL</w:t>
      </w:r>
    </w:p>
    <w:p w:rsidR="00D571DE" w:rsidRPr="008D0189" w:rsidRDefault="00D571DE" w:rsidP="005D4215">
      <w:pPr>
        <w:pStyle w:val="bt"/>
        <w:numPr>
          <w:ilvl w:val="0"/>
          <w:numId w:val="50"/>
        </w:numPr>
        <w:spacing w:before="60" w:after="0"/>
      </w:pPr>
      <w:r w:rsidRPr="008D0189">
        <w:t>No. lots 2011 – 17,496</w:t>
      </w:r>
    </w:p>
    <w:p w:rsidR="00D571DE" w:rsidRPr="008D0189" w:rsidRDefault="00D571DE" w:rsidP="005D4215">
      <w:pPr>
        <w:pStyle w:val="bt"/>
        <w:numPr>
          <w:ilvl w:val="0"/>
          <w:numId w:val="50"/>
        </w:numPr>
        <w:spacing w:before="60" w:after="0"/>
      </w:pPr>
      <w:r w:rsidRPr="008D0189">
        <w:t xml:space="preserve">Household size – </w:t>
      </w:r>
    </w:p>
    <w:p w:rsidR="00D571DE" w:rsidRPr="008D0189" w:rsidRDefault="00D571DE" w:rsidP="005D4215">
      <w:pPr>
        <w:pStyle w:val="bt"/>
        <w:numPr>
          <w:ilvl w:val="0"/>
          <w:numId w:val="50"/>
        </w:numPr>
        <w:spacing w:before="60" w:after="0"/>
      </w:pPr>
      <w:r w:rsidRPr="008D0189">
        <w:t>Planned population growth** – 42,919</w:t>
      </w:r>
    </w:p>
    <w:p w:rsidR="00D571DE" w:rsidRPr="008D0189" w:rsidRDefault="00D571DE" w:rsidP="005D4215">
      <w:pPr>
        <w:pStyle w:val="bt"/>
        <w:numPr>
          <w:ilvl w:val="0"/>
          <w:numId w:val="50"/>
        </w:numPr>
        <w:spacing w:before="60" w:after="0"/>
      </w:pPr>
      <w:r w:rsidRPr="008D0189">
        <w:t>Existing 2011 population (LGA) – 100,617</w:t>
      </w:r>
    </w:p>
    <w:p w:rsidR="00D571DE" w:rsidRPr="008D0189" w:rsidRDefault="00D571DE" w:rsidP="005D4215">
      <w:pPr>
        <w:pStyle w:val="bt"/>
        <w:numPr>
          <w:ilvl w:val="0"/>
          <w:numId w:val="50"/>
        </w:numPr>
        <w:spacing w:before="60" w:after="0"/>
      </w:pPr>
      <w:r w:rsidRPr="008D0189">
        <w:t>Total population capacity – 143,536</w:t>
      </w:r>
    </w:p>
    <w:p w:rsidR="00D571DE" w:rsidRDefault="00D571DE" w:rsidP="00D571DE">
      <w:pPr>
        <w:pStyle w:val="bt"/>
        <w:spacing w:before="60" w:after="0"/>
      </w:pPr>
      <w:r>
        <w:t xml:space="preserve">Locality – </w:t>
      </w:r>
      <w:r w:rsidRPr="00211BD9">
        <w:t>Bendigo Urban Area only</w:t>
      </w:r>
    </w:p>
    <w:p w:rsidR="00D571DE" w:rsidRDefault="00D571DE" w:rsidP="005D4215">
      <w:pPr>
        <w:pStyle w:val="bt"/>
        <w:numPr>
          <w:ilvl w:val="0"/>
          <w:numId w:val="50"/>
        </w:numPr>
        <w:spacing w:before="60" w:after="0"/>
      </w:pPr>
      <w:r>
        <w:t xml:space="preserve">No. lots 2011 – </w:t>
      </w:r>
      <w:r w:rsidRPr="00211BD9">
        <w:t>15,433</w:t>
      </w:r>
    </w:p>
    <w:p w:rsidR="00D571DE" w:rsidRDefault="00D571DE" w:rsidP="005D4215">
      <w:pPr>
        <w:pStyle w:val="bt"/>
        <w:numPr>
          <w:ilvl w:val="0"/>
          <w:numId w:val="50"/>
        </w:numPr>
        <w:spacing w:before="60" w:after="0"/>
      </w:pPr>
      <w:r w:rsidRPr="00211BD9">
        <w:t>Household size</w:t>
      </w:r>
      <w:r>
        <w:t xml:space="preserve"> – </w:t>
      </w:r>
      <w:r w:rsidRPr="00211BD9">
        <w:t>2.5</w:t>
      </w:r>
    </w:p>
    <w:p w:rsidR="00D571DE" w:rsidRDefault="00D571DE" w:rsidP="005D4215">
      <w:pPr>
        <w:pStyle w:val="bt"/>
        <w:numPr>
          <w:ilvl w:val="0"/>
          <w:numId w:val="50"/>
        </w:numPr>
        <w:spacing w:before="60" w:after="0"/>
      </w:pPr>
      <w:r w:rsidRPr="00211BD9">
        <w:t>Planned population growth**</w:t>
      </w:r>
      <w:r>
        <w:t xml:space="preserve"> – </w:t>
      </w:r>
      <w:r w:rsidRPr="00211BD9">
        <w:t>38</w:t>
      </w:r>
      <w:r w:rsidR="00C31A92">
        <w:t>,</w:t>
      </w:r>
      <w:r w:rsidRPr="00211BD9">
        <w:t>581</w:t>
      </w:r>
    </w:p>
    <w:p w:rsidR="00D571DE" w:rsidRDefault="00D571DE" w:rsidP="005D4215">
      <w:pPr>
        <w:pStyle w:val="bt"/>
        <w:numPr>
          <w:ilvl w:val="0"/>
          <w:numId w:val="50"/>
        </w:numPr>
        <w:spacing w:before="60" w:after="0"/>
      </w:pPr>
      <w:r w:rsidRPr="00211BD9">
        <w:t>Existing 2011 population (LGA)</w:t>
      </w:r>
      <w:r>
        <w:t xml:space="preserve"> – </w:t>
      </w:r>
      <w:r w:rsidRPr="00211BD9">
        <w:t>82,794</w:t>
      </w:r>
    </w:p>
    <w:p w:rsidR="00D571DE" w:rsidRPr="0095772B" w:rsidRDefault="00D571DE" w:rsidP="005D4215">
      <w:pPr>
        <w:pStyle w:val="bt"/>
        <w:numPr>
          <w:ilvl w:val="0"/>
          <w:numId w:val="50"/>
        </w:numPr>
        <w:spacing w:before="60" w:after="0"/>
      </w:pPr>
      <w:r w:rsidRPr="00211BD9">
        <w:t>Total population capacity</w:t>
      </w:r>
      <w:r>
        <w:t xml:space="preserve"> – </w:t>
      </w:r>
      <w:r w:rsidRPr="00211BD9">
        <w:t>121</w:t>
      </w:r>
      <w:r w:rsidR="00C31A92">
        <w:t>,</w:t>
      </w:r>
      <w:r w:rsidRPr="00211BD9">
        <w:t>375</w:t>
      </w:r>
    </w:p>
    <w:p w:rsidR="00D571DE" w:rsidRDefault="00D571DE" w:rsidP="00D571DE">
      <w:pPr>
        <w:pStyle w:val="bt"/>
        <w:spacing w:before="60" w:after="0"/>
      </w:pPr>
      <w:r>
        <w:t xml:space="preserve">Locality – </w:t>
      </w:r>
      <w:r w:rsidRPr="00211BD9">
        <w:t>Heathcote</w:t>
      </w:r>
    </w:p>
    <w:p w:rsidR="00D571DE" w:rsidRDefault="00D571DE" w:rsidP="005D4215">
      <w:pPr>
        <w:pStyle w:val="bt"/>
        <w:numPr>
          <w:ilvl w:val="0"/>
          <w:numId w:val="50"/>
        </w:numPr>
        <w:spacing w:before="60" w:after="0"/>
      </w:pPr>
      <w:r>
        <w:t xml:space="preserve">No. lots 2011 – </w:t>
      </w:r>
      <w:r w:rsidRPr="00211BD9">
        <w:t>1300</w:t>
      </w:r>
    </w:p>
    <w:p w:rsidR="00D571DE" w:rsidRDefault="00D571DE" w:rsidP="005D4215">
      <w:pPr>
        <w:pStyle w:val="bt"/>
        <w:numPr>
          <w:ilvl w:val="0"/>
          <w:numId w:val="50"/>
        </w:numPr>
        <w:spacing w:before="60" w:after="0"/>
      </w:pPr>
      <w:r w:rsidRPr="00211BD9">
        <w:t>Household size</w:t>
      </w:r>
      <w:r>
        <w:t xml:space="preserve"> – </w:t>
      </w:r>
      <w:r w:rsidRPr="00211BD9">
        <w:t>2.3</w:t>
      </w:r>
    </w:p>
    <w:p w:rsidR="00D571DE" w:rsidRDefault="00D571DE" w:rsidP="005D4215">
      <w:pPr>
        <w:pStyle w:val="bt"/>
        <w:numPr>
          <w:ilvl w:val="0"/>
          <w:numId w:val="50"/>
        </w:numPr>
        <w:spacing w:before="60" w:after="0"/>
      </w:pPr>
      <w:r w:rsidRPr="00211BD9">
        <w:t>Planned population growth**</w:t>
      </w:r>
      <w:r>
        <w:t xml:space="preserve"> – </w:t>
      </w:r>
      <w:r w:rsidRPr="00211BD9">
        <w:t>2990</w:t>
      </w:r>
    </w:p>
    <w:p w:rsidR="00D571DE" w:rsidRDefault="00D571DE" w:rsidP="005D4215">
      <w:pPr>
        <w:pStyle w:val="bt"/>
        <w:numPr>
          <w:ilvl w:val="0"/>
          <w:numId w:val="50"/>
        </w:numPr>
        <w:spacing w:before="60" w:after="0"/>
      </w:pPr>
      <w:r w:rsidRPr="00211BD9">
        <w:t>Existing 2011 population (LGA)</w:t>
      </w:r>
      <w:r>
        <w:t xml:space="preserve"> – </w:t>
      </w:r>
      <w:r w:rsidRPr="00211BD9">
        <w:t>1688</w:t>
      </w:r>
    </w:p>
    <w:p w:rsidR="00D571DE" w:rsidRPr="0095772B" w:rsidRDefault="00D571DE" w:rsidP="005D4215">
      <w:pPr>
        <w:pStyle w:val="bt"/>
        <w:numPr>
          <w:ilvl w:val="0"/>
          <w:numId w:val="50"/>
        </w:numPr>
        <w:spacing w:before="60" w:after="0"/>
      </w:pPr>
      <w:r w:rsidRPr="00211BD9">
        <w:t>Total population capacity</w:t>
      </w:r>
      <w:r>
        <w:t xml:space="preserve"> – </w:t>
      </w:r>
      <w:r w:rsidRPr="00211BD9">
        <w:t>4678</w:t>
      </w:r>
    </w:p>
    <w:p w:rsidR="00D571DE" w:rsidRDefault="00D571DE" w:rsidP="00D571DE">
      <w:pPr>
        <w:pStyle w:val="bt"/>
        <w:spacing w:before="60" w:after="0"/>
      </w:pPr>
      <w:r>
        <w:t xml:space="preserve">Locality – </w:t>
      </w:r>
      <w:r w:rsidRPr="00211BD9">
        <w:t>Marong</w:t>
      </w:r>
    </w:p>
    <w:p w:rsidR="00D571DE" w:rsidRDefault="00D571DE" w:rsidP="005D4215">
      <w:pPr>
        <w:pStyle w:val="bt"/>
        <w:numPr>
          <w:ilvl w:val="0"/>
          <w:numId w:val="50"/>
        </w:numPr>
        <w:spacing w:before="60" w:after="0"/>
      </w:pPr>
      <w:r>
        <w:t xml:space="preserve">No. lots 2011 – </w:t>
      </w:r>
      <w:r w:rsidRPr="00211BD9">
        <w:t>539</w:t>
      </w:r>
    </w:p>
    <w:p w:rsidR="00D571DE" w:rsidRDefault="00D571DE" w:rsidP="005D4215">
      <w:pPr>
        <w:pStyle w:val="bt"/>
        <w:numPr>
          <w:ilvl w:val="0"/>
          <w:numId w:val="50"/>
        </w:numPr>
        <w:spacing w:before="60" w:after="0"/>
      </w:pPr>
      <w:r w:rsidRPr="00211BD9">
        <w:t>Household size</w:t>
      </w:r>
      <w:r>
        <w:t xml:space="preserve"> – </w:t>
      </w:r>
      <w:r w:rsidRPr="00211BD9">
        <w:t>2.5</w:t>
      </w:r>
    </w:p>
    <w:p w:rsidR="00D571DE" w:rsidRDefault="00D571DE" w:rsidP="005D4215">
      <w:pPr>
        <w:pStyle w:val="bt"/>
        <w:numPr>
          <w:ilvl w:val="0"/>
          <w:numId w:val="50"/>
        </w:numPr>
        <w:spacing w:before="60" w:after="0"/>
      </w:pPr>
      <w:r w:rsidRPr="00211BD9">
        <w:t>Planned population growth**</w:t>
      </w:r>
      <w:r>
        <w:t xml:space="preserve"> – </w:t>
      </w:r>
      <w:r w:rsidRPr="00211BD9">
        <w:t>1348</w:t>
      </w:r>
    </w:p>
    <w:p w:rsidR="00D571DE" w:rsidRDefault="00D571DE" w:rsidP="005D4215">
      <w:pPr>
        <w:pStyle w:val="bt"/>
        <w:numPr>
          <w:ilvl w:val="0"/>
          <w:numId w:val="50"/>
        </w:numPr>
        <w:spacing w:before="60" w:after="0"/>
      </w:pPr>
      <w:r w:rsidRPr="00211BD9">
        <w:t>Existing 2011 population (LGA)</w:t>
      </w:r>
      <w:r>
        <w:t xml:space="preserve"> – </w:t>
      </w:r>
      <w:r w:rsidRPr="00211BD9">
        <w:t>351</w:t>
      </w:r>
    </w:p>
    <w:p w:rsidR="00D571DE" w:rsidRPr="0095772B" w:rsidRDefault="00D571DE" w:rsidP="005D4215">
      <w:pPr>
        <w:pStyle w:val="bt"/>
        <w:numPr>
          <w:ilvl w:val="0"/>
          <w:numId w:val="50"/>
        </w:numPr>
        <w:spacing w:before="60" w:after="0"/>
      </w:pPr>
      <w:r w:rsidRPr="00211BD9">
        <w:t>Total population capacity</w:t>
      </w:r>
      <w:r>
        <w:t xml:space="preserve"> – </w:t>
      </w:r>
      <w:r w:rsidRPr="00211BD9">
        <w:t>1698</w:t>
      </w:r>
    </w:p>
    <w:p w:rsidR="00D571DE" w:rsidRPr="008D0189" w:rsidRDefault="00D571DE" w:rsidP="00D571DE">
      <w:pPr>
        <w:pStyle w:val="bt"/>
        <w:spacing w:before="60" w:after="0"/>
        <w:rPr>
          <w:b/>
        </w:rPr>
      </w:pPr>
      <w:r w:rsidRPr="008D0189">
        <w:rPr>
          <w:b/>
        </w:rPr>
        <w:t>Locality – Loddon (S) TOTAL</w:t>
      </w:r>
    </w:p>
    <w:p w:rsidR="00D571DE" w:rsidRPr="008D0189" w:rsidRDefault="00D571DE" w:rsidP="005D4215">
      <w:pPr>
        <w:pStyle w:val="bt"/>
        <w:numPr>
          <w:ilvl w:val="0"/>
          <w:numId w:val="50"/>
        </w:numPr>
        <w:spacing w:before="60" w:after="0"/>
      </w:pPr>
      <w:r w:rsidRPr="008D0189">
        <w:t>No. lots 2011 – 301</w:t>
      </w:r>
    </w:p>
    <w:p w:rsidR="00D571DE" w:rsidRPr="008D0189" w:rsidRDefault="00D571DE" w:rsidP="005D4215">
      <w:pPr>
        <w:pStyle w:val="bt"/>
        <w:numPr>
          <w:ilvl w:val="0"/>
          <w:numId w:val="50"/>
        </w:numPr>
        <w:spacing w:before="60" w:after="0"/>
      </w:pPr>
      <w:r w:rsidRPr="008D0189">
        <w:t xml:space="preserve">Household size – </w:t>
      </w:r>
    </w:p>
    <w:p w:rsidR="00D571DE" w:rsidRPr="008D0189" w:rsidRDefault="00D571DE" w:rsidP="005D4215">
      <w:pPr>
        <w:pStyle w:val="bt"/>
        <w:numPr>
          <w:ilvl w:val="0"/>
          <w:numId w:val="50"/>
        </w:numPr>
        <w:spacing w:before="60" w:after="0"/>
      </w:pPr>
      <w:r w:rsidRPr="008D0189">
        <w:t>Planned population growth** – 713</w:t>
      </w:r>
    </w:p>
    <w:p w:rsidR="00D571DE" w:rsidRPr="008D0189" w:rsidRDefault="00D571DE" w:rsidP="005D4215">
      <w:pPr>
        <w:pStyle w:val="bt"/>
        <w:numPr>
          <w:ilvl w:val="0"/>
          <w:numId w:val="50"/>
        </w:numPr>
        <w:spacing w:before="60" w:after="0"/>
      </w:pPr>
      <w:r w:rsidRPr="008D0189">
        <w:t>Existing 2011 population (LGA) – 7459</w:t>
      </w:r>
    </w:p>
    <w:p w:rsidR="00D571DE" w:rsidRPr="008D0189" w:rsidRDefault="00D571DE" w:rsidP="005D4215">
      <w:pPr>
        <w:pStyle w:val="bt"/>
        <w:numPr>
          <w:ilvl w:val="0"/>
          <w:numId w:val="50"/>
        </w:numPr>
        <w:spacing w:before="60" w:after="0"/>
      </w:pPr>
      <w:r w:rsidRPr="008D0189">
        <w:t>Total population capacity – 8171</w:t>
      </w:r>
    </w:p>
    <w:p w:rsidR="00D571DE" w:rsidRDefault="00D571DE" w:rsidP="00D571DE">
      <w:pPr>
        <w:pStyle w:val="bt"/>
        <w:spacing w:before="60" w:after="0"/>
      </w:pPr>
      <w:r>
        <w:t xml:space="preserve">Locality – </w:t>
      </w:r>
      <w:r w:rsidRPr="00211BD9">
        <w:t>Bridgewater</w:t>
      </w:r>
    </w:p>
    <w:p w:rsidR="00D571DE" w:rsidRDefault="00D571DE" w:rsidP="005D4215">
      <w:pPr>
        <w:pStyle w:val="bt"/>
        <w:numPr>
          <w:ilvl w:val="0"/>
          <w:numId w:val="50"/>
        </w:numPr>
        <w:spacing w:before="60" w:after="0"/>
      </w:pPr>
      <w:r>
        <w:lastRenderedPageBreak/>
        <w:t xml:space="preserve">No. lots 2011 – </w:t>
      </w:r>
      <w:r w:rsidRPr="00211BD9">
        <w:t>10</w:t>
      </w:r>
    </w:p>
    <w:p w:rsidR="00D571DE" w:rsidRDefault="00D571DE" w:rsidP="005D4215">
      <w:pPr>
        <w:pStyle w:val="bt"/>
        <w:numPr>
          <w:ilvl w:val="0"/>
          <w:numId w:val="50"/>
        </w:numPr>
        <w:spacing w:before="60" w:after="0"/>
      </w:pPr>
      <w:r w:rsidRPr="00211BD9">
        <w:t>Household size</w:t>
      </w:r>
      <w:r>
        <w:t xml:space="preserve"> – </w:t>
      </w:r>
      <w:r w:rsidRPr="00211BD9">
        <w:t>2.57</w:t>
      </w:r>
    </w:p>
    <w:p w:rsidR="00D571DE" w:rsidRDefault="00D571DE" w:rsidP="005D4215">
      <w:pPr>
        <w:pStyle w:val="bt"/>
        <w:numPr>
          <w:ilvl w:val="0"/>
          <w:numId w:val="50"/>
        </w:numPr>
        <w:spacing w:before="60" w:after="0"/>
      </w:pPr>
      <w:r w:rsidRPr="00211BD9">
        <w:t>Planned population growth**</w:t>
      </w:r>
      <w:r>
        <w:t xml:space="preserve"> – </w:t>
      </w:r>
      <w:r w:rsidRPr="00211BD9">
        <w:t>26</w:t>
      </w:r>
    </w:p>
    <w:p w:rsidR="00D571DE" w:rsidRDefault="00D571DE" w:rsidP="005D4215">
      <w:pPr>
        <w:pStyle w:val="bt"/>
        <w:numPr>
          <w:ilvl w:val="0"/>
          <w:numId w:val="50"/>
        </w:numPr>
        <w:spacing w:before="60" w:after="0"/>
      </w:pPr>
      <w:r w:rsidRPr="00211BD9">
        <w:t>Existing 2011 population (LGA)</w:t>
      </w:r>
      <w:r>
        <w:t xml:space="preserve"> – </w:t>
      </w:r>
      <w:r w:rsidRPr="00211BD9">
        <w:t>363</w:t>
      </w:r>
    </w:p>
    <w:p w:rsidR="00D571DE" w:rsidRPr="0095772B" w:rsidRDefault="00D571DE" w:rsidP="005D4215">
      <w:pPr>
        <w:pStyle w:val="bt"/>
        <w:numPr>
          <w:ilvl w:val="0"/>
          <w:numId w:val="50"/>
        </w:numPr>
        <w:spacing w:before="60" w:after="0"/>
      </w:pPr>
      <w:r w:rsidRPr="00211BD9">
        <w:t>Total population capacity</w:t>
      </w:r>
      <w:r>
        <w:t xml:space="preserve"> – </w:t>
      </w:r>
      <w:r w:rsidRPr="00211BD9">
        <w:t>389</w:t>
      </w:r>
    </w:p>
    <w:p w:rsidR="00D571DE" w:rsidRDefault="00D571DE" w:rsidP="00D571DE">
      <w:pPr>
        <w:pStyle w:val="bt"/>
        <w:spacing w:before="60" w:after="0"/>
      </w:pPr>
      <w:r>
        <w:t xml:space="preserve">Locality – </w:t>
      </w:r>
      <w:r w:rsidRPr="00211BD9">
        <w:t>Inglewood</w:t>
      </w:r>
    </w:p>
    <w:p w:rsidR="00D571DE" w:rsidRDefault="00D571DE" w:rsidP="005D4215">
      <w:pPr>
        <w:pStyle w:val="bt"/>
        <w:numPr>
          <w:ilvl w:val="0"/>
          <w:numId w:val="50"/>
        </w:numPr>
        <w:spacing w:before="60" w:after="0"/>
      </w:pPr>
      <w:r>
        <w:t xml:space="preserve">No. lots 2011 – </w:t>
      </w:r>
      <w:r w:rsidRPr="00211BD9">
        <w:t>291</w:t>
      </w:r>
    </w:p>
    <w:p w:rsidR="00D571DE" w:rsidRDefault="00D571DE" w:rsidP="005D4215">
      <w:pPr>
        <w:pStyle w:val="bt"/>
        <w:numPr>
          <w:ilvl w:val="0"/>
          <w:numId w:val="50"/>
        </w:numPr>
        <w:spacing w:before="60" w:after="0"/>
      </w:pPr>
      <w:r w:rsidRPr="00211BD9">
        <w:t>Household size</w:t>
      </w:r>
      <w:r>
        <w:t xml:space="preserve"> – </w:t>
      </w:r>
      <w:r w:rsidRPr="00211BD9">
        <w:t>2.36</w:t>
      </w:r>
    </w:p>
    <w:p w:rsidR="00D571DE" w:rsidRDefault="00D571DE" w:rsidP="005D4215">
      <w:pPr>
        <w:pStyle w:val="bt"/>
        <w:numPr>
          <w:ilvl w:val="0"/>
          <w:numId w:val="50"/>
        </w:numPr>
        <w:spacing w:before="60" w:after="0"/>
      </w:pPr>
      <w:r w:rsidRPr="00211BD9">
        <w:t>Planned population growth**</w:t>
      </w:r>
      <w:r>
        <w:t xml:space="preserve"> – </w:t>
      </w:r>
      <w:r w:rsidRPr="00211BD9">
        <w:t>687</w:t>
      </w:r>
    </w:p>
    <w:p w:rsidR="00D571DE" w:rsidRDefault="00D571DE" w:rsidP="005D4215">
      <w:pPr>
        <w:pStyle w:val="bt"/>
        <w:numPr>
          <w:ilvl w:val="0"/>
          <w:numId w:val="50"/>
        </w:numPr>
        <w:spacing w:before="60" w:after="0"/>
      </w:pPr>
      <w:r w:rsidRPr="00211BD9">
        <w:t>Existing 2011 population (LGA)</w:t>
      </w:r>
      <w:r>
        <w:t xml:space="preserve"> – </w:t>
      </w:r>
      <w:r w:rsidRPr="00211BD9">
        <w:t>711</w:t>
      </w:r>
    </w:p>
    <w:p w:rsidR="00D571DE" w:rsidRPr="0095772B" w:rsidRDefault="00D571DE" w:rsidP="005D4215">
      <w:pPr>
        <w:pStyle w:val="bt"/>
        <w:numPr>
          <w:ilvl w:val="0"/>
          <w:numId w:val="50"/>
        </w:numPr>
        <w:spacing w:before="60" w:after="0"/>
      </w:pPr>
      <w:r w:rsidRPr="00211BD9">
        <w:t>Total population capacity</w:t>
      </w:r>
      <w:r>
        <w:t xml:space="preserve"> – </w:t>
      </w:r>
      <w:r w:rsidRPr="00211BD9">
        <w:t>1398</w:t>
      </w:r>
    </w:p>
    <w:p w:rsidR="00D571DE" w:rsidRPr="008D0189" w:rsidRDefault="00D571DE" w:rsidP="00D571DE">
      <w:pPr>
        <w:pStyle w:val="bt"/>
        <w:spacing w:before="60" w:after="0"/>
        <w:rPr>
          <w:b/>
        </w:rPr>
      </w:pPr>
      <w:r w:rsidRPr="008D0189">
        <w:rPr>
          <w:b/>
        </w:rPr>
        <w:t>Locality – Central Goldfields (S) TOTAL</w:t>
      </w:r>
    </w:p>
    <w:p w:rsidR="00D571DE" w:rsidRPr="008D0189" w:rsidRDefault="00D571DE" w:rsidP="005D4215">
      <w:pPr>
        <w:pStyle w:val="bt"/>
        <w:numPr>
          <w:ilvl w:val="0"/>
          <w:numId w:val="50"/>
        </w:numPr>
        <w:spacing w:before="60" w:after="0"/>
      </w:pPr>
      <w:r w:rsidRPr="008D0189">
        <w:t>No. lots 2011 – 710</w:t>
      </w:r>
    </w:p>
    <w:p w:rsidR="00D571DE" w:rsidRPr="008D0189" w:rsidRDefault="00D571DE" w:rsidP="005D4215">
      <w:pPr>
        <w:pStyle w:val="bt"/>
        <w:numPr>
          <w:ilvl w:val="0"/>
          <w:numId w:val="50"/>
        </w:numPr>
        <w:spacing w:before="60" w:after="0"/>
      </w:pPr>
      <w:r w:rsidRPr="008D0189">
        <w:t xml:space="preserve">Household size – </w:t>
      </w:r>
    </w:p>
    <w:p w:rsidR="00D571DE" w:rsidRPr="008D0189" w:rsidRDefault="00D571DE" w:rsidP="005D4215">
      <w:pPr>
        <w:pStyle w:val="bt"/>
        <w:numPr>
          <w:ilvl w:val="0"/>
          <w:numId w:val="50"/>
        </w:numPr>
        <w:spacing w:before="60" w:after="0"/>
      </w:pPr>
      <w:r w:rsidRPr="008D0189">
        <w:t>Planned population growth** – 1686</w:t>
      </w:r>
    </w:p>
    <w:p w:rsidR="00D571DE" w:rsidRPr="008D0189" w:rsidRDefault="00D571DE" w:rsidP="005D4215">
      <w:pPr>
        <w:pStyle w:val="bt"/>
        <w:numPr>
          <w:ilvl w:val="0"/>
          <w:numId w:val="50"/>
        </w:numPr>
        <w:spacing w:before="60" w:after="0"/>
      </w:pPr>
      <w:r w:rsidRPr="008D0189">
        <w:t>Existing 2011 population (LGA) – 12,496</w:t>
      </w:r>
    </w:p>
    <w:p w:rsidR="00D571DE" w:rsidRPr="008D0189" w:rsidRDefault="00D571DE" w:rsidP="005D4215">
      <w:pPr>
        <w:pStyle w:val="bt"/>
        <w:numPr>
          <w:ilvl w:val="0"/>
          <w:numId w:val="50"/>
        </w:numPr>
        <w:spacing w:before="60" w:after="0"/>
      </w:pPr>
      <w:r w:rsidRPr="008D0189">
        <w:t>Total population capacity – 14,182</w:t>
      </w:r>
    </w:p>
    <w:p w:rsidR="00D571DE" w:rsidRDefault="00D571DE" w:rsidP="00D571DE">
      <w:pPr>
        <w:pStyle w:val="bt"/>
        <w:spacing w:before="60" w:after="0"/>
      </w:pPr>
      <w:r>
        <w:t xml:space="preserve">Locality – </w:t>
      </w:r>
      <w:r w:rsidRPr="00211BD9">
        <w:t>Maryborough</w:t>
      </w:r>
    </w:p>
    <w:p w:rsidR="00D571DE" w:rsidRDefault="00D571DE" w:rsidP="005D4215">
      <w:pPr>
        <w:pStyle w:val="bt"/>
        <w:numPr>
          <w:ilvl w:val="0"/>
          <w:numId w:val="50"/>
        </w:numPr>
        <w:spacing w:before="60" w:after="0"/>
      </w:pPr>
      <w:r>
        <w:t xml:space="preserve">No. lots 2011 – </w:t>
      </w:r>
      <w:r w:rsidRPr="00211BD9">
        <w:t>590</w:t>
      </w:r>
    </w:p>
    <w:p w:rsidR="00D571DE" w:rsidRDefault="00D571DE" w:rsidP="005D4215">
      <w:pPr>
        <w:pStyle w:val="bt"/>
        <w:numPr>
          <w:ilvl w:val="0"/>
          <w:numId w:val="50"/>
        </w:numPr>
        <w:spacing w:before="60" w:after="0"/>
      </w:pPr>
      <w:r w:rsidRPr="00211BD9">
        <w:t>Household size</w:t>
      </w:r>
      <w:r>
        <w:t xml:space="preserve"> – </w:t>
      </w:r>
      <w:r w:rsidRPr="00211BD9">
        <w:t>2.3</w:t>
      </w:r>
    </w:p>
    <w:p w:rsidR="00D571DE" w:rsidRDefault="00D571DE" w:rsidP="005D4215">
      <w:pPr>
        <w:pStyle w:val="bt"/>
        <w:numPr>
          <w:ilvl w:val="0"/>
          <w:numId w:val="50"/>
        </w:numPr>
        <w:spacing w:before="60" w:after="0"/>
      </w:pPr>
      <w:r w:rsidRPr="00211BD9">
        <w:t>Planned population growth**</w:t>
      </w:r>
      <w:r>
        <w:t xml:space="preserve"> – </w:t>
      </w:r>
      <w:r w:rsidRPr="00211BD9">
        <w:t>1357</w:t>
      </w:r>
    </w:p>
    <w:p w:rsidR="00D571DE" w:rsidRDefault="00D571DE" w:rsidP="005D4215">
      <w:pPr>
        <w:pStyle w:val="bt"/>
        <w:numPr>
          <w:ilvl w:val="0"/>
          <w:numId w:val="50"/>
        </w:numPr>
        <w:spacing w:before="60" w:after="0"/>
      </w:pPr>
      <w:r w:rsidRPr="00211BD9">
        <w:t>Existing 2011 population (LGA)</w:t>
      </w:r>
      <w:r>
        <w:t xml:space="preserve"> – </w:t>
      </w:r>
      <w:r w:rsidRPr="00211BD9">
        <w:t>7171</w:t>
      </w:r>
    </w:p>
    <w:p w:rsidR="00D571DE" w:rsidRPr="0095772B" w:rsidRDefault="00D571DE" w:rsidP="005D4215">
      <w:pPr>
        <w:pStyle w:val="bt"/>
        <w:numPr>
          <w:ilvl w:val="0"/>
          <w:numId w:val="50"/>
        </w:numPr>
        <w:spacing w:before="60" w:after="0"/>
      </w:pPr>
      <w:r w:rsidRPr="00211BD9">
        <w:t>Total population capacity</w:t>
      </w:r>
      <w:r>
        <w:t xml:space="preserve"> – </w:t>
      </w:r>
      <w:r w:rsidRPr="00211BD9">
        <w:t>8528</w:t>
      </w:r>
    </w:p>
    <w:p w:rsidR="00D571DE" w:rsidRDefault="00D571DE" w:rsidP="00D571DE">
      <w:pPr>
        <w:pStyle w:val="bt"/>
        <w:spacing w:before="60" w:after="0"/>
      </w:pPr>
      <w:r>
        <w:t xml:space="preserve">Locality – </w:t>
      </w:r>
      <w:r w:rsidRPr="00211BD9">
        <w:t>Carisbrook</w:t>
      </w:r>
    </w:p>
    <w:p w:rsidR="00D571DE" w:rsidRDefault="00D571DE" w:rsidP="005D4215">
      <w:pPr>
        <w:pStyle w:val="bt"/>
        <w:numPr>
          <w:ilvl w:val="0"/>
          <w:numId w:val="50"/>
        </w:numPr>
        <w:spacing w:before="60" w:after="0"/>
      </w:pPr>
      <w:r>
        <w:t xml:space="preserve">No. lots 2011 – </w:t>
      </w:r>
      <w:r w:rsidRPr="00211BD9">
        <w:t>120</w:t>
      </w:r>
    </w:p>
    <w:p w:rsidR="00D571DE" w:rsidRDefault="00D571DE" w:rsidP="005D4215">
      <w:pPr>
        <w:pStyle w:val="bt"/>
        <w:numPr>
          <w:ilvl w:val="0"/>
          <w:numId w:val="50"/>
        </w:numPr>
        <w:spacing w:before="60" w:after="0"/>
      </w:pPr>
      <w:r w:rsidRPr="00211BD9">
        <w:t>Household size</w:t>
      </w:r>
      <w:r>
        <w:t xml:space="preserve"> – </w:t>
      </w:r>
      <w:r w:rsidRPr="00211BD9">
        <w:t>2.74</w:t>
      </w:r>
    </w:p>
    <w:p w:rsidR="00D571DE" w:rsidRDefault="00D571DE" w:rsidP="005D4215">
      <w:pPr>
        <w:pStyle w:val="bt"/>
        <w:numPr>
          <w:ilvl w:val="0"/>
          <w:numId w:val="50"/>
        </w:numPr>
        <w:spacing w:before="60" w:after="0"/>
      </w:pPr>
      <w:r w:rsidRPr="00211BD9">
        <w:t>Planned population growth**</w:t>
      </w:r>
      <w:r>
        <w:t xml:space="preserve"> – </w:t>
      </w:r>
      <w:r w:rsidRPr="00211BD9">
        <w:t>329</w:t>
      </w:r>
    </w:p>
    <w:p w:rsidR="00D571DE" w:rsidRDefault="00D571DE" w:rsidP="005D4215">
      <w:pPr>
        <w:pStyle w:val="bt"/>
        <w:numPr>
          <w:ilvl w:val="0"/>
          <w:numId w:val="50"/>
        </w:numPr>
        <w:spacing w:before="60" w:after="0"/>
      </w:pPr>
      <w:r w:rsidRPr="00211BD9">
        <w:t>Existing 2011 population (LGA)</w:t>
      </w:r>
      <w:r>
        <w:t xml:space="preserve"> – </w:t>
      </w:r>
      <w:r w:rsidRPr="00211BD9">
        <w:t>791</w:t>
      </w:r>
    </w:p>
    <w:p w:rsidR="00D571DE" w:rsidRPr="0095772B" w:rsidRDefault="00D571DE" w:rsidP="005D4215">
      <w:pPr>
        <w:pStyle w:val="bt"/>
        <w:numPr>
          <w:ilvl w:val="0"/>
          <w:numId w:val="50"/>
        </w:numPr>
        <w:spacing w:before="60" w:after="0"/>
      </w:pPr>
      <w:r w:rsidRPr="00211BD9">
        <w:t>Total population capacity</w:t>
      </w:r>
      <w:r>
        <w:t xml:space="preserve"> – </w:t>
      </w:r>
      <w:r w:rsidRPr="00211BD9">
        <w:t>1120</w:t>
      </w:r>
    </w:p>
    <w:p w:rsidR="00D571DE" w:rsidRDefault="00D571DE" w:rsidP="00D571DE">
      <w:pPr>
        <w:pStyle w:val="bt"/>
        <w:spacing w:before="60" w:after="0"/>
      </w:pPr>
      <w:r>
        <w:t xml:space="preserve">Locality – </w:t>
      </w:r>
      <w:r w:rsidRPr="00211BD9">
        <w:t>Talbot</w:t>
      </w:r>
    </w:p>
    <w:p w:rsidR="00D571DE" w:rsidRDefault="00D571DE" w:rsidP="005D4215">
      <w:pPr>
        <w:pStyle w:val="bt"/>
        <w:numPr>
          <w:ilvl w:val="0"/>
          <w:numId w:val="50"/>
        </w:numPr>
        <w:spacing w:before="60" w:after="0"/>
      </w:pPr>
      <w:r>
        <w:t xml:space="preserve">No. lots 2011 – </w:t>
      </w:r>
      <w:r w:rsidRPr="00211BD9">
        <w:t>0</w:t>
      </w:r>
    </w:p>
    <w:p w:rsidR="00D571DE" w:rsidRDefault="00D571DE" w:rsidP="005D4215">
      <w:pPr>
        <w:pStyle w:val="bt"/>
        <w:numPr>
          <w:ilvl w:val="0"/>
          <w:numId w:val="50"/>
        </w:numPr>
        <w:spacing w:before="60" w:after="0"/>
      </w:pPr>
      <w:r w:rsidRPr="00211BD9">
        <w:t>Household size</w:t>
      </w:r>
      <w:r>
        <w:t xml:space="preserve"> – </w:t>
      </w:r>
      <w:r w:rsidRPr="00211BD9">
        <w:t>2.17</w:t>
      </w:r>
    </w:p>
    <w:p w:rsidR="00D571DE" w:rsidRDefault="00D571DE" w:rsidP="005D4215">
      <w:pPr>
        <w:pStyle w:val="bt"/>
        <w:numPr>
          <w:ilvl w:val="0"/>
          <w:numId w:val="50"/>
        </w:numPr>
        <w:spacing w:before="60" w:after="0"/>
      </w:pPr>
      <w:r w:rsidRPr="00211BD9">
        <w:t>Planned population growth**</w:t>
      </w:r>
      <w:r>
        <w:t xml:space="preserve"> – </w:t>
      </w:r>
    </w:p>
    <w:p w:rsidR="00D571DE" w:rsidRDefault="00D571DE" w:rsidP="005D4215">
      <w:pPr>
        <w:pStyle w:val="bt"/>
        <w:numPr>
          <w:ilvl w:val="0"/>
          <w:numId w:val="50"/>
        </w:numPr>
        <w:spacing w:before="60" w:after="0"/>
      </w:pPr>
      <w:r w:rsidRPr="00211BD9">
        <w:t>Existing 2011 population (LGA)</w:t>
      </w:r>
      <w:r>
        <w:t xml:space="preserve"> – </w:t>
      </w:r>
    </w:p>
    <w:p w:rsidR="00D571DE" w:rsidRPr="0095772B" w:rsidRDefault="00D571DE" w:rsidP="005D4215">
      <w:pPr>
        <w:pStyle w:val="bt"/>
        <w:numPr>
          <w:ilvl w:val="0"/>
          <w:numId w:val="50"/>
        </w:numPr>
        <w:spacing w:before="60" w:after="0"/>
      </w:pPr>
      <w:r w:rsidRPr="00211BD9">
        <w:t>Total population capacity</w:t>
      </w:r>
      <w:r>
        <w:t xml:space="preserve"> – </w:t>
      </w:r>
    </w:p>
    <w:p w:rsidR="00D571DE" w:rsidRPr="008D0189" w:rsidRDefault="00D571DE" w:rsidP="00D571DE">
      <w:pPr>
        <w:rPr>
          <w:b/>
        </w:rPr>
      </w:pPr>
      <w:r w:rsidRPr="008D0189">
        <w:rPr>
          <w:b/>
        </w:rPr>
        <w:t xml:space="preserve">Locality – TOTAL </w:t>
      </w:r>
      <w:r w:rsidR="00C31A92">
        <w:rPr>
          <w:b/>
        </w:rPr>
        <w:t>LODDON MALLEE SOUTH</w:t>
      </w:r>
      <w:r w:rsidRPr="008D0189">
        <w:rPr>
          <w:b/>
        </w:rPr>
        <w:t xml:space="preserve"> REGION**</w:t>
      </w:r>
    </w:p>
    <w:p w:rsidR="00D571DE" w:rsidRPr="008D0189" w:rsidRDefault="00D571DE" w:rsidP="005D4215">
      <w:pPr>
        <w:pStyle w:val="bt"/>
        <w:numPr>
          <w:ilvl w:val="0"/>
          <w:numId w:val="50"/>
        </w:numPr>
        <w:spacing w:before="60" w:after="0"/>
      </w:pPr>
      <w:r w:rsidRPr="008D0189">
        <w:t>No. lots 2011 – 24,976</w:t>
      </w:r>
    </w:p>
    <w:p w:rsidR="00D571DE" w:rsidRPr="008D0189" w:rsidRDefault="00D571DE" w:rsidP="005D4215">
      <w:pPr>
        <w:pStyle w:val="bt"/>
        <w:numPr>
          <w:ilvl w:val="0"/>
          <w:numId w:val="50"/>
        </w:numPr>
        <w:spacing w:before="60" w:after="0"/>
      </w:pPr>
      <w:r w:rsidRPr="008D0189">
        <w:t xml:space="preserve">Household size – </w:t>
      </w:r>
    </w:p>
    <w:p w:rsidR="00D571DE" w:rsidRPr="008D0189" w:rsidRDefault="00D571DE" w:rsidP="005D4215">
      <w:pPr>
        <w:pStyle w:val="bt"/>
        <w:numPr>
          <w:ilvl w:val="0"/>
          <w:numId w:val="50"/>
        </w:numPr>
        <w:spacing w:before="60" w:after="0"/>
      </w:pPr>
      <w:r w:rsidRPr="008D0189">
        <w:t>Planned population growth** – 63,403</w:t>
      </w:r>
    </w:p>
    <w:p w:rsidR="00D571DE" w:rsidRPr="008D0189" w:rsidRDefault="00D571DE" w:rsidP="005D4215">
      <w:pPr>
        <w:pStyle w:val="bt"/>
        <w:numPr>
          <w:ilvl w:val="0"/>
          <w:numId w:val="50"/>
        </w:numPr>
        <w:spacing w:before="60" w:after="0"/>
      </w:pPr>
      <w:r w:rsidRPr="008D0189">
        <w:t>Existing 2011 population (LGA) – 180,023</w:t>
      </w:r>
    </w:p>
    <w:p w:rsidR="00D571DE" w:rsidRDefault="00D571DE" w:rsidP="005D4215">
      <w:pPr>
        <w:pStyle w:val="bt"/>
        <w:numPr>
          <w:ilvl w:val="0"/>
          <w:numId w:val="50"/>
        </w:numPr>
        <w:spacing w:before="60" w:after="0"/>
      </w:pPr>
      <w:r w:rsidRPr="008D0189">
        <w:t>Total population capacity – 243,426</w:t>
      </w:r>
    </w:p>
    <w:p w:rsidR="00C31A92" w:rsidRDefault="00C31A92" w:rsidP="00C31A92">
      <w:pPr>
        <w:pStyle w:val="bt"/>
        <w:spacing w:before="60" w:after="0"/>
        <w:ind w:left="720"/>
      </w:pPr>
    </w:p>
    <w:p w:rsidR="009B4C1F" w:rsidRPr="00225D10" w:rsidRDefault="009B4C1F" w:rsidP="009B4C1F">
      <w:pPr>
        <w:spacing w:before="0"/>
      </w:pPr>
      <w:r w:rsidRPr="00225D10">
        <w:t>**For those settlements nominated for growth NOT whole LGA</w:t>
      </w:r>
    </w:p>
    <w:p w:rsidR="009B4C1F" w:rsidRPr="00225D10" w:rsidRDefault="009B4C1F" w:rsidP="009B4C1F">
      <w:pPr>
        <w:spacing w:before="0"/>
      </w:pPr>
      <w:r w:rsidRPr="00225D10">
        <w:lastRenderedPageBreak/>
        <w:t>NO. DWELLINGS - Assumption 1 lot = 1 dwelling</w:t>
      </w:r>
    </w:p>
    <w:p w:rsidR="009B4C1F" w:rsidRDefault="009B4C1F" w:rsidP="009B4C1F">
      <w:pPr>
        <w:pStyle w:val="bt"/>
        <w:tabs>
          <w:tab w:val="left" w:pos="8931"/>
        </w:tabs>
        <w:spacing w:before="0"/>
      </w:pPr>
      <w:proofErr w:type="gramStart"/>
      <w:r w:rsidRPr="00225D10">
        <w:t>HOUSEHOLD SIZE - ABS Census 2011.</w:t>
      </w:r>
      <w:proofErr w:type="gramEnd"/>
      <w:r w:rsidRPr="00225D10">
        <w:t xml:space="preserve">  Where no household data is available, a reasonable assumption has been made</w:t>
      </w:r>
    </w:p>
    <w:p w:rsidR="009B4C1F" w:rsidRDefault="009B4C1F" w:rsidP="009B4C1F">
      <w:pPr>
        <w:pStyle w:val="bt"/>
        <w:tabs>
          <w:tab w:val="left" w:pos="8931"/>
        </w:tabs>
        <w:spacing w:before="0"/>
        <w:rPr>
          <w:lang w:val="en-US" w:eastAsia="en-US"/>
        </w:rPr>
      </w:pPr>
      <w:r w:rsidRPr="00225D10">
        <w:t>EXISTING POPULATION - ABS Census 2011</w:t>
      </w:r>
    </w:p>
    <w:p w:rsidR="00616E12" w:rsidRDefault="00CA582A" w:rsidP="00C32B06">
      <w:pPr>
        <w:pStyle w:val="bt"/>
        <w:tabs>
          <w:tab w:val="left" w:pos="8931"/>
        </w:tabs>
        <w:spacing w:before="0"/>
        <w:rPr>
          <w:lang w:val="en-US" w:eastAsia="en-US"/>
        </w:rPr>
      </w:pPr>
      <w:r w:rsidRPr="00225D10">
        <w:rPr>
          <w:lang w:val="en-US" w:eastAsia="en-US"/>
        </w:rPr>
        <w:t xml:space="preserve">Note that for Talbot </w:t>
      </w:r>
      <w:r w:rsidR="00FE4258" w:rsidRPr="00225D10">
        <w:rPr>
          <w:lang w:val="en-US" w:eastAsia="en-US"/>
        </w:rPr>
        <w:t xml:space="preserve">while </w:t>
      </w:r>
      <w:r w:rsidRPr="00225D10">
        <w:rPr>
          <w:lang w:val="en-US" w:eastAsia="en-US"/>
        </w:rPr>
        <w:t xml:space="preserve">the potential yield has been identified as </w:t>
      </w:r>
      <w:r w:rsidR="00452910" w:rsidRPr="00225D10">
        <w:rPr>
          <w:lang w:val="en-US" w:eastAsia="en-US"/>
        </w:rPr>
        <w:t>zero</w:t>
      </w:r>
      <w:r w:rsidR="00FE4258" w:rsidRPr="00225D10">
        <w:rPr>
          <w:lang w:val="en-US" w:eastAsia="en-US"/>
        </w:rPr>
        <w:t xml:space="preserve"> lots, there is some capacity for small</w:t>
      </w:r>
      <w:r w:rsidR="00452910" w:rsidRPr="00225D10">
        <w:rPr>
          <w:lang w:val="en-US" w:eastAsia="en-US"/>
        </w:rPr>
        <w:t>-</w:t>
      </w:r>
      <w:r w:rsidR="00FE4258" w:rsidRPr="00225D10">
        <w:rPr>
          <w:lang w:val="en-US" w:eastAsia="en-US"/>
        </w:rPr>
        <w:t>scale growth –</w:t>
      </w:r>
      <w:r w:rsidR="00452910" w:rsidRPr="00225D10">
        <w:rPr>
          <w:lang w:val="en-US" w:eastAsia="en-US"/>
        </w:rPr>
        <w:t xml:space="preserve"> six</w:t>
      </w:r>
      <w:r w:rsidR="00FE4258" w:rsidRPr="00225D10">
        <w:rPr>
          <w:lang w:val="en-US" w:eastAsia="en-US"/>
        </w:rPr>
        <w:t xml:space="preserve"> hectares of zoned land has been identified as having the potential for future growth</w:t>
      </w:r>
      <w:r w:rsidR="00452910" w:rsidRPr="00225D10">
        <w:rPr>
          <w:lang w:val="en-US" w:eastAsia="en-US"/>
        </w:rPr>
        <w:t>. H</w:t>
      </w:r>
      <w:r w:rsidR="00FE4258" w:rsidRPr="00225D10">
        <w:rPr>
          <w:lang w:val="en-US" w:eastAsia="en-US"/>
        </w:rPr>
        <w:t>owever</w:t>
      </w:r>
      <w:r w:rsidR="00452910" w:rsidRPr="00225D10">
        <w:rPr>
          <w:lang w:val="en-US" w:eastAsia="en-US"/>
        </w:rPr>
        <w:t>,</w:t>
      </w:r>
      <w:r w:rsidRPr="00225D10">
        <w:rPr>
          <w:lang w:val="en-US" w:eastAsia="en-US"/>
        </w:rPr>
        <w:t xml:space="preserve"> in terms of potential subdivision, the </w:t>
      </w:r>
      <w:r w:rsidR="00FE4258" w:rsidRPr="00225D10">
        <w:rPr>
          <w:lang w:val="en-US" w:eastAsia="en-US"/>
        </w:rPr>
        <w:t xml:space="preserve">actual </w:t>
      </w:r>
      <w:r w:rsidRPr="00225D10">
        <w:rPr>
          <w:lang w:val="en-US" w:eastAsia="en-US"/>
        </w:rPr>
        <w:t xml:space="preserve">number </w:t>
      </w:r>
      <w:r w:rsidR="00FE4258" w:rsidRPr="00225D10">
        <w:rPr>
          <w:lang w:val="en-US" w:eastAsia="en-US"/>
        </w:rPr>
        <w:t>of lots cannot</w:t>
      </w:r>
      <w:r w:rsidRPr="00225D10">
        <w:rPr>
          <w:lang w:val="en-US" w:eastAsia="en-US"/>
        </w:rPr>
        <w:t xml:space="preserve"> be determined at this time. </w:t>
      </w:r>
      <w:r w:rsidR="00FE4258" w:rsidRPr="00225D10">
        <w:rPr>
          <w:lang w:val="en-US" w:eastAsia="en-US"/>
        </w:rPr>
        <w:t xml:space="preserve">A zero lot yield has also been identified for several of the smaller settlements in the </w:t>
      </w:r>
      <w:r w:rsidR="00452910" w:rsidRPr="00225D10">
        <w:rPr>
          <w:lang w:val="en-US" w:eastAsia="en-US"/>
        </w:rPr>
        <w:t>s</w:t>
      </w:r>
      <w:r w:rsidR="00FE4258" w:rsidRPr="00225D10">
        <w:rPr>
          <w:lang w:val="en-US" w:eastAsia="en-US"/>
        </w:rPr>
        <w:t>hires of Loddon and Central Goldfields.</w:t>
      </w:r>
    </w:p>
    <w:p w:rsidR="00014032" w:rsidRPr="00663F7F" w:rsidRDefault="00014032" w:rsidP="00D34F87">
      <w:pPr>
        <w:pStyle w:val="Heading2"/>
        <w:tabs>
          <w:tab w:val="left" w:pos="8931"/>
        </w:tabs>
        <w:rPr>
          <w:rFonts w:cs="Arial"/>
        </w:rPr>
      </w:pPr>
      <w:bookmarkStart w:id="239" w:name="_Toc374530900"/>
      <w:r w:rsidRPr="00663F7F">
        <w:rPr>
          <w:rFonts w:cs="Arial"/>
        </w:rPr>
        <w:t xml:space="preserve">Growth </w:t>
      </w:r>
      <w:r w:rsidR="00452910" w:rsidRPr="00663F7F">
        <w:rPr>
          <w:rFonts w:cs="Arial"/>
        </w:rPr>
        <w:t>t</w:t>
      </w:r>
      <w:r w:rsidRPr="00663F7F">
        <w:rPr>
          <w:rFonts w:cs="Arial"/>
        </w:rPr>
        <w:t>ypes</w:t>
      </w:r>
      <w:bookmarkEnd w:id="239"/>
    </w:p>
    <w:p w:rsidR="00014032" w:rsidRPr="00225D10" w:rsidRDefault="00014032" w:rsidP="00D34F87">
      <w:pPr>
        <w:pStyle w:val="bt"/>
        <w:tabs>
          <w:tab w:val="left" w:pos="8931"/>
        </w:tabs>
      </w:pPr>
      <w:r w:rsidRPr="00225D10">
        <w:t xml:space="preserve">There are three main </w:t>
      </w:r>
      <w:r w:rsidR="00D714B2">
        <w:t>forms</w:t>
      </w:r>
      <w:r w:rsidR="00D714B2" w:rsidRPr="00225D10">
        <w:t xml:space="preserve"> </w:t>
      </w:r>
      <w:r w:rsidRPr="00225D10">
        <w:t xml:space="preserve">of </w:t>
      </w:r>
      <w:r w:rsidR="00C32B06">
        <w:t xml:space="preserve">urban </w:t>
      </w:r>
      <w:r w:rsidR="00D714B2">
        <w:t>development that take place</w:t>
      </w:r>
      <w:r w:rsidRPr="00225D10">
        <w:t xml:space="preserve"> in the Loddon Mallee South region</w:t>
      </w:r>
      <w:r w:rsidR="00C32B06">
        <w:t xml:space="preserve"> and other regions:</w:t>
      </w:r>
    </w:p>
    <w:p w:rsidR="00014032" w:rsidRPr="00225D10" w:rsidRDefault="00014032" w:rsidP="00D34F87">
      <w:pPr>
        <w:pStyle w:val="Heading4"/>
        <w:tabs>
          <w:tab w:val="left" w:pos="8931"/>
        </w:tabs>
      </w:pPr>
      <w:r w:rsidRPr="00225D10">
        <w:t xml:space="preserve">Greenfields development </w:t>
      </w:r>
    </w:p>
    <w:p w:rsidR="00014032" w:rsidRDefault="00F031C7" w:rsidP="00D34F87">
      <w:pPr>
        <w:pStyle w:val="bt"/>
        <w:tabs>
          <w:tab w:val="left" w:pos="8931"/>
        </w:tabs>
        <w:rPr>
          <w:noProof/>
        </w:rPr>
      </w:pPr>
      <w:proofErr w:type="gramStart"/>
      <w:r w:rsidRPr="00225D10">
        <w:rPr>
          <w:lang w:val="en-US"/>
        </w:rPr>
        <w:t xml:space="preserve">New or future development on undeveloped </w:t>
      </w:r>
      <w:r w:rsidR="004B7308" w:rsidRPr="00225D10">
        <w:rPr>
          <w:lang w:val="en-US"/>
        </w:rPr>
        <w:t>rural</w:t>
      </w:r>
      <w:r w:rsidRPr="00225D10">
        <w:rPr>
          <w:lang w:val="en-US"/>
        </w:rPr>
        <w:t xml:space="preserve"> or non-urban</w:t>
      </w:r>
      <w:r>
        <w:rPr>
          <w:lang w:val="en-US"/>
        </w:rPr>
        <w:t xml:space="preserve"> land, </w:t>
      </w:r>
      <w:r w:rsidRPr="00225D10">
        <w:rPr>
          <w:lang w:val="en-US"/>
        </w:rPr>
        <w:t>generally located on the urban fringe.</w:t>
      </w:r>
      <w:proofErr w:type="gramEnd"/>
      <w:r w:rsidR="00616E12" w:rsidRPr="00616E12">
        <w:rPr>
          <w:noProof/>
        </w:rPr>
        <w:t xml:space="preserve"> </w:t>
      </w:r>
    </w:p>
    <w:p w:rsidR="00C32B06" w:rsidRPr="00225D10" w:rsidRDefault="00980A17" w:rsidP="00C32B06">
      <w:pPr>
        <w:pStyle w:val="Caption"/>
      </w:pPr>
      <w:bookmarkStart w:id="240" w:name="_Toc374530839"/>
      <w:r>
        <w:rPr>
          <w:noProof/>
        </w:rPr>
        <w:drawing>
          <wp:anchor distT="0" distB="0" distL="114300" distR="114300" simplePos="0" relativeHeight="251697152" behindDoc="0" locked="0" layoutInCell="1" allowOverlap="1">
            <wp:simplePos x="0" y="0"/>
            <wp:positionH relativeFrom="page">
              <wp:posOffset>665480</wp:posOffset>
            </wp:positionH>
            <wp:positionV relativeFrom="paragraph">
              <wp:posOffset>349250</wp:posOffset>
            </wp:positionV>
            <wp:extent cx="6235065" cy="2259965"/>
            <wp:effectExtent l="19050" t="0" r="0" b="0"/>
            <wp:wrapTopAndBottom/>
            <wp:docPr id="32" name="Picture 26" descr="Photo of Greenfields development, one photo of house being developed and one photo of view of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fields-image.jpg"/>
                    <pic:cNvPicPr/>
                  </pic:nvPicPr>
                  <pic:blipFill>
                    <a:blip r:embed="rId51" cstate="email"/>
                    <a:stretch>
                      <a:fillRect/>
                    </a:stretch>
                  </pic:blipFill>
                  <pic:spPr>
                    <a:xfrm>
                      <a:off x="0" y="0"/>
                      <a:ext cx="6235065" cy="2259965"/>
                    </a:xfrm>
                    <a:prstGeom prst="rect">
                      <a:avLst/>
                    </a:prstGeom>
                  </pic:spPr>
                </pic:pic>
              </a:graphicData>
            </a:graphic>
          </wp:anchor>
        </w:drawing>
      </w:r>
      <w:r w:rsidR="00C32B06">
        <w:t xml:space="preserve">Figure </w:t>
      </w:r>
      <w:r w:rsidR="00680EEE">
        <w:fldChar w:fldCharType="begin"/>
      </w:r>
      <w:r w:rsidR="00680EEE">
        <w:instrText xml:space="preserve"> SEQ Figure \* ARABIC </w:instrText>
      </w:r>
      <w:r w:rsidR="00680EEE">
        <w:fldChar w:fldCharType="separate"/>
      </w:r>
      <w:r w:rsidR="00EF1401">
        <w:rPr>
          <w:noProof/>
        </w:rPr>
        <w:t>44</w:t>
      </w:r>
      <w:r w:rsidR="00680EEE">
        <w:rPr>
          <w:noProof/>
        </w:rPr>
        <w:fldChar w:fldCharType="end"/>
      </w:r>
      <w:r w:rsidR="00C32B06">
        <w:t>: Examples of greenfields development</w:t>
      </w:r>
      <w:bookmarkEnd w:id="240"/>
    </w:p>
    <w:p w:rsidR="00C32B06" w:rsidRPr="00C32B06" w:rsidRDefault="00C32B06" w:rsidP="00C32B06">
      <w:pPr>
        <w:pStyle w:val="Source"/>
        <w:rPr>
          <w:lang w:val="en-US" w:eastAsia="en-US"/>
        </w:rPr>
      </w:pPr>
      <w:r>
        <w:rPr>
          <w:lang w:val="en-US" w:eastAsia="en-US"/>
        </w:rPr>
        <w:t xml:space="preserve">Photos </w:t>
      </w:r>
      <w:r w:rsidR="00A8471D">
        <w:rPr>
          <w:lang w:val="en-US" w:eastAsia="en-US"/>
        </w:rPr>
        <w:t>coutesy of Imagine</w:t>
      </w:r>
      <w:r>
        <w:rPr>
          <w:lang w:val="en-US" w:eastAsia="en-US"/>
        </w:rPr>
        <w:t xml:space="preserve"> Pictures</w:t>
      </w:r>
    </w:p>
    <w:p w:rsidR="00014032" w:rsidRPr="00225D10" w:rsidRDefault="00014032" w:rsidP="00D34F87">
      <w:pPr>
        <w:pStyle w:val="Heading4"/>
        <w:tabs>
          <w:tab w:val="left" w:pos="8931"/>
        </w:tabs>
      </w:pPr>
      <w:r w:rsidRPr="00225D10">
        <w:t>Infill development</w:t>
      </w:r>
    </w:p>
    <w:p w:rsidR="0009103B" w:rsidRPr="00225D10" w:rsidRDefault="00636316" w:rsidP="00D34F87">
      <w:pPr>
        <w:pStyle w:val="bt"/>
        <w:tabs>
          <w:tab w:val="left" w:pos="8931"/>
        </w:tabs>
      </w:pPr>
      <w:proofErr w:type="gramStart"/>
      <w:r w:rsidRPr="00225D10">
        <w:rPr>
          <w:lang w:val="en-US"/>
        </w:rPr>
        <w:t>Development of land within the existing urban area for residential purposes, either on previously undeveloped land</w:t>
      </w:r>
      <w:r w:rsidR="00D714B2">
        <w:rPr>
          <w:lang w:val="en-US"/>
        </w:rPr>
        <w:t>,</w:t>
      </w:r>
      <w:r w:rsidRPr="00225D10">
        <w:rPr>
          <w:lang w:val="en-US"/>
        </w:rPr>
        <w:t xml:space="preserve"> or </w:t>
      </w:r>
      <w:r>
        <w:rPr>
          <w:lang w:val="en-US"/>
        </w:rPr>
        <w:t>through</w:t>
      </w:r>
      <w:r w:rsidRPr="00225D10">
        <w:rPr>
          <w:lang w:val="en-US"/>
        </w:rPr>
        <w:t xml:space="preserve"> re</w:t>
      </w:r>
      <w:r>
        <w:rPr>
          <w:lang w:val="en-US"/>
        </w:rPr>
        <w:t>development of an existing site,</w:t>
      </w:r>
      <w:r w:rsidRPr="00225D10">
        <w:rPr>
          <w:lang w:val="en-US"/>
        </w:rPr>
        <w:t xml:space="preserve"> often to increase dwelling density.</w:t>
      </w:r>
      <w:proofErr w:type="gramEnd"/>
      <w:r>
        <w:rPr>
          <w:lang w:val="en-US"/>
        </w:rPr>
        <w:t xml:space="preserve"> </w:t>
      </w:r>
      <w:r w:rsidR="0009103B">
        <w:t xml:space="preserve">This generally includes continued </w:t>
      </w:r>
      <w:r w:rsidR="0009103B" w:rsidRPr="00225D10">
        <w:t>development of hinterland towns from small urban or rural townships to ‘towns’.</w:t>
      </w:r>
    </w:p>
    <w:p w:rsidR="00114A56" w:rsidRDefault="00014032" w:rsidP="00D34F87">
      <w:pPr>
        <w:pStyle w:val="bt"/>
        <w:tabs>
          <w:tab w:val="left" w:pos="8931"/>
        </w:tabs>
      </w:pPr>
      <w:r w:rsidRPr="00225D10">
        <w:t xml:space="preserve">Infill development will be the focus of the majority of future growth in Bendigo and will play a significant part in urban containment. Infill development will also </w:t>
      </w:r>
      <w:r w:rsidR="00C32B06">
        <w:t>occur in other towns</w:t>
      </w:r>
      <w:r w:rsidRPr="00225D10">
        <w:t xml:space="preserve">. </w:t>
      </w:r>
    </w:p>
    <w:p w:rsidR="00C32B06" w:rsidRDefault="00980A17" w:rsidP="00C32B06">
      <w:pPr>
        <w:pStyle w:val="Caption"/>
      </w:pPr>
      <w:bookmarkStart w:id="241" w:name="_Toc374530840"/>
      <w:r>
        <w:rPr>
          <w:noProof/>
        </w:rPr>
        <w:lastRenderedPageBreak/>
        <w:drawing>
          <wp:anchor distT="0" distB="0" distL="114300" distR="114300" simplePos="0" relativeHeight="251698176" behindDoc="0" locked="0" layoutInCell="1" allowOverlap="1">
            <wp:simplePos x="0" y="0"/>
            <wp:positionH relativeFrom="page">
              <wp:posOffset>700537</wp:posOffset>
            </wp:positionH>
            <wp:positionV relativeFrom="paragraph">
              <wp:posOffset>408125</wp:posOffset>
            </wp:positionV>
            <wp:extent cx="6191969" cy="2855344"/>
            <wp:effectExtent l="19050" t="0" r="0" b="0"/>
            <wp:wrapTopAndBottom/>
            <wp:docPr id="28" name="Picture 27" descr="Two photos of infill development, one photo of front of church building and one photo of shops o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ill-dev-image.jpg"/>
                    <pic:cNvPicPr/>
                  </pic:nvPicPr>
                  <pic:blipFill>
                    <a:blip r:embed="rId52" cstate="email"/>
                    <a:stretch>
                      <a:fillRect/>
                    </a:stretch>
                  </pic:blipFill>
                  <pic:spPr>
                    <a:xfrm>
                      <a:off x="0" y="0"/>
                      <a:ext cx="6191969" cy="2855344"/>
                    </a:xfrm>
                    <a:prstGeom prst="rect">
                      <a:avLst/>
                    </a:prstGeom>
                  </pic:spPr>
                </pic:pic>
              </a:graphicData>
            </a:graphic>
          </wp:anchor>
        </w:drawing>
      </w:r>
      <w:r w:rsidR="00C32B06">
        <w:t xml:space="preserve">Figure </w:t>
      </w:r>
      <w:r w:rsidR="00680EEE">
        <w:fldChar w:fldCharType="begin"/>
      </w:r>
      <w:r w:rsidR="00680EEE">
        <w:instrText xml:space="preserve"> SEQ Figure \* ARABIC </w:instrText>
      </w:r>
      <w:r w:rsidR="00680EEE">
        <w:fldChar w:fldCharType="separate"/>
      </w:r>
      <w:r w:rsidR="00EF1401">
        <w:rPr>
          <w:noProof/>
        </w:rPr>
        <w:t>45</w:t>
      </w:r>
      <w:r w:rsidR="00680EEE">
        <w:rPr>
          <w:noProof/>
        </w:rPr>
        <w:fldChar w:fldCharType="end"/>
      </w:r>
      <w:r w:rsidR="00C32B06">
        <w:t>: Example of infill development</w:t>
      </w:r>
      <w:bookmarkEnd w:id="241"/>
    </w:p>
    <w:p w:rsidR="00583D6E" w:rsidRPr="00225D10" w:rsidRDefault="00743D6C" w:rsidP="00D34F87">
      <w:pPr>
        <w:pStyle w:val="Source"/>
        <w:tabs>
          <w:tab w:val="left" w:pos="8931"/>
        </w:tabs>
      </w:pPr>
      <w:r w:rsidRPr="00225D10">
        <w:t>Photos courtesy of Imagine Pictures</w:t>
      </w:r>
    </w:p>
    <w:p w:rsidR="00014032" w:rsidRPr="00225D10" w:rsidRDefault="00014032" w:rsidP="00D34F87">
      <w:pPr>
        <w:pStyle w:val="Heading4"/>
        <w:tabs>
          <w:tab w:val="left" w:pos="8931"/>
        </w:tabs>
      </w:pPr>
      <w:r w:rsidRPr="00225D10">
        <w:t xml:space="preserve">Brownfield development </w:t>
      </w:r>
    </w:p>
    <w:p w:rsidR="00014032" w:rsidRPr="00225D10" w:rsidRDefault="00014032" w:rsidP="00D34F87">
      <w:pPr>
        <w:pStyle w:val="bt"/>
        <w:tabs>
          <w:tab w:val="left" w:pos="8931"/>
        </w:tabs>
      </w:pPr>
      <w:r w:rsidRPr="00225D10">
        <w:t>Development or re</w:t>
      </w:r>
      <w:r w:rsidR="001331AF" w:rsidRPr="00225D10">
        <w:t>-</w:t>
      </w:r>
      <w:r w:rsidRPr="00225D10">
        <w:t xml:space="preserve">use of land previously used for industrial or commercial purposes. </w:t>
      </w:r>
    </w:p>
    <w:p w:rsidR="000B438B" w:rsidRDefault="00014032" w:rsidP="00D34F87">
      <w:pPr>
        <w:pStyle w:val="bt"/>
        <w:tabs>
          <w:tab w:val="left" w:pos="8931"/>
        </w:tabs>
      </w:pPr>
      <w:r w:rsidRPr="00225D10">
        <w:t xml:space="preserve">Brownfield development is less prevalent in the region, although there may be some future opportunities in Bendigo. </w:t>
      </w:r>
    </w:p>
    <w:p w:rsidR="00C32B06" w:rsidRDefault="00980A17" w:rsidP="00C32B06">
      <w:pPr>
        <w:pStyle w:val="Caption"/>
      </w:pPr>
      <w:bookmarkStart w:id="242" w:name="_Toc374530841"/>
      <w:r>
        <w:rPr>
          <w:noProof/>
        </w:rPr>
        <w:drawing>
          <wp:anchor distT="0" distB="0" distL="114300" distR="114300" simplePos="0" relativeHeight="251699200" behindDoc="0" locked="0" layoutInCell="1" allowOverlap="1">
            <wp:simplePos x="0" y="0"/>
            <wp:positionH relativeFrom="page">
              <wp:posOffset>700405</wp:posOffset>
            </wp:positionH>
            <wp:positionV relativeFrom="paragraph">
              <wp:posOffset>443865</wp:posOffset>
            </wp:positionV>
            <wp:extent cx="6191885" cy="2328545"/>
            <wp:effectExtent l="19050" t="0" r="0" b="0"/>
            <wp:wrapTopAndBottom/>
            <wp:docPr id="34" name="Picture 33" descr="Two photos of Brownfield development, one photo of view of side of buildng and one photo of view of buildings and train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field-dev-image.jpg"/>
                    <pic:cNvPicPr/>
                  </pic:nvPicPr>
                  <pic:blipFill>
                    <a:blip r:embed="rId53" cstate="email"/>
                    <a:stretch>
                      <a:fillRect/>
                    </a:stretch>
                  </pic:blipFill>
                  <pic:spPr>
                    <a:xfrm>
                      <a:off x="0" y="0"/>
                      <a:ext cx="6191885" cy="2328545"/>
                    </a:xfrm>
                    <a:prstGeom prst="rect">
                      <a:avLst/>
                    </a:prstGeom>
                  </pic:spPr>
                </pic:pic>
              </a:graphicData>
            </a:graphic>
          </wp:anchor>
        </w:drawing>
      </w:r>
      <w:r w:rsidR="00C32B06">
        <w:t xml:space="preserve">Figure </w:t>
      </w:r>
      <w:r w:rsidR="00680EEE">
        <w:fldChar w:fldCharType="begin"/>
      </w:r>
      <w:r w:rsidR="00680EEE">
        <w:instrText xml:space="preserve"> SEQ Figure \* ARABIC </w:instrText>
      </w:r>
      <w:r w:rsidR="00680EEE">
        <w:fldChar w:fldCharType="separate"/>
      </w:r>
      <w:r w:rsidR="00EF1401">
        <w:rPr>
          <w:noProof/>
        </w:rPr>
        <w:t>46</w:t>
      </w:r>
      <w:r w:rsidR="00680EEE">
        <w:rPr>
          <w:noProof/>
        </w:rPr>
        <w:fldChar w:fldCharType="end"/>
      </w:r>
      <w:r w:rsidR="00C32B06">
        <w:t>:</w:t>
      </w:r>
      <w:r w:rsidR="00993977">
        <w:t xml:space="preserve"> </w:t>
      </w:r>
      <w:r w:rsidR="00C32B06">
        <w:t>Examples of brownfield development</w:t>
      </w:r>
      <w:bookmarkEnd w:id="242"/>
    </w:p>
    <w:p w:rsidR="00014032" w:rsidRDefault="00014032" w:rsidP="00D34F87">
      <w:pPr>
        <w:tabs>
          <w:tab w:val="left" w:pos="8931"/>
        </w:tabs>
      </w:pPr>
    </w:p>
    <w:p w:rsidR="00C32B06" w:rsidRPr="00225D10" w:rsidRDefault="00C32B06" w:rsidP="00C32B06">
      <w:pPr>
        <w:pStyle w:val="Source"/>
        <w:tabs>
          <w:tab w:val="left" w:pos="8931"/>
        </w:tabs>
      </w:pPr>
      <w:r w:rsidRPr="00225D10">
        <w:t>Photos courtesy of Imagine Pictures</w:t>
      </w:r>
    </w:p>
    <w:p w:rsidR="00D714B2" w:rsidRDefault="00014032" w:rsidP="00D34F87">
      <w:pPr>
        <w:pStyle w:val="bt"/>
        <w:tabs>
          <w:tab w:val="left" w:pos="8931"/>
        </w:tabs>
      </w:pPr>
      <w:r w:rsidRPr="00225D10">
        <w:t>Cities with higher densities and smaller urban footprint</w:t>
      </w:r>
      <w:r w:rsidR="000D796F" w:rsidRPr="00225D10">
        <w:t>s</w:t>
      </w:r>
      <w:r w:rsidRPr="00225D10">
        <w:t xml:space="preserve"> (</w:t>
      </w:r>
      <w:r w:rsidR="00941106" w:rsidRPr="00225D10">
        <w:t>‘</w:t>
      </w:r>
      <w:r w:rsidRPr="00225D10">
        <w:t>compact cities</w:t>
      </w:r>
      <w:r w:rsidR="00941106" w:rsidRPr="00225D10">
        <w:t>’</w:t>
      </w:r>
      <w:r w:rsidRPr="00225D10">
        <w:t xml:space="preserve">) are more likely to provide equitable access to essential infrastructure and services, as well as being more sustainable in the face of climate change. Compact cities provide higher density housing near places of employment, education and existing community facilities and are well-connected to good transport networks. Encouraging infill development is one mechanism to achieve higher densities. </w:t>
      </w:r>
    </w:p>
    <w:p w:rsidR="00014032" w:rsidRPr="00225D10" w:rsidRDefault="00014032" w:rsidP="00D34F87">
      <w:pPr>
        <w:pStyle w:val="bt"/>
        <w:tabs>
          <w:tab w:val="left" w:pos="8931"/>
        </w:tabs>
      </w:pPr>
      <w:r w:rsidRPr="00225D10">
        <w:lastRenderedPageBreak/>
        <w:t>Compared to similar regional centres, Bendigo has experienced strong inward growth. Infill development is a major contributor to urban growth, with minor infill accounting for 30-50</w:t>
      </w:r>
      <w:r w:rsidR="00CE2E84">
        <w:t xml:space="preserve"> per cent</w:t>
      </w:r>
      <w:r w:rsidR="00CE2E84" w:rsidRPr="00225D10">
        <w:t xml:space="preserve"> </w:t>
      </w:r>
      <w:r w:rsidRPr="00225D10">
        <w:t>of net lots created each year</w:t>
      </w:r>
      <w:r w:rsidR="009A5470">
        <w:t>.</w:t>
      </w:r>
      <w:r w:rsidRPr="007A0286">
        <w:rPr>
          <w:rStyle w:val="FootnoteReference"/>
          <w:rFonts w:asciiTheme="minorHAnsi" w:hAnsiTheme="minorHAnsi" w:cs="Arial"/>
          <w:szCs w:val="20"/>
        </w:rPr>
        <w:footnoteReference w:id="38"/>
      </w:r>
      <w:r w:rsidRPr="00225D10">
        <w:t xml:space="preserve"> There are large tracts of underutilised land, including private land holdings, surplus </w:t>
      </w:r>
      <w:r w:rsidR="00D714B2">
        <w:t>c</w:t>
      </w:r>
      <w:r w:rsidR="00D714B2" w:rsidRPr="00225D10">
        <w:t xml:space="preserve">rown </w:t>
      </w:r>
      <w:r w:rsidRPr="00225D10">
        <w:t>land and other public land including former mining areas within the existing urban area that could potentially support increased urban consolidation. Urban consolidation will continue to be a significant element in the forward planning of residential growth for the region, particularly for Bendigo and those centres whose outward growth may be constrained and presents both opportunit</w:t>
      </w:r>
      <w:r w:rsidR="000D796F" w:rsidRPr="00225D10">
        <w:t>ies</w:t>
      </w:r>
      <w:r w:rsidRPr="00225D10">
        <w:t xml:space="preserve"> and challenge</w:t>
      </w:r>
      <w:r w:rsidR="000D796F" w:rsidRPr="00225D10">
        <w:t>s</w:t>
      </w:r>
      <w:r w:rsidRPr="00225D10">
        <w:t xml:space="preserve"> for the future.</w:t>
      </w:r>
    </w:p>
    <w:p w:rsidR="00014032" w:rsidRPr="00663F7F" w:rsidRDefault="00014032" w:rsidP="00D34F87">
      <w:pPr>
        <w:pStyle w:val="Heading2"/>
        <w:tabs>
          <w:tab w:val="left" w:pos="8931"/>
        </w:tabs>
        <w:rPr>
          <w:rFonts w:cs="Arial"/>
        </w:rPr>
      </w:pPr>
      <w:bookmarkStart w:id="243" w:name="_Toc374530901"/>
      <w:r w:rsidRPr="00663F7F">
        <w:rPr>
          <w:rFonts w:cs="Arial"/>
        </w:rPr>
        <w:t xml:space="preserve">Urban </w:t>
      </w:r>
      <w:r w:rsidR="00740597" w:rsidRPr="00663F7F">
        <w:rPr>
          <w:rFonts w:cs="Arial"/>
        </w:rPr>
        <w:t>d</w:t>
      </w:r>
      <w:r w:rsidRPr="00663F7F">
        <w:rPr>
          <w:rFonts w:cs="Arial"/>
        </w:rPr>
        <w:t xml:space="preserve">esign </w:t>
      </w:r>
      <w:r w:rsidR="00740597" w:rsidRPr="00663F7F">
        <w:rPr>
          <w:rFonts w:cs="Arial"/>
        </w:rPr>
        <w:t>c</w:t>
      </w:r>
      <w:r w:rsidRPr="00663F7F">
        <w:rPr>
          <w:rFonts w:cs="Arial"/>
        </w:rPr>
        <w:t>onsiderations</w:t>
      </w:r>
      <w:bookmarkEnd w:id="243"/>
    </w:p>
    <w:p w:rsidR="00014032" w:rsidRPr="00225D10" w:rsidRDefault="00014032" w:rsidP="00D34F87">
      <w:pPr>
        <w:pStyle w:val="bt"/>
        <w:tabs>
          <w:tab w:val="left" w:pos="8931"/>
        </w:tabs>
      </w:pPr>
      <w:r w:rsidRPr="00225D10">
        <w:rPr>
          <w:bCs/>
          <w:iCs/>
        </w:rPr>
        <w:t xml:space="preserve">The design quality of the urban environment is more important than ever. </w:t>
      </w:r>
      <w:r w:rsidRPr="00225D10">
        <w:t>Good urban design will b</w:t>
      </w:r>
      <w:r w:rsidR="00993977">
        <w:t>e necessary when deciding how to</w:t>
      </w:r>
      <w:r w:rsidRPr="00225D10">
        <w:t xml:space="preserve"> provide for the region’s growing population. When a place is designed well it provides measurable social, cultural, economic and environmental benefits, making places that are valued and significant</w:t>
      </w:r>
      <w:r w:rsidR="00993977">
        <w:t xml:space="preserve"> for those who use them. It is important</w:t>
      </w:r>
      <w:r w:rsidRPr="00225D10">
        <w:t xml:space="preserve"> to provide residents and visitors to the region with a sense of place and quality of life.  </w:t>
      </w:r>
    </w:p>
    <w:p w:rsidR="00014032" w:rsidRPr="00225D10" w:rsidRDefault="000D796F" w:rsidP="00D34F87">
      <w:pPr>
        <w:pStyle w:val="bt"/>
        <w:tabs>
          <w:tab w:val="left" w:pos="8931"/>
        </w:tabs>
      </w:pPr>
      <w:r w:rsidRPr="00225D10">
        <w:t>The s</w:t>
      </w:r>
      <w:r w:rsidR="00014032" w:rsidRPr="00225D10">
        <w:t xml:space="preserve">ettlements </w:t>
      </w:r>
      <w:r w:rsidRPr="00225D10">
        <w:t xml:space="preserve">within the region </w:t>
      </w:r>
      <w:r w:rsidR="00014032" w:rsidRPr="00225D10">
        <w:t xml:space="preserve">each have a unique character, influenced by </w:t>
      </w:r>
      <w:r w:rsidRPr="00225D10">
        <w:t xml:space="preserve">their </w:t>
      </w:r>
      <w:r w:rsidR="00014032" w:rsidRPr="00225D10">
        <w:t>built form and heritage</w:t>
      </w:r>
      <w:r w:rsidRPr="00225D10">
        <w:t xml:space="preserve">, and their </w:t>
      </w:r>
      <w:r w:rsidR="00014032" w:rsidRPr="00225D10">
        <w:t>natural landscapes and settings. Generally, settlements within the region have a low density pattern, consist</w:t>
      </w:r>
      <w:r w:rsidRPr="00225D10">
        <w:t>ing</w:t>
      </w:r>
      <w:r w:rsidR="00014032" w:rsidRPr="00225D10">
        <w:t xml:space="preserve"> mainly of single detached dwellings, and </w:t>
      </w:r>
      <w:r w:rsidR="00683019" w:rsidRPr="00225D10">
        <w:t xml:space="preserve">they </w:t>
      </w:r>
      <w:r w:rsidR="00014032" w:rsidRPr="00225D10">
        <w:t>rely on cars as the principal means of transport. In accommodating growth and change across the region, urban design principles appropriate for regional areas need to be taken into consideration.</w:t>
      </w:r>
    </w:p>
    <w:p w:rsidR="00014032" w:rsidRPr="00225D10" w:rsidRDefault="008D37E7" w:rsidP="00D34F87">
      <w:pPr>
        <w:pStyle w:val="bt"/>
        <w:tabs>
          <w:tab w:val="left" w:pos="8931"/>
        </w:tabs>
      </w:pPr>
      <w:r w:rsidRPr="00DC0F04">
        <w:rPr>
          <w:rStyle w:val="Strong"/>
        </w:rPr>
        <w:t>Liveable communities</w:t>
      </w:r>
      <w:r w:rsidR="00014032" w:rsidRPr="00225D10">
        <w:t xml:space="preserve"> provide easy access to services and jobs, a clean and healthy environment and attractive and engaging urban environments.  </w:t>
      </w:r>
    </w:p>
    <w:p w:rsidR="00014032" w:rsidRPr="00225D10" w:rsidRDefault="008D37E7" w:rsidP="00D34F87">
      <w:pPr>
        <w:pStyle w:val="bt"/>
        <w:tabs>
          <w:tab w:val="left" w:pos="8931"/>
        </w:tabs>
        <w:rPr>
          <w:i/>
        </w:rPr>
      </w:pPr>
      <w:r w:rsidRPr="00DC0F04">
        <w:rPr>
          <w:rStyle w:val="Strong"/>
        </w:rPr>
        <w:t>Safe communities</w:t>
      </w:r>
      <w:r w:rsidR="00014032" w:rsidRPr="00225D10">
        <w:t xml:space="preserve"> provide urban environments that enhance personal safety and property security and where people feel safe to </w:t>
      </w:r>
      <w:r w:rsidR="004B7308" w:rsidRPr="00225D10">
        <w:t>live</w:t>
      </w:r>
      <w:r w:rsidR="00C73CC6">
        <w:t>,</w:t>
      </w:r>
      <w:r w:rsidR="00993977">
        <w:t xml:space="preserve"> work and move </w:t>
      </w:r>
      <w:r w:rsidR="00014032" w:rsidRPr="00225D10">
        <w:t>at any time.</w:t>
      </w:r>
    </w:p>
    <w:p w:rsidR="00014032" w:rsidRPr="00225D10" w:rsidRDefault="008D37E7" w:rsidP="00D34F87">
      <w:pPr>
        <w:pStyle w:val="bt"/>
        <w:tabs>
          <w:tab w:val="left" w:pos="8931"/>
        </w:tabs>
      </w:pPr>
      <w:r w:rsidRPr="00DC0F04">
        <w:rPr>
          <w:rStyle w:val="Strong"/>
        </w:rPr>
        <w:t>Connected communities</w:t>
      </w:r>
      <w:r w:rsidR="00014032" w:rsidRPr="00225D10">
        <w:t xml:space="preserve"> connect destinations through the provision of good transport networks (road, public transport, pedestrian and cycle), and the structuring of walkable communities through measures such as mixed use planning. </w:t>
      </w:r>
    </w:p>
    <w:p w:rsidR="00014032" w:rsidRPr="00225D10" w:rsidRDefault="00014032" w:rsidP="00D34F87">
      <w:pPr>
        <w:pStyle w:val="bt"/>
        <w:tabs>
          <w:tab w:val="left" w:pos="8931"/>
        </w:tabs>
      </w:pPr>
      <w:r w:rsidRPr="00225D10">
        <w:t>Quality built environments</w:t>
      </w:r>
      <w:r w:rsidR="00996FAE" w:rsidRPr="00225D10">
        <w:t>,</w:t>
      </w:r>
      <w:r w:rsidRPr="00225D10">
        <w:t xml:space="preserve"> and the arrangement of land use in urban areas (urban structure)</w:t>
      </w:r>
      <w:r w:rsidR="00996FAE" w:rsidRPr="00225D10">
        <w:t>,</w:t>
      </w:r>
      <w:r w:rsidRPr="00225D10">
        <w:t xml:space="preserve"> support the social, cultural, economic and environmental wellbeing of our communities, cities and towns. All new land use and development will need to respond appropriately to its landscape, valued built form and cultural context, and protect places and sites with significant heritage, architectural, aesthetic, scientific and cultural value. Sustainability will continue to be a significant element in planning for future residential growth. All elements of sustainable housing options and urban structure will need to be investigated including embodied energy in materials, quality design, liveability (including travel) and land supply, in addition to water and energy.  </w:t>
      </w:r>
    </w:p>
    <w:p w:rsidR="009710F6" w:rsidRPr="00225D10" w:rsidRDefault="0009103B" w:rsidP="00D34F87">
      <w:pPr>
        <w:pStyle w:val="bt"/>
        <w:tabs>
          <w:tab w:val="left" w:pos="8931"/>
        </w:tabs>
      </w:pPr>
      <w:r w:rsidRPr="00225D10">
        <w:t>The Bendigo Residential Development Strategy</w:t>
      </w:r>
      <w:r>
        <w:t xml:space="preserve"> review</w:t>
      </w:r>
      <w:r w:rsidR="00993977">
        <w:t xml:space="preserve"> </w:t>
      </w:r>
      <w:r w:rsidRPr="00225D10">
        <w:t xml:space="preserve">will address these issues for the City of Greater </w:t>
      </w:r>
      <w:proofErr w:type="gramStart"/>
      <w:r w:rsidRPr="00225D10">
        <w:t>Bendigo,</w:t>
      </w:r>
      <w:proofErr w:type="gramEnd"/>
      <w:r w:rsidRPr="00225D10">
        <w:t xml:space="preserve"> however these elements also need to be incorporated into planning across the region.</w:t>
      </w:r>
    </w:p>
    <w:p w:rsidR="00875F83" w:rsidRPr="00663F7F" w:rsidRDefault="00875F83" w:rsidP="00D34F87">
      <w:pPr>
        <w:pStyle w:val="Heading2"/>
        <w:tabs>
          <w:tab w:val="left" w:pos="8931"/>
        </w:tabs>
        <w:rPr>
          <w:rFonts w:cs="Arial"/>
        </w:rPr>
      </w:pPr>
      <w:bookmarkStart w:id="244" w:name="_Toc374530902"/>
      <w:r w:rsidRPr="00663F7F">
        <w:rPr>
          <w:rFonts w:cs="Arial"/>
        </w:rPr>
        <w:t xml:space="preserve">Building on our </w:t>
      </w:r>
      <w:r w:rsidR="0084022D" w:rsidRPr="00663F7F">
        <w:rPr>
          <w:rFonts w:cs="Arial"/>
        </w:rPr>
        <w:t>s</w:t>
      </w:r>
      <w:r w:rsidRPr="00663F7F">
        <w:rPr>
          <w:rFonts w:cs="Arial"/>
        </w:rPr>
        <w:t xml:space="preserve">trategic </w:t>
      </w:r>
      <w:r w:rsidR="0084022D" w:rsidRPr="00663F7F">
        <w:rPr>
          <w:rFonts w:cs="Arial"/>
        </w:rPr>
        <w:t>a</w:t>
      </w:r>
      <w:r w:rsidRPr="00663F7F">
        <w:rPr>
          <w:rFonts w:cs="Arial"/>
        </w:rPr>
        <w:t>ssets</w:t>
      </w:r>
      <w:bookmarkEnd w:id="244"/>
      <w:r w:rsidRPr="00663F7F">
        <w:rPr>
          <w:rFonts w:cs="Arial"/>
        </w:rPr>
        <w:t xml:space="preserve"> </w:t>
      </w:r>
    </w:p>
    <w:p w:rsidR="0021529C" w:rsidRPr="00225D10" w:rsidRDefault="00F1041E" w:rsidP="00D34F87">
      <w:pPr>
        <w:pStyle w:val="bt"/>
        <w:tabs>
          <w:tab w:val="left" w:pos="8931"/>
        </w:tabs>
      </w:pPr>
      <w:r w:rsidRPr="00225D10">
        <w:t>The region, particularly Bendigo, is fortunate to have major services and infrastructure</w:t>
      </w:r>
      <w:r w:rsidR="00996FAE" w:rsidRPr="00225D10">
        <w:t xml:space="preserve">, </w:t>
      </w:r>
      <w:r w:rsidR="00993977">
        <w:t>making</w:t>
      </w:r>
      <w:r w:rsidRPr="00225D10">
        <w:t xml:space="preserve"> it a viable alternative to Melbourne</w:t>
      </w:r>
      <w:r w:rsidR="00996FAE" w:rsidRPr="00225D10">
        <w:t xml:space="preserve"> </w:t>
      </w:r>
      <w:r w:rsidR="00993977">
        <w:t xml:space="preserve">and other regions </w:t>
      </w:r>
      <w:r w:rsidR="00996FAE" w:rsidRPr="00225D10">
        <w:t>as a place to live and work</w:t>
      </w:r>
      <w:r w:rsidRPr="00225D10">
        <w:t xml:space="preserve">. </w:t>
      </w:r>
      <w:r w:rsidR="00996FAE" w:rsidRPr="00225D10">
        <w:t xml:space="preserve">The </w:t>
      </w:r>
      <w:r w:rsidRPr="00225D10">
        <w:t>opportunities resulting from these assets</w:t>
      </w:r>
      <w:r w:rsidR="00996FAE" w:rsidRPr="00225D10">
        <w:t xml:space="preserve"> need to be maximised in </w:t>
      </w:r>
      <w:r w:rsidRPr="00225D10">
        <w:t xml:space="preserve">order to grow the region and </w:t>
      </w:r>
      <w:r w:rsidR="00996FAE" w:rsidRPr="00225D10">
        <w:t xml:space="preserve">its </w:t>
      </w:r>
      <w:r w:rsidRPr="00225D10">
        <w:t xml:space="preserve">economy. </w:t>
      </w:r>
      <w:r w:rsidR="0021529C" w:rsidRPr="00225D10">
        <w:t xml:space="preserve">We need to build on these assets, </w:t>
      </w:r>
      <w:r w:rsidRPr="00225D10">
        <w:t xml:space="preserve">while at the same time </w:t>
      </w:r>
      <w:r w:rsidR="0021529C" w:rsidRPr="00225D10">
        <w:t>protect</w:t>
      </w:r>
      <w:r w:rsidRPr="00225D10">
        <w:t>ing</w:t>
      </w:r>
      <w:r w:rsidR="0021529C" w:rsidRPr="00225D10">
        <w:t xml:space="preserve"> </w:t>
      </w:r>
      <w:r w:rsidRPr="00225D10">
        <w:t>and enhancing them when</w:t>
      </w:r>
      <w:r w:rsidR="0021529C" w:rsidRPr="00225D10">
        <w:t xml:space="preserve"> managing expected population growth.</w:t>
      </w:r>
      <w:r w:rsidR="00B05B5E" w:rsidRPr="00225D10">
        <w:t xml:space="preserve"> </w:t>
      </w:r>
      <w:r w:rsidR="00996FAE" w:rsidRPr="00225D10">
        <w:t>M</w:t>
      </w:r>
      <w:r w:rsidR="00B05B5E" w:rsidRPr="00225D10">
        <w:t xml:space="preserve">ajor strategic assets </w:t>
      </w:r>
      <w:r w:rsidR="00996FAE" w:rsidRPr="00225D10">
        <w:t xml:space="preserve">across the region </w:t>
      </w:r>
      <w:r w:rsidR="00B05B5E" w:rsidRPr="00225D10">
        <w:t>are listed below:</w:t>
      </w:r>
    </w:p>
    <w:p w:rsidR="009F1C4F" w:rsidRPr="00DC0F04" w:rsidRDefault="009710F6" w:rsidP="00D34F87">
      <w:pPr>
        <w:pStyle w:val="Heading4"/>
        <w:tabs>
          <w:tab w:val="left" w:pos="8931"/>
        </w:tabs>
      </w:pPr>
      <w:r w:rsidRPr="00DC0F04">
        <w:lastRenderedPageBreak/>
        <w:t xml:space="preserve">Social </w:t>
      </w:r>
      <w:r w:rsidR="00996FAE" w:rsidRPr="00DC0F04">
        <w:t>i</w:t>
      </w:r>
      <w:r w:rsidRPr="00DC0F04">
        <w:t>nfrastructure</w:t>
      </w:r>
    </w:p>
    <w:p w:rsidR="009F1C4F" w:rsidRPr="00225D10" w:rsidRDefault="009F1C4F" w:rsidP="00D34F87">
      <w:pPr>
        <w:pStyle w:val="bt"/>
        <w:tabs>
          <w:tab w:val="left" w:pos="8931"/>
        </w:tabs>
      </w:pPr>
      <w:r w:rsidRPr="00225D10">
        <w:t>Bendigo is a service centre for both the region and beyond into northern Victoria and southern New South Wales. A strong health and education sector</w:t>
      </w:r>
      <w:r w:rsidR="00D714B2">
        <w:t xml:space="preserve">, </w:t>
      </w:r>
      <w:r w:rsidRPr="00225D10">
        <w:t>both secondary and higher education, exists in Bendigo as part of this role.</w:t>
      </w:r>
    </w:p>
    <w:p w:rsidR="009F1C4F" w:rsidRPr="00225D10" w:rsidRDefault="009F1C4F" w:rsidP="004A1FF9">
      <w:pPr>
        <w:pStyle w:val="Heading5"/>
      </w:pPr>
      <w:r w:rsidRPr="00225D10">
        <w:t xml:space="preserve">Health </w:t>
      </w:r>
      <w:r w:rsidR="00996FAE" w:rsidRPr="00225D10">
        <w:t>s</w:t>
      </w:r>
      <w:r w:rsidRPr="00225D10">
        <w:t>ector</w:t>
      </w:r>
    </w:p>
    <w:p w:rsidR="009F1C4F" w:rsidRPr="00225D10" w:rsidRDefault="009F1C4F" w:rsidP="00D34F87">
      <w:pPr>
        <w:pStyle w:val="bt"/>
        <w:tabs>
          <w:tab w:val="left" w:pos="8931"/>
        </w:tabs>
      </w:pPr>
      <w:r w:rsidRPr="00225D10">
        <w:t xml:space="preserve">The high quality and diversity of services provided by Bendigo Hospital offers an alternative to Melbourne for healthcare. Established health infrastructure is also provided in </w:t>
      </w:r>
      <w:r w:rsidR="00993977">
        <w:t xml:space="preserve">Maryborough, Castlemaine, </w:t>
      </w:r>
      <w:r w:rsidRPr="00225D10">
        <w:t>Kyneton</w:t>
      </w:r>
      <w:r w:rsidR="00993977">
        <w:t>, Bo</w:t>
      </w:r>
      <w:r w:rsidR="00893C2B">
        <w:t>or</w:t>
      </w:r>
      <w:r w:rsidR="00993977">
        <w:t>t, Maldon, Inglewood and Heathcote</w:t>
      </w:r>
      <w:r w:rsidRPr="00225D10">
        <w:t>. The region’s ageing population, combined with rising levels of preventable chronic disease and disadvantage, is expected to result in a significant increase in demand for hospital services.</w:t>
      </w:r>
    </w:p>
    <w:p w:rsidR="009F1C4F" w:rsidRPr="00225D10" w:rsidRDefault="009F1C4F" w:rsidP="00D34F87">
      <w:pPr>
        <w:pStyle w:val="bt"/>
        <w:tabs>
          <w:tab w:val="left" w:pos="8931"/>
        </w:tabs>
      </w:pPr>
      <w:r w:rsidRPr="00225D10">
        <w:t>With continued investment in infrastructure and services</w:t>
      </w:r>
      <w:r w:rsidR="006808FD" w:rsidRPr="00225D10">
        <w:t xml:space="preserve">, particularly in smaller towns, there is the potential to establish a strong, interconnected health sector throughout the region, minimise dependence on Melbourne for higher order services, and meet the needs of an ageing population. </w:t>
      </w:r>
    </w:p>
    <w:p w:rsidR="009F1C4F" w:rsidRPr="00225D10" w:rsidRDefault="009F1C4F" w:rsidP="004A1FF9">
      <w:pPr>
        <w:pStyle w:val="Heading5"/>
      </w:pPr>
      <w:r w:rsidRPr="00225D10">
        <w:t xml:space="preserve">Bendigo Hospital </w:t>
      </w:r>
      <w:r w:rsidR="00180792" w:rsidRPr="00225D10">
        <w:t>r</w:t>
      </w:r>
      <w:r w:rsidRPr="00225D10">
        <w:t>edevelopment</w:t>
      </w:r>
    </w:p>
    <w:p w:rsidR="00180792" w:rsidRPr="00225D10" w:rsidRDefault="00180792" w:rsidP="00D34F87">
      <w:pPr>
        <w:pStyle w:val="bt"/>
        <w:tabs>
          <w:tab w:val="left" w:pos="8931"/>
        </w:tabs>
      </w:pPr>
      <w:r w:rsidRPr="00225D10">
        <w:t xml:space="preserve">A total of </w:t>
      </w:r>
      <w:r w:rsidR="009F1C4F" w:rsidRPr="00225D10">
        <w:t xml:space="preserve">$630 million has been committed to the redevelopment of the Bendigo Hospital and other health sites. The </w:t>
      </w:r>
      <w:r w:rsidRPr="00225D10">
        <w:t>n</w:t>
      </w:r>
      <w:r w:rsidR="009F1C4F" w:rsidRPr="00225D10">
        <w:t>ew Bendigo Hospital will include a regional</w:t>
      </w:r>
      <w:r w:rsidRPr="00225D10">
        <w:t>,</w:t>
      </w:r>
      <w:r w:rsidR="009F1C4F" w:rsidRPr="00225D10">
        <w:t xml:space="preserve"> integrated cancer centre with </w:t>
      </w:r>
      <w:r w:rsidRPr="00225D10">
        <w:t xml:space="preserve">four </w:t>
      </w:r>
      <w:r w:rsidR="009F1C4F" w:rsidRPr="00225D10">
        <w:t xml:space="preserve">radiotherapy bunkers </w:t>
      </w:r>
      <w:r w:rsidRPr="00225D10">
        <w:t xml:space="preserve">and the </w:t>
      </w:r>
      <w:r w:rsidR="009F1C4F" w:rsidRPr="00225D10">
        <w:t xml:space="preserve">capacity to expand to </w:t>
      </w:r>
      <w:r w:rsidRPr="00225D10">
        <w:t>six</w:t>
      </w:r>
      <w:r w:rsidR="009F1C4F" w:rsidRPr="00225D10">
        <w:t xml:space="preserve">, additional inpatient and same-day beds, </w:t>
      </w:r>
      <w:r w:rsidRPr="00225D10">
        <w:t>two</w:t>
      </w:r>
      <w:r w:rsidR="009F1C4F" w:rsidRPr="00225D10">
        <w:t xml:space="preserve"> additional operating theatres, a mother-baby service specialising in care for post-natal depression and related conditions, as well as expanded educational facilities to support the teaching and training role of the hospital. </w:t>
      </w:r>
    </w:p>
    <w:p w:rsidR="00C73CC6" w:rsidRDefault="009F1C4F" w:rsidP="00D34F87">
      <w:pPr>
        <w:pStyle w:val="bt"/>
        <w:tabs>
          <w:tab w:val="left" w:pos="8931"/>
        </w:tabs>
      </w:pPr>
      <w:r w:rsidRPr="00225D10">
        <w:t>Precinct planning</w:t>
      </w:r>
      <w:r w:rsidR="009508D0">
        <w:t xml:space="preserve"> </w:t>
      </w:r>
      <w:r w:rsidRPr="00225D10">
        <w:t xml:space="preserve">will be undertaken to improve </w:t>
      </w:r>
      <w:r w:rsidR="00180792" w:rsidRPr="00225D10">
        <w:t xml:space="preserve">access and </w:t>
      </w:r>
      <w:r w:rsidRPr="00225D10">
        <w:t xml:space="preserve">linkages to </w:t>
      </w:r>
      <w:r w:rsidR="00D714B2">
        <w:t>Bendigo’s</w:t>
      </w:r>
      <w:r w:rsidR="00D714B2" w:rsidRPr="00225D10">
        <w:t xml:space="preserve"> </w:t>
      </w:r>
      <w:r w:rsidR="00D714B2">
        <w:t>central business district</w:t>
      </w:r>
      <w:r w:rsidRPr="00225D10">
        <w:t xml:space="preserve">. </w:t>
      </w:r>
      <w:r w:rsidR="004B128F" w:rsidRPr="00225D10">
        <w:t>Of statewide significance, t</w:t>
      </w:r>
      <w:r w:rsidRPr="00225D10">
        <w:t>he redevelopment is expected to be completed in 2016.</w:t>
      </w:r>
      <w:r w:rsidR="009F23ED" w:rsidRPr="00225D10">
        <w:t xml:space="preserve"> </w:t>
      </w:r>
      <w:r w:rsidR="00D04B50" w:rsidRPr="00225D10">
        <w:t>The Minister for Regional Cities announced the formation of a working group</w:t>
      </w:r>
      <w:r w:rsidR="00993977">
        <w:t>,</w:t>
      </w:r>
      <w:r w:rsidR="00D04B50" w:rsidRPr="00225D10">
        <w:t xml:space="preserve"> consisting of Bendigo business leaders, the City of Greater Bendigo and the </w:t>
      </w:r>
      <w:r w:rsidR="00993977">
        <w:t>S</w:t>
      </w:r>
      <w:r w:rsidR="007C5534">
        <w:t xml:space="preserve">tate </w:t>
      </w:r>
      <w:r w:rsidR="00993977">
        <w:t>G</w:t>
      </w:r>
      <w:r w:rsidR="007C5534">
        <w:t>overnment</w:t>
      </w:r>
      <w:r w:rsidR="001C15C3">
        <w:t xml:space="preserve"> </w:t>
      </w:r>
      <w:r w:rsidR="002124CB" w:rsidRPr="00225D10">
        <w:t xml:space="preserve">to maximise opportunities for growth associated with the </w:t>
      </w:r>
      <w:r w:rsidR="00180792" w:rsidRPr="00225D10">
        <w:t xml:space="preserve">hospital’s </w:t>
      </w:r>
      <w:r w:rsidR="002124CB" w:rsidRPr="00225D10">
        <w:t>redeve</w:t>
      </w:r>
      <w:r w:rsidR="004B128F" w:rsidRPr="00225D10">
        <w:t>lopment, and</w:t>
      </w:r>
      <w:r w:rsidR="002124CB" w:rsidRPr="00225D10">
        <w:t xml:space="preserve"> </w:t>
      </w:r>
      <w:r w:rsidR="004B128F" w:rsidRPr="00225D10">
        <w:t>to ensure that a significant portion of the $630 million flows directly into the region</w:t>
      </w:r>
      <w:r w:rsidR="00180792" w:rsidRPr="00225D10">
        <w:t>al</w:t>
      </w:r>
      <w:r w:rsidR="004B128F" w:rsidRPr="00225D10">
        <w:t xml:space="preserve"> economy. </w:t>
      </w:r>
      <w:r w:rsidR="002124CB" w:rsidRPr="00225D10">
        <w:t xml:space="preserve">The project will generate a large number of employment opportunities in the construction and operational </w:t>
      </w:r>
      <w:r w:rsidR="004B128F" w:rsidRPr="00225D10">
        <w:t xml:space="preserve">phases, with 735 new jobs estimated to be generated in the construction phase. </w:t>
      </w:r>
    </w:p>
    <w:p w:rsidR="009F1C4F" w:rsidRPr="00993977" w:rsidRDefault="009F1C4F" w:rsidP="00993977">
      <w:pPr>
        <w:pStyle w:val="Heading5"/>
      </w:pPr>
      <w:r w:rsidRPr="00993977">
        <w:t xml:space="preserve">Education </w:t>
      </w:r>
      <w:r w:rsidR="005473FA" w:rsidRPr="00993977">
        <w:t>s</w:t>
      </w:r>
      <w:r w:rsidRPr="00993977">
        <w:t>ector</w:t>
      </w:r>
    </w:p>
    <w:p w:rsidR="009F1C4F" w:rsidRPr="00225D10" w:rsidRDefault="009F1C4F" w:rsidP="00D34F87">
      <w:pPr>
        <w:pStyle w:val="bt"/>
        <w:tabs>
          <w:tab w:val="left" w:pos="8931"/>
        </w:tabs>
      </w:pPr>
      <w:r w:rsidRPr="00225D10">
        <w:t>Quality education is provided throughout the region through a network of schools and kindergartens. Challenges are experienced in the provision of quality education in the north</w:t>
      </w:r>
      <w:r w:rsidR="00180792" w:rsidRPr="00225D10">
        <w:t>-</w:t>
      </w:r>
      <w:r w:rsidRPr="00225D10">
        <w:t xml:space="preserve">west of the region due to the low population density and dispersed pattern of settlement. </w:t>
      </w:r>
    </w:p>
    <w:p w:rsidR="009F1C4F" w:rsidRPr="00225D10" w:rsidRDefault="009F1C4F" w:rsidP="00D34F87">
      <w:pPr>
        <w:pStyle w:val="bt"/>
        <w:tabs>
          <w:tab w:val="left" w:pos="8931"/>
        </w:tabs>
      </w:pPr>
      <w:r w:rsidRPr="00225D10">
        <w:t>La</w:t>
      </w:r>
      <w:r w:rsidR="00180792" w:rsidRPr="00225D10">
        <w:t xml:space="preserve"> </w:t>
      </w:r>
      <w:r w:rsidRPr="00225D10">
        <w:t xml:space="preserve">Trobe and Monash </w:t>
      </w:r>
      <w:r w:rsidR="00180792" w:rsidRPr="00225D10">
        <w:t>u</w:t>
      </w:r>
      <w:r w:rsidRPr="00225D10">
        <w:t xml:space="preserve">niversities provide tertiary education facilities in Bendigo, and offer an alternative to studying in Melbourne or other regions. An objective of the </w:t>
      </w:r>
      <w:r w:rsidR="00180792" w:rsidRPr="00225D10">
        <w:t xml:space="preserve">Regional </w:t>
      </w:r>
      <w:r w:rsidRPr="00225D10">
        <w:t>Strategic Plan</w:t>
      </w:r>
      <w:r w:rsidR="00180792" w:rsidRPr="00225D10">
        <w:t xml:space="preserve"> 2010</w:t>
      </w:r>
      <w:r w:rsidRPr="00225D10">
        <w:t xml:space="preserve"> is to establish Bendigo as a centre of excellence for post-secondary education. A current inhibitor to increasing tertiary participation is the lack of student accommodation in Bendigo, the establishment of which is a key priority.</w:t>
      </w:r>
    </w:p>
    <w:p w:rsidR="009F1C4F" w:rsidRPr="00225D10" w:rsidRDefault="00621C14" w:rsidP="00D34F87">
      <w:pPr>
        <w:pStyle w:val="bt"/>
        <w:tabs>
          <w:tab w:val="left" w:pos="8931"/>
        </w:tabs>
      </w:pPr>
      <w:r w:rsidRPr="00225D10">
        <w:t xml:space="preserve">Attracting and retaining </w:t>
      </w:r>
      <w:r w:rsidR="009F1C4F" w:rsidRPr="00225D10">
        <w:t xml:space="preserve">younger age groups </w:t>
      </w:r>
      <w:r w:rsidRPr="00225D10">
        <w:t xml:space="preserve">to the region </w:t>
      </w:r>
      <w:r w:rsidR="009F1C4F" w:rsidRPr="00225D10">
        <w:t xml:space="preserve">for both education and further employment </w:t>
      </w:r>
      <w:r w:rsidRPr="00225D10">
        <w:t xml:space="preserve">will be </w:t>
      </w:r>
      <w:r w:rsidR="009F1C4F" w:rsidRPr="00225D10">
        <w:t xml:space="preserve">critical </w:t>
      </w:r>
      <w:r w:rsidRPr="00225D10">
        <w:t xml:space="preserve">for </w:t>
      </w:r>
      <w:r w:rsidR="009F1C4F" w:rsidRPr="00225D10">
        <w:t>maintaining community diversity and a vital economy. Priorities include the continued growth of La</w:t>
      </w:r>
      <w:r w:rsidR="00180792" w:rsidRPr="00225D10">
        <w:t xml:space="preserve"> </w:t>
      </w:r>
      <w:r w:rsidR="009F1C4F" w:rsidRPr="00225D10">
        <w:t>Trobe University and the provision of student accommodation.</w:t>
      </w:r>
    </w:p>
    <w:p w:rsidR="009F1C4F" w:rsidRPr="00225D10" w:rsidRDefault="009F1C4F" w:rsidP="004A1FF9">
      <w:pPr>
        <w:pStyle w:val="Heading5"/>
      </w:pPr>
      <w:r w:rsidRPr="00225D10">
        <w:t xml:space="preserve">Library </w:t>
      </w:r>
      <w:r w:rsidR="005473FA" w:rsidRPr="00225D10">
        <w:t>s</w:t>
      </w:r>
      <w:r w:rsidRPr="00225D10">
        <w:t>ervices</w:t>
      </w:r>
    </w:p>
    <w:p w:rsidR="009F1C4F" w:rsidRPr="00225D10" w:rsidRDefault="00621C14" w:rsidP="00D34F87">
      <w:pPr>
        <w:pStyle w:val="bt"/>
        <w:tabs>
          <w:tab w:val="left" w:pos="8931"/>
        </w:tabs>
      </w:pPr>
      <w:r w:rsidRPr="00225D10">
        <w:t>The region’s l</w:t>
      </w:r>
      <w:r w:rsidR="009F1C4F" w:rsidRPr="00225D10">
        <w:t xml:space="preserve">ibrary services </w:t>
      </w:r>
      <w:r w:rsidRPr="00225D10">
        <w:t xml:space="preserve">rate as </w:t>
      </w:r>
      <w:r w:rsidR="009F1C4F" w:rsidRPr="00225D10">
        <w:t xml:space="preserve">some of </w:t>
      </w:r>
      <w:r w:rsidRPr="00225D10">
        <w:t xml:space="preserve">its </w:t>
      </w:r>
      <w:r w:rsidR="009F1C4F" w:rsidRPr="00225D10">
        <w:t>most used public facilities. With over 475,000 visitors each year, and nearly 55,000 library members in Greater Bendigo, the existing library building is currently under performing and will not be able to meet future needs. The $7.25 million Bendigo Library Redevelopment project will create a new community facility incorporating a vibrant library precinct to meet the current and future needs of the community. The redevelopment is expected to be completed in 2014.</w:t>
      </w:r>
    </w:p>
    <w:p w:rsidR="009F1C4F" w:rsidRPr="00225D10" w:rsidRDefault="00FB56AC" w:rsidP="00D34F87">
      <w:pPr>
        <w:pStyle w:val="Heading4"/>
        <w:tabs>
          <w:tab w:val="left" w:pos="8931"/>
        </w:tabs>
      </w:pPr>
      <w:r w:rsidRPr="00225D10">
        <w:lastRenderedPageBreak/>
        <w:t xml:space="preserve">Recreation and </w:t>
      </w:r>
      <w:r w:rsidR="005473FA" w:rsidRPr="00225D10">
        <w:t>t</w:t>
      </w:r>
      <w:r w:rsidRPr="00225D10">
        <w:t>ourism</w:t>
      </w:r>
    </w:p>
    <w:p w:rsidR="009F1C4F" w:rsidRPr="00225D10" w:rsidRDefault="009F1C4F" w:rsidP="004A1FF9">
      <w:pPr>
        <w:pStyle w:val="Heading5"/>
      </w:pPr>
      <w:r w:rsidRPr="00225D10">
        <w:t>Goldfields</w:t>
      </w:r>
    </w:p>
    <w:p w:rsidR="009F1C4F" w:rsidRPr="00225D10" w:rsidRDefault="009F1C4F" w:rsidP="00D34F87">
      <w:pPr>
        <w:pStyle w:val="bt"/>
        <w:tabs>
          <w:tab w:val="left" w:pos="8931"/>
        </w:tabs>
      </w:pPr>
      <w:r w:rsidRPr="00225D10">
        <w:t xml:space="preserve">The discovery of gold in Victoria over 150 years ago shaped the region we know today. This rich and lasting legacy resulted in a significant number of heritage buildings throughout the region, including the celebrated Victorian streetscapes of Bendigo with its grand hotels and public buildings as well as the charm of settlements such as Maldon, Castlemaine, Heathcote and Dunolly.  </w:t>
      </w:r>
    </w:p>
    <w:p w:rsidR="009F1C4F" w:rsidRPr="00225D10" w:rsidRDefault="009F1C4F" w:rsidP="00D34F87">
      <w:pPr>
        <w:pStyle w:val="bt"/>
        <w:tabs>
          <w:tab w:val="left" w:pos="8931"/>
        </w:tabs>
      </w:pPr>
      <w:r w:rsidRPr="00225D10">
        <w:t xml:space="preserve">The region is one of Victoria’s major cultural and heritage destinations. Australia’s only </w:t>
      </w:r>
      <w:r w:rsidR="0093107A">
        <w:t>National</w:t>
      </w:r>
      <w:r w:rsidR="0093107A" w:rsidRPr="00225D10">
        <w:t xml:space="preserve"> </w:t>
      </w:r>
      <w:r w:rsidRPr="00225D10">
        <w:t xml:space="preserve">Heritage Park can be found at </w:t>
      </w:r>
      <w:r w:rsidR="0093107A">
        <w:t>Castlemaine</w:t>
      </w:r>
      <w:r w:rsidR="00621C14" w:rsidRPr="00225D10">
        <w:t>,</w:t>
      </w:r>
      <w:r w:rsidRPr="00225D10">
        <w:t xml:space="preserve"> which is also only the second site in Victoria to be nominated by the </w:t>
      </w:r>
      <w:r w:rsidR="007C5534">
        <w:t>state government</w:t>
      </w:r>
      <w:r w:rsidRPr="00225D10">
        <w:t xml:space="preserve"> for World Heritage listing. Maldon is Australia’s first notable heritage town and the </w:t>
      </w:r>
      <w:r w:rsidR="00621C14" w:rsidRPr="00225D10">
        <w:t xml:space="preserve">world’s largest gold nugget was found in the </w:t>
      </w:r>
      <w:r w:rsidRPr="00225D10">
        <w:t>region.</w:t>
      </w:r>
    </w:p>
    <w:p w:rsidR="009F1C4F" w:rsidRPr="00225D10" w:rsidRDefault="009F1C4F" w:rsidP="00D34F87">
      <w:pPr>
        <w:pStyle w:val="bt"/>
        <w:tabs>
          <w:tab w:val="left" w:pos="8931"/>
        </w:tabs>
      </w:pPr>
      <w:r w:rsidRPr="00225D10">
        <w:t xml:space="preserve">The </w:t>
      </w:r>
      <w:r w:rsidR="00993977">
        <w:t xml:space="preserve">Regional </w:t>
      </w:r>
      <w:r w:rsidR="007C5534">
        <w:t>Strategic Plan 2010</w:t>
      </w:r>
      <w:r w:rsidR="00621C14" w:rsidRPr="00225D10">
        <w:t xml:space="preserve"> </w:t>
      </w:r>
      <w:r w:rsidRPr="00225D10">
        <w:t>(p</w:t>
      </w:r>
      <w:r w:rsidR="00D714B2">
        <w:t xml:space="preserve">age </w:t>
      </w:r>
      <w:r w:rsidRPr="00225D10">
        <w:t xml:space="preserve">22) identifies a need for major </w:t>
      </w:r>
      <w:r w:rsidR="00621C14" w:rsidRPr="00225D10">
        <w:t>new</w:t>
      </w:r>
      <w:r w:rsidRPr="00225D10">
        <w:t xml:space="preserve"> infrastructure to ensure touring routes and trails across the </w:t>
      </w:r>
      <w:r w:rsidR="00621C14" w:rsidRPr="00225D10">
        <w:t>g</w:t>
      </w:r>
      <w:r w:rsidRPr="00225D10">
        <w:t>oldfields meet visitor</w:t>
      </w:r>
      <w:r w:rsidR="00621C14" w:rsidRPr="00225D10">
        <w:t xml:space="preserve"> expectations</w:t>
      </w:r>
      <w:r w:rsidRPr="00225D10">
        <w:t xml:space="preserve">. </w:t>
      </w:r>
      <w:r w:rsidR="00621C14" w:rsidRPr="00225D10">
        <w:t>There is a need for: d</w:t>
      </w:r>
      <w:r w:rsidRPr="00225D10">
        <w:t xml:space="preserve">irectional and interpretative signage to tell the rich stories of the </w:t>
      </w:r>
      <w:r w:rsidR="00621C14" w:rsidRPr="00225D10">
        <w:t>g</w:t>
      </w:r>
      <w:r w:rsidRPr="00225D10">
        <w:t>oldfields</w:t>
      </w:r>
      <w:r w:rsidR="00621C14" w:rsidRPr="00225D10">
        <w:t>;</w:t>
      </w:r>
      <w:r w:rsidRPr="00225D10">
        <w:t xml:space="preserve"> </w:t>
      </w:r>
      <w:r w:rsidR="00621C14" w:rsidRPr="00225D10">
        <w:t xml:space="preserve">underground power to protect the historic </w:t>
      </w:r>
      <w:r w:rsidRPr="00225D10">
        <w:t xml:space="preserve">streetscapes </w:t>
      </w:r>
      <w:r w:rsidR="00621C14" w:rsidRPr="00225D10">
        <w:t xml:space="preserve">of </w:t>
      </w:r>
      <w:r w:rsidRPr="00225D10">
        <w:t xml:space="preserve">the </w:t>
      </w:r>
      <w:r w:rsidR="00621C14" w:rsidRPr="00225D10">
        <w:t>g</w:t>
      </w:r>
      <w:r w:rsidRPr="00225D10">
        <w:t>oldfields villages</w:t>
      </w:r>
      <w:r w:rsidR="00621C14" w:rsidRPr="00225D10">
        <w:t>;</w:t>
      </w:r>
      <w:r w:rsidRPr="00225D10">
        <w:t xml:space="preserve"> and </w:t>
      </w:r>
      <w:r w:rsidR="00621C14" w:rsidRPr="00225D10">
        <w:t xml:space="preserve">new </w:t>
      </w:r>
      <w:r w:rsidRPr="00225D10">
        <w:t xml:space="preserve">infrastructure to conserve and protect heritage sites.  </w:t>
      </w:r>
    </w:p>
    <w:p w:rsidR="009F1C4F" w:rsidRPr="00225D10" w:rsidRDefault="009F1C4F" w:rsidP="004A1FF9">
      <w:pPr>
        <w:pStyle w:val="Heading5"/>
      </w:pPr>
      <w:r w:rsidRPr="00225D10">
        <w:t xml:space="preserve">The </w:t>
      </w:r>
      <w:r w:rsidR="00621C14" w:rsidRPr="00225D10">
        <w:t>a</w:t>
      </w:r>
      <w:r w:rsidRPr="00225D10">
        <w:t>rts,</w:t>
      </w:r>
      <w:r w:rsidR="00621C14" w:rsidRPr="00225D10">
        <w:t xml:space="preserve"> c</w:t>
      </w:r>
      <w:r w:rsidRPr="00225D10">
        <w:t xml:space="preserve">ulture and </w:t>
      </w:r>
      <w:r w:rsidR="00621C14" w:rsidRPr="00225D10">
        <w:t>f</w:t>
      </w:r>
      <w:r w:rsidRPr="00225D10">
        <w:t>estivals</w:t>
      </w:r>
    </w:p>
    <w:p w:rsidR="009F1C4F" w:rsidRPr="00225D10" w:rsidRDefault="009F1C4F" w:rsidP="00D34F87">
      <w:pPr>
        <w:pStyle w:val="bt"/>
        <w:tabs>
          <w:tab w:val="left" w:pos="8931"/>
        </w:tabs>
      </w:pPr>
      <w:r w:rsidRPr="00225D10">
        <w:t xml:space="preserve">Participation in arts and culture is strong across the region, with rates of participation exceeding the Victorian average in all municipalities except Central Goldfields. The region boasts a rich calendar of festivals and events which range from music, wine and dancing to sport, food and antiques.  </w:t>
      </w:r>
    </w:p>
    <w:p w:rsidR="00D46340" w:rsidRDefault="0081304B" w:rsidP="00D34F87">
      <w:pPr>
        <w:pStyle w:val="bt"/>
        <w:tabs>
          <w:tab w:val="left" w:pos="8931"/>
        </w:tabs>
      </w:pPr>
      <w:r w:rsidRPr="00225D10">
        <w:t xml:space="preserve">While </w:t>
      </w:r>
      <w:r w:rsidR="009F1C4F" w:rsidRPr="00225D10">
        <w:t>arts and cultur</w:t>
      </w:r>
      <w:r w:rsidRPr="00225D10">
        <w:t xml:space="preserve">al activities </w:t>
      </w:r>
      <w:r w:rsidR="009F1C4F" w:rsidRPr="00225D10">
        <w:t xml:space="preserve">make a vital contribution to the health and wellbeing of communities by fostering social connection and communication, it is important to provide the </w:t>
      </w:r>
      <w:r w:rsidR="00F031C7" w:rsidRPr="00225D10">
        <w:t>infrastructure,</w:t>
      </w:r>
      <w:r w:rsidR="00D714B2">
        <w:t xml:space="preserve"> </w:t>
      </w:r>
      <w:r w:rsidR="009F1C4F" w:rsidRPr="00225D10">
        <w:t>and connections</w:t>
      </w:r>
      <w:r w:rsidR="00D714B2">
        <w:t>,</w:t>
      </w:r>
      <w:r w:rsidR="009F1C4F" w:rsidRPr="00225D10">
        <w:t xml:space="preserve"> to enable these </w:t>
      </w:r>
      <w:r w:rsidRPr="00225D10">
        <w:t xml:space="preserve">activities </w:t>
      </w:r>
      <w:r w:rsidR="009F1C4F" w:rsidRPr="00225D10">
        <w:t>to flourish. Towns along the Calder corridor are typically better serviced with arts and cultural infrastructure than other parts of the region.</w:t>
      </w:r>
    </w:p>
    <w:p w:rsidR="00AB7C87" w:rsidRPr="00225D10" w:rsidRDefault="00AB7C87" w:rsidP="004A1FF9">
      <w:pPr>
        <w:pStyle w:val="Heading5"/>
      </w:pPr>
      <w:r w:rsidRPr="00225D10">
        <w:t>Bendigo Art Gallery</w:t>
      </w:r>
    </w:p>
    <w:p w:rsidR="00AB7C87" w:rsidRPr="00225D10" w:rsidRDefault="00AB7C87" w:rsidP="00D34F87">
      <w:pPr>
        <w:pStyle w:val="bt"/>
        <w:tabs>
          <w:tab w:val="left" w:pos="8931"/>
        </w:tabs>
        <w:rPr>
          <w:lang w:val="en-US" w:eastAsia="en-US"/>
        </w:rPr>
      </w:pPr>
      <w:r w:rsidRPr="00225D10">
        <w:rPr>
          <w:lang w:val="en-US" w:eastAsia="en-US"/>
        </w:rPr>
        <w:t xml:space="preserve">One of the oldest and largest regional galleries in Australia, Bendigo Art Gallery is renowned for its ability to attract exclusive exhibitions such as </w:t>
      </w:r>
      <w:r w:rsidRPr="00225D10">
        <w:rPr>
          <w:i/>
          <w:lang w:val="en-US" w:eastAsia="en-US"/>
        </w:rPr>
        <w:t>The Golden Age of Couture</w:t>
      </w:r>
      <w:r w:rsidRPr="00225D10">
        <w:rPr>
          <w:lang w:val="en-US" w:eastAsia="en-US"/>
        </w:rPr>
        <w:t xml:space="preserve">, </w:t>
      </w:r>
      <w:r w:rsidRPr="00225D10">
        <w:rPr>
          <w:i/>
          <w:lang w:val="en-US" w:eastAsia="en-US"/>
        </w:rPr>
        <w:t>The White Wedding Dress</w:t>
      </w:r>
      <w:r w:rsidRPr="00225D10">
        <w:rPr>
          <w:lang w:val="en-US" w:eastAsia="en-US"/>
        </w:rPr>
        <w:t xml:space="preserve"> and </w:t>
      </w:r>
      <w:r w:rsidRPr="00225D10">
        <w:rPr>
          <w:i/>
          <w:lang w:val="en-US" w:eastAsia="en-US"/>
        </w:rPr>
        <w:t>Grace Kelly: Style Icon</w:t>
      </w:r>
      <w:r w:rsidRPr="00225D10">
        <w:rPr>
          <w:lang w:val="en-US" w:eastAsia="en-US"/>
        </w:rPr>
        <w:t>, which attract</w:t>
      </w:r>
      <w:r w:rsidR="0081304B" w:rsidRPr="00225D10">
        <w:rPr>
          <w:lang w:val="en-US" w:eastAsia="en-US"/>
        </w:rPr>
        <w:t>ed</w:t>
      </w:r>
      <w:r w:rsidRPr="00225D10">
        <w:rPr>
          <w:lang w:val="en-US" w:eastAsia="en-US"/>
        </w:rPr>
        <w:t xml:space="preserve"> significant numbers of tourists from Melbourne and outside the region. </w:t>
      </w:r>
      <w:r w:rsidRPr="00225D10">
        <w:rPr>
          <w:i/>
          <w:lang w:val="en-US" w:eastAsia="en-US"/>
        </w:rPr>
        <w:t>Grace Kelly: Style Icon</w:t>
      </w:r>
      <w:r w:rsidRPr="00225D10">
        <w:rPr>
          <w:lang w:val="en-US" w:eastAsia="en-US"/>
        </w:rPr>
        <w:t xml:space="preserve"> attracted visitors and media attention nationally and internationally, with more than 135,000 people visiting the collection, and an estimated economic impact of approximately $17 million.</w:t>
      </w:r>
    </w:p>
    <w:p w:rsidR="002C3E6D" w:rsidRPr="00225D10" w:rsidRDefault="0081304B" w:rsidP="00D34F87">
      <w:pPr>
        <w:pStyle w:val="bt"/>
        <w:tabs>
          <w:tab w:val="left" w:pos="8931"/>
        </w:tabs>
        <w:rPr>
          <w:lang w:val="en-US" w:eastAsia="en-US"/>
        </w:rPr>
      </w:pPr>
      <w:r w:rsidRPr="00225D10">
        <w:rPr>
          <w:lang w:val="en-US" w:eastAsia="en-US"/>
        </w:rPr>
        <w:t xml:space="preserve">Bendigo </w:t>
      </w:r>
      <w:r w:rsidR="00AB7C87" w:rsidRPr="00225D10">
        <w:rPr>
          <w:lang w:val="en-US" w:eastAsia="en-US"/>
        </w:rPr>
        <w:t xml:space="preserve">Art Gallery is </w:t>
      </w:r>
      <w:r w:rsidRPr="00225D10">
        <w:rPr>
          <w:lang w:val="en-US" w:eastAsia="en-US"/>
        </w:rPr>
        <w:t xml:space="preserve">about </w:t>
      </w:r>
      <w:r w:rsidR="00AB7C87" w:rsidRPr="00225D10">
        <w:rPr>
          <w:lang w:val="en-US" w:eastAsia="en-US"/>
        </w:rPr>
        <w:t xml:space="preserve">to undergo a $7.55 million expansion to provide more exhibition and storage space </w:t>
      </w:r>
      <w:r w:rsidRPr="00225D10">
        <w:rPr>
          <w:lang w:val="en-US" w:eastAsia="en-US"/>
        </w:rPr>
        <w:t xml:space="preserve">to </w:t>
      </w:r>
      <w:r w:rsidR="00AB7C87" w:rsidRPr="00225D10">
        <w:rPr>
          <w:lang w:val="en-US" w:eastAsia="en-US"/>
        </w:rPr>
        <w:t>capitali</w:t>
      </w:r>
      <w:r w:rsidRPr="00225D10">
        <w:rPr>
          <w:lang w:val="en-US" w:eastAsia="en-US"/>
        </w:rPr>
        <w:t>s</w:t>
      </w:r>
      <w:r w:rsidR="00AB7C87" w:rsidRPr="00225D10">
        <w:rPr>
          <w:lang w:val="en-US" w:eastAsia="en-US"/>
        </w:rPr>
        <w:t>e on Bendigo’s burgeoning reputation as a cultural destination. The project is expected to be finished by the end of 2013.</w:t>
      </w:r>
    </w:p>
    <w:p w:rsidR="00AB7C87" w:rsidRPr="00225D10" w:rsidRDefault="00D9527C" w:rsidP="004A1FF9">
      <w:pPr>
        <w:pStyle w:val="Heading5"/>
      </w:pPr>
      <w:proofErr w:type="spellStart"/>
      <w:r w:rsidRPr="00225D10">
        <w:t>Bendigo’s</w:t>
      </w:r>
      <w:proofErr w:type="spellEnd"/>
      <w:r w:rsidRPr="00225D10">
        <w:t xml:space="preserve"> </w:t>
      </w:r>
      <w:proofErr w:type="spellStart"/>
      <w:r w:rsidR="00AB7C87" w:rsidRPr="00225D10">
        <w:t>Sandhurst</w:t>
      </w:r>
      <w:proofErr w:type="spellEnd"/>
      <w:r w:rsidR="00AB7C87" w:rsidRPr="00225D10">
        <w:t xml:space="preserve"> Theatre</w:t>
      </w:r>
    </w:p>
    <w:p w:rsidR="00354CE8" w:rsidRPr="00225D10" w:rsidRDefault="00354CE8" w:rsidP="00D34F87">
      <w:pPr>
        <w:pStyle w:val="bt"/>
        <w:tabs>
          <w:tab w:val="left" w:pos="8931"/>
        </w:tabs>
        <w:rPr>
          <w:lang w:val="en-US" w:eastAsia="en-US"/>
        </w:rPr>
      </w:pPr>
      <w:r w:rsidRPr="00225D10">
        <w:rPr>
          <w:lang w:val="en-US" w:eastAsia="en-US"/>
        </w:rPr>
        <w:t xml:space="preserve">Originally commissioned in 1861, the former Bendigo </w:t>
      </w:r>
      <w:r w:rsidR="00E86E4C">
        <w:rPr>
          <w:lang w:val="en-US" w:eastAsia="en-US"/>
        </w:rPr>
        <w:t>Gaol</w:t>
      </w:r>
      <w:r w:rsidRPr="00225D10">
        <w:rPr>
          <w:lang w:val="en-US" w:eastAsia="en-US"/>
        </w:rPr>
        <w:t xml:space="preserve"> is undergoing a</w:t>
      </w:r>
      <w:r w:rsidR="00AB7C87" w:rsidRPr="00225D10">
        <w:rPr>
          <w:lang w:val="en-US" w:eastAsia="en-US"/>
        </w:rPr>
        <w:t xml:space="preserve"> $25.8 million redevelopment </w:t>
      </w:r>
      <w:r w:rsidRPr="00225D10">
        <w:rPr>
          <w:lang w:val="en-US" w:eastAsia="en-US"/>
        </w:rPr>
        <w:t>as a state-of-the-art theatre complex including a 1000-seat theatre, music, dance and drama studio spaces, general learning areas and a commercial learning kitchen.</w:t>
      </w:r>
    </w:p>
    <w:p w:rsidR="00AB7C87" w:rsidRPr="00225D10" w:rsidRDefault="00AB7C87" w:rsidP="00D34F87">
      <w:pPr>
        <w:pStyle w:val="bt"/>
        <w:tabs>
          <w:tab w:val="left" w:pos="8931"/>
        </w:tabs>
        <w:rPr>
          <w:lang w:val="en-US" w:eastAsia="en-US"/>
        </w:rPr>
      </w:pPr>
      <w:r w:rsidRPr="00225D10">
        <w:rPr>
          <w:lang w:val="en-US" w:eastAsia="en-US"/>
        </w:rPr>
        <w:t xml:space="preserve">Supported by local, state and federal governments as well as local education, arts, entertainment, tourism and other business sectors, </w:t>
      </w:r>
      <w:r w:rsidR="00EB18EF" w:rsidRPr="00225D10">
        <w:rPr>
          <w:lang w:val="en-US" w:eastAsia="en-US"/>
        </w:rPr>
        <w:t xml:space="preserve">the development </w:t>
      </w:r>
      <w:r w:rsidRPr="00225D10">
        <w:rPr>
          <w:lang w:val="en-US" w:eastAsia="en-US"/>
        </w:rPr>
        <w:t xml:space="preserve">is expected to be completed </w:t>
      </w:r>
      <w:r w:rsidR="00993977">
        <w:rPr>
          <w:lang w:val="en-US" w:eastAsia="en-US"/>
        </w:rPr>
        <w:t xml:space="preserve">by </w:t>
      </w:r>
      <w:r w:rsidRPr="00225D10">
        <w:rPr>
          <w:lang w:val="en-US" w:eastAsia="en-US"/>
        </w:rPr>
        <w:t>mid-2014. The project will enable Bendigo Secondary College to significantly enhance what it can offer students</w:t>
      </w:r>
      <w:r w:rsidR="00EB18EF" w:rsidRPr="00225D10">
        <w:rPr>
          <w:lang w:val="en-US" w:eastAsia="en-US"/>
        </w:rPr>
        <w:t xml:space="preserve"> in terms of music and theatre performance</w:t>
      </w:r>
      <w:r w:rsidRPr="00225D10">
        <w:rPr>
          <w:lang w:val="en-US" w:eastAsia="en-US"/>
        </w:rPr>
        <w:t xml:space="preserve">. With high levels of public access, the </w:t>
      </w:r>
      <w:r w:rsidR="00EB18EF" w:rsidRPr="00225D10">
        <w:rPr>
          <w:lang w:val="en-US" w:eastAsia="en-US"/>
        </w:rPr>
        <w:t xml:space="preserve">theatre </w:t>
      </w:r>
      <w:r w:rsidRPr="00225D10">
        <w:rPr>
          <w:lang w:val="en-US" w:eastAsia="en-US"/>
        </w:rPr>
        <w:t xml:space="preserve">will </w:t>
      </w:r>
      <w:r w:rsidR="00EB18EF" w:rsidRPr="00225D10">
        <w:rPr>
          <w:lang w:val="en-US" w:eastAsia="en-US"/>
        </w:rPr>
        <w:t xml:space="preserve">encourage </w:t>
      </w:r>
      <w:r w:rsidRPr="00225D10">
        <w:rPr>
          <w:lang w:val="en-US" w:eastAsia="en-US"/>
        </w:rPr>
        <w:t>community participat</w:t>
      </w:r>
      <w:r w:rsidR="00EB18EF" w:rsidRPr="00225D10">
        <w:rPr>
          <w:lang w:val="en-US" w:eastAsia="en-US"/>
        </w:rPr>
        <w:t xml:space="preserve">ion </w:t>
      </w:r>
      <w:r w:rsidRPr="00225D10">
        <w:rPr>
          <w:lang w:val="en-US" w:eastAsia="en-US"/>
        </w:rPr>
        <w:t xml:space="preserve">in a wide range of performing arts, educational and other activities.  </w:t>
      </w:r>
    </w:p>
    <w:p w:rsidR="00AB7C87" w:rsidRPr="00225D10" w:rsidRDefault="00AB7C87" w:rsidP="004A1FF9">
      <w:pPr>
        <w:pStyle w:val="Heading5"/>
      </w:pPr>
      <w:r w:rsidRPr="00225D10">
        <w:t>The Great Stupa</w:t>
      </w:r>
    </w:p>
    <w:p w:rsidR="0002252D" w:rsidRPr="00225D10" w:rsidRDefault="0002252D" w:rsidP="00D34F87">
      <w:pPr>
        <w:pStyle w:val="bt"/>
        <w:tabs>
          <w:tab w:val="left" w:pos="8931"/>
        </w:tabs>
        <w:rPr>
          <w:lang w:eastAsia="en-US"/>
        </w:rPr>
      </w:pPr>
      <w:r w:rsidRPr="00225D10">
        <w:rPr>
          <w:lang w:eastAsia="en-US"/>
        </w:rPr>
        <w:lastRenderedPageBreak/>
        <w:t xml:space="preserve">The largest stupa </w:t>
      </w:r>
      <w:r w:rsidR="00993977">
        <w:rPr>
          <w:lang w:eastAsia="en-US"/>
        </w:rPr>
        <w:t xml:space="preserve">(structure containing Buddhist relics) </w:t>
      </w:r>
      <w:r w:rsidRPr="00225D10">
        <w:rPr>
          <w:lang w:eastAsia="en-US"/>
        </w:rPr>
        <w:t xml:space="preserve">in the </w:t>
      </w:r>
      <w:r w:rsidR="00EB18EF" w:rsidRPr="00225D10">
        <w:rPr>
          <w:lang w:eastAsia="en-US"/>
        </w:rPr>
        <w:t>w</w:t>
      </w:r>
      <w:r w:rsidRPr="00225D10">
        <w:rPr>
          <w:lang w:eastAsia="en-US"/>
        </w:rPr>
        <w:t xml:space="preserve">estern </w:t>
      </w:r>
      <w:r w:rsidR="00EB18EF" w:rsidRPr="00225D10">
        <w:rPr>
          <w:lang w:eastAsia="en-US"/>
        </w:rPr>
        <w:t>w</w:t>
      </w:r>
      <w:r w:rsidRPr="00225D10">
        <w:rPr>
          <w:lang w:eastAsia="en-US"/>
        </w:rPr>
        <w:t>orld is currently being built near Bendigo. Known as t</w:t>
      </w:r>
      <w:r w:rsidR="00AB7C87" w:rsidRPr="00225D10">
        <w:rPr>
          <w:lang w:eastAsia="en-US"/>
        </w:rPr>
        <w:t xml:space="preserve">he Great </w:t>
      </w:r>
      <w:r w:rsidRPr="00225D10">
        <w:rPr>
          <w:lang w:eastAsia="en-US"/>
        </w:rPr>
        <w:t xml:space="preserve">Stupa of Universal Compassion, it </w:t>
      </w:r>
      <w:r w:rsidR="00AB7C87" w:rsidRPr="00225D10">
        <w:rPr>
          <w:lang w:eastAsia="en-US"/>
        </w:rPr>
        <w:t xml:space="preserve">will be 50 </w:t>
      </w:r>
      <w:r w:rsidR="00EB18EF" w:rsidRPr="00225D10">
        <w:rPr>
          <w:lang w:eastAsia="en-US"/>
        </w:rPr>
        <w:t xml:space="preserve">square </w:t>
      </w:r>
      <w:r w:rsidR="00AB7C87" w:rsidRPr="00225D10">
        <w:rPr>
          <w:lang w:eastAsia="en-US"/>
        </w:rPr>
        <w:t xml:space="preserve">metres at its </w:t>
      </w:r>
      <w:r w:rsidR="00AF75DF" w:rsidRPr="00225D10">
        <w:rPr>
          <w:lang w:eastAsia="en-US"/>
        </w:rPr>
        <w:t>base and nearly 50 metres high, with</w:t>
      </w:r>
      <w:r w:rsidRPr="00225D10">
        <w:rPr>
          <w:lang w:eastAsia="en-US"/>
        </w:rPr>
        <w:t xml:space="preserve"> </w:t>
      </w:r>
      <w:r w:rsidR="00AF75DF" w:rsidRPr="00225D10">
        <w:rPr>
          <w:lang w:eastAsia="en-US"/>
        </w:rPr>
        <w:t>c</w:t>
      </w:r>
      <w:r w:rsidRPr="00225D10">
        <w:rPr>
          <w:lang w:eastAsia="en-US"/>
        </w:rPr>
        <w:t xml:space="preserve">onstruction estimated to </w:t>
      </w:r>
      <w:r w:rsidR="00EB18EF" w:rsidRPr="00225D10">
        <w:rPr>
          <w:lang w:eastAsia="en-US"/>
        </w:rPr>
        <w:t xml:space="preserve">cost </w:t>
      </w:r>
      <w:r w:rsidRPr="00225D10">
        <w:rPr>
          <w:lang w:eastAsia="en-US"/>
        </w:rPr>
        <w:t xml:space="preserve">around $20 million. While </w:t>
      </w:r>
      <w:r w:rsidR="00AF75DF" w:rsidRPr="00225D10">
        <w:rPr>
          <w:lang w:eastAsia="en-US"/>
        </w:rPr>
        <w:t xml:space="preserve">still under construction, </w:t>
      </w:r>
      <w:r w:rsidR="00EB18EF" w:rsidRPr="00225D10">
        <w:rPr>
          <w:lang w:eastAsia="en-US"/>
        </w:rPr>
        <w:t xml:space="preserve">the stupa </w:t>
      </w:r>
      <w:r w:rsidR="00AF75DF" w:rsidRPr="00225D10">
        <w:rPr>
          <w:lang w:eastAsia="en-US"/>
        </w:rPr>
        <w:t>is open for visitors to view progress. Once complete, it will be a m</w:t>
      </w:r>
      <w:r w:rsidRPr="00225D10">
        <w:rPr>
          <w:lang w:eastAsia="en-US"/>
        </w:rPr>
        <w:t>ajor drawcard to Bendigo</w:t>
      </w:r>
      <w:r w:rsidR="00AF75DF" w:rsidRPr="00225D10">
        <w:rPr>
          <w:lang w:eastAsia="en-US"/>
        </w:rPr>
        <w:t>, and aims</w:t>
      </w:r>
      <w:r w:rsidRPr="00225D10">
        <w:rPr>
          <w:lang w:eastAsia="en-US"/>
        </w:rPr>
        <w:t xml:space="preserve"> to be a place of pilgrimage for Buddhists from around the world.</w:t>
      </w:r>
    </w:p>
    <w:p w:rsidR="00AB7C87" w:rsidRPr="00225D10" w:rsidRDefault="00AB7C87" w:rsidP="004A1FF9">
      <w:pPr>
        <w:pStyle w:val="Heading5"/>
      </w:pPr>
      <w:r w:rsidRPr="00225D10">
        <w:t xml:space="preserve">Food and </w:t>
      </w:r>
      <w:r w:rsidR="00621C14" w:rsidRPr="00225D10">
        <w:t>w</w:t>
      </w:r>
      <w:r w:rsidRPr="00225D10">
        <w:t xml:space="preserve">ine </w:t>
      </w:r>
    </w:p>
    <w:p w:rsidR="00AB7C87" w:rsidRPr="00225D10" w:rsidRDefault="00AB7C87" w:rsidP="00D34F87">
      <w:pPr>
        <w:pStyle w:val="bt"/>
        <w:tabs>
          <w:tab w:val="left" w:pos="8931"/>
        </w:tabs>
        <w:rPr>
          <w:lang w:val="en-US" w:eastAsia="en-US"/>
        </w:rPr>
      </w:pPr>
      <w:r w:rsidRPr="00225D10">
        <w:rPr>
          <w:lang w:eastAsia="en-US"/>
        </w:rPr>
        <w:t xml:space="preserve">A contemporary food and wine </w:t>
      </w:r>
      <w:r w:rsidR="00EB18EF" w:rsidRPr="00225D10">
        <w:rPr>
          <w:lang w:eastAsia="en-US"/>
        </w:rPr>
        <w:t>sector flourishes in the region</w:t>
      </w:r>
      <w:r w:rsidRPr="00225D10">
        <w:rPr>
          <w:lang w:eastAsia="en-US"/>
        </w:rPr>
        <w:t>, with fresh regional produce and two</w:t>
      </w:r>
      <w:r w:rsidRPr="00225D10">
        <w:rPr>
          <w:lang w:val="en-US" w:eastAsia="en-US"/>
        </w:rPr>
        <w:t xml:space="preserve"> major wine regions – Bendigo and Heathcote. In particular, the Heathcote area is known for the exceptional quality of </w:t>
      </w:r>
      <w:r w:rsidR="00EB18EF" w:rsidRPr="00225D10">
        <w:rPr>
          <w:lang w:val="en-US" w:eastAsia="en-US"/>
        </w:rPr>
        <w:t xml:space="preserve">its </w:t>
      </w:r>
      <w:proofErr w:type="gramStart"/>
      <w:r w:rsidRPr="00225D10">
        <w:rPr>
          <w:lang w:val="en-US" w:eastAsia="en-US"/>
        </w:rPr>
        <w:t>shiraz</w:t>
      </w:r>
      <w:proofErr w:type="gramEnd"/>
      <w:r w:rsidRPr="00225D10">
        <w:rPr>
          <w:lang w:val="en-US" w:eastAsia="en-US"/>
        </w:rPr>
        <w:t xml:space="preserve"> wines. This has resulted in substantial investment that is rivaling the nationally known </w:t>
      </w:r>
      <w:proofErr w:type="spellStart"/>
      <w:r w:rsidRPr="00225D10">
        <w:rPr>
          <w:lang w:val="en-US" w:eastAsia="en-US"/>
        </w:rPr>
        <w:t>Coonawarra</w:t>
      </w:r>
      <w:proofErr w:type="spellEnd"/>
      <w:r w:rsidRPr="00225D10">
        <w:rPr>
          <w:lang w:val="en-US" w:eastAsia="en-US"/>
        </w:rPr>
        <w:t xml:space="preserve"> region in South Australia.</w:t>
      </w:r>
    </w:p>
    <w:p w:rsidR="00AB7C87" w:rsidRPr="00225D10" w:rsidRDefault="009508D0" w:rsidP="004A1FF9">
      <w:pPr>
        <w:pStyle w:val="Heading5"/>
      </w:pPr>
      <w:r>
        <w:t xml:space="preserve">Tourism and recreation </w:t>
      </w:r>
    </w:p>
    <w:p w:rsidR="00FB56AC" w:rsidRPr="00225D10" w:rsidRDefault="00AB7C87" w:rsidP="00D34F87">
      <w:pPr>
        <w:pStyle w:val="bt"/>
        <w:tabs>
          <w:tab w:val="left" w:pos="8931"/>
        </w:tabs>
      </w:pPr>
      <w:r w:rsidRPr="00225D10">
        <w:rPr>
          <w:lang w:eastAsia="en-US"/>
        </w:rPr>
        <w:t xml:space="preserve">Tourism is a growing industry, and regional assets include recreation, leisure activities, the natural environment, wineries, heritage and landscape features. One of the </w:t>
      </w:r>
      <w:r w:rsidR="004C637F" w:rsidRPr="00225D10">
        <w:rPr>
          <w:lang w:eastAsia="en-US"/>
        </w:rPr>
        <w:t xml:space="preserve">most popular </w:t>
      </w:r>
      <w:r w:rsidRPr="00225D10">
        <w:rPr>
          <w:lang w:eastAsia="en-US"/>
        </w:rPr>
        <w:t>tourist destinations in the region is Hanging Rock (M</w:t>
      </w:r>
      <w:r w:rsidR="004C637F" w:rsidRPr="00225D10">
        <w:rPr>
          <w:lang w:eastAsia="en-US"/>
        </w:rPr>
        <w:t>oun</w:t>
      </w:r>
      <w:r w:rsidRPr="00225D10">
        <w:rPr>
          <w:lang w:eastAsia="en-US"/>
        </w:rPr>
        <w:t xml:space="preserve">t Diogenes) located near the townships of Woodend </w:t>
      </w:r>
      <w:r w:rsidR="004C637F" w:rsidRPr="00225D10">
        <w:rPr>
          <w:lang w:eastAsia="en-US"/>
        </w:rPr>
        <w:t xml:space="preserve">and </w:t>
      </w:r>
      <w:r w:rsidRPr="00225D10">
        <w:rPr>
          <w:lang w:eastAsia="en-US"/>
        </w:rPr>
        <w:t>Mount Macedon.</w:t>
      </w:r>
      <w:r w:rsidRPr="00225D10">
        <w:t xml:space="preserve"> It is renowned as the site where a party of schoolgirls disappeared in February 1900 in the fictional novel and film </w:t>
      </w:r>
      <w:r w:rsidRPr="00225D10">
        <w:rPr>
          <w:i/>
        </w:rPr>
        <w:t>Picnic at Hanging Rock</w:t>
      </w:r>
      <w:r w:rsidRPr="00225D10">
        <w:t xml:space="preserve">. </w:t>
      </w:r>
      <w:r w:rsidRPr="00225D10">
        <w:rPr>
          <w:lang w:eastAsia="en-US"/>
        </w:rPr>
        <w:t xml:space="preserve">It is also home of the Hanging Rock Cup </w:t>
      </w:r>
      <w:r w:rsidR="004C637F" w:rsidRPr="00225D10">
        <w:rPr>
          <w:lang w:eastAsia="en-US"/>
        </w:rPr>
        <w:t xml:space="preserve">and </w:t>
      </w:r>
      <w:r w:rsidRPr="00225D10">
        <w:rPr>
          <w:lang w:eastAsia="en-US"/>
        </w:rPr>
        <w:t>Races, and a wide array of native flora and fauna. A rare volcanic formation attracting over 120,000 visitors per annum, it is</w:t>
      </w:r>
      <w:r w:rsidRPr="00225D10">
        <w:t xml:space="preserve"> listed on the Register of the National Estate.</w:t>
      </w:r>
    </w:p>
    <w:p w:rsidR="00B63E12" w:rsidRDefault="00AB7C87" w:rsidP="00D34F87">
      <w:pPr>
        <w:pStyle w:val="bt"/>
        <w:tabs>
          <w:tab w:val="left" w:pos="8931"/>
        </w:tabs>
        <w:rPr>
          <w:lang w:val="en-US" w:eastAsia="en-US"/>
        </w:rPr>
      </w:pPr>
      <w:r w:rsidRPr="00225D10">
        <w:t>To</w:t>
      </w:r>
      <w:r w:rsidR="004C637F" w:rsidRPr="00225D10">
        <w:t xml:space="preserve"> help </w:t>
      </w:r>
      <w:r w:rsidRPr="00225D10">
        <w:t xml:space="preserve">develop the </w:t>
      </w:r>
      <w:r w:rsidR="004C637F" w:rsidRPr="00225D10">
        <w:t xml:space="preserve">regional </w:t>
      </w:r>
      <w:r w:rsidRPr="00225D10">
        <w:t xml:space="preserve">tourism industry, Tourism Victoria has developed the </w:t>
      </w:r>
      <w:r w:rsidR="008D37E7" w:rsidRPr="00225D10">
        <w:t>Regional Marketing and Development Plan – Goldfields</w:t>
      </w:r>
      <w:r w:rsidR="004C637F" w:rsidRPr="00225D10">
        <w:t>,</w:t>
      </w:r>
      <w:r w:rsidR="008D37E7" w:rsidRPr="00225D10">
        <w:t xml:space="preserve"> </w:t>
      </w:r>
      <w:r w:rsidRPr="00225D10">
        <w:t>which outlines priority activities such as investment attraction and marketing activities.</w:t>
      </w:r>
      <w:r w:rsidR="004C637F" w:rsidRPr="00225D10">
        <w:rPr>
          <w:lang w:val="en-US" w:eastAsia="en-US"/>
        </w:rPr>
        <w:t xml:space="preserve"> </w:t>
      </w:r>
      <w:r w:rsidRPr="00225D10">
        <w:rPr>
          <w:lang w:val="en-US" w:eastAsia="en-US"/>
        </w:rPr>
        <w:t>With the region’s strong background in agriculture and rural production, nature-based and agri-tourism are emerging industry sectors which have the potential for further development.</w:t>
      </w:r>
    </w:p>
    <w:p w:rsidR="006E6843" w:rsidRPr="00225D10" w:rsidRDefault="00FB56AC" w:rsidP="00D34F87">
      <w:pPr>
        <w:pStyle w:val="Heading4"/>
        <w:tabs>
          <w:tab w:val="left" w:pos="8931"/>
        </w:tabs>
      </w:pPr>
      <w:r w:rsidRPr="00225D10">
        <w:t xml:space="preserve">Agricultural </w:t>
      </w:r>
      <w:r w:rsidR="00621C14" w:rsidRPr="00225D10">
        <w:t>s</w:t>
      </w:r>
      <w:r w:rsidRPr="00225D10">
        <w:t>ector</w:t>
      </w:r>
    </w:p>
    <w:p w:rsidR="00EE3602" w:rsidRPr="00225D10" w:rsidRDefault="0076200B" w:rsidP="00D34F87">
      <w:pPr>
        <w:pStyle w:val="bt"/>
        <w:tabs>
          <w:tab w:val="left" w:pos="8931"/>
        </w:tabs>
      </w:pPr>
      <w:r w:rsidRPr="00225D10">
        <w:t>A</w:t>
      </w:r>
      <w:r w:rsidR="00EE3602" w:rsidRPr="00225D10">
        <w:t xml:space="preserve">griculture </w:t>
      </w:r>
      <w:r w:rsidRPr="00225D10">
        <w:t>is</w:t>
      </w:r>
      <w:r w:rsidR="00EE3602" w:rsidRPr="00225D10">
        <w:t xml:space="preserve"> an important </w:t>
      </w:r>
      <w:r w:rsidRPr="00225D10">
        <w:t>contributor to the region</w:t>
      </w:r>
      <w:r w:rsidR="004C637F" w:rsidRPr="00225D10">
        <w:t>al</w:t>
      </w:r>
      <w:r w:rsidRPr="00225D10">
        <w:t xml:space="preserve"> economy. While</w:t>
      </w:r>
      <w:r w:rsidR="00EE3602" w:rsidRPr="00225D10">
        <w:t xml:space="preserve"> growth </w:t>
      </w:r>
      <w:r w:rsidRPr="00225D10">
        <w:t xml:space="preserve">in the agricultural sector </w:t>
      </w:r>
      <w:r w:rsidR="00EE3602" w:rsidRPr="00225D10">
        <w:t>has declined over time</w:t>
      </w:r>
      <w:r w:rsidRPr="00225D10">
        <w:t>,</w:t>
      </w:r>
      <w:r w:rsidR="00EE3602" w:rsidRPr="00225D10">
        <w:t xml:space="preserve"> the region</w:t>
      </w:r>
      <w:r w:rsidR="004362F8" w:rsidRPr="00225D10">
        <w:t>,</w:t>
      </w:r>
      <w:r w:rsidR="00EE3602" w:rsidRPr="00225D10">
        <w:t xml:space="preserve"> </w:t>
      </w:r>
      <w:r w:rsidRPr="00225D10">
        <w:t xml:space="preserve">through its </w:t>
      </w:r>
      <w:r w:rsidR="007C5534">
        <w:t>Southern Loddon Mallee Strategic Plan 2010</w:t>
      </w:r>
      <w:r w:rsidRPr="00225D10">
        <w:t xml:space="preserve">, </w:t>
      </w:r>
      <w:r w:rsidR="00EE3602" w:rsidRPr="00225D10">
        <w:t>has a clear position of supporting and promoting the growth of its agricultural sector.</w:t>
      </w:r>
    </w:p>
    <w:p w:rsidR="00B63E12" w:rsidRDefault="00E764DF" w:rsidP="00D34F87">
      <w:pPr>
        <w:pStyle w:val="bt"/>
        <w:tabs>
          <w:tab w:val="left" w:pos="8931"/>
        </w:tabs>
      </w:pPr>
      <w:r w:rsidRPr="00225D10">
        <w:t>There are numerous existing and emerging opportunities for clusters of intensive agricultural production</w:t>
      </w:r>
      <w:r w:rsidR="00D714B2">
        <w:t>,</w:t>
      </w:r>
      <w:r w:rsidRPr="00225D10">
        <w:t xml:space="preserve"> </w:t>
      </w:r>
      <w:r w:rsidR="0076200B" w:rsidRPr="00225D10">
        <w:t xml:space="preserve">broiler farms, egg production and piggeries </w:t>
      </w:r>
      <w:r w:rsidR="00003200" w:rsidRPr="00225D10">
        <w:t>in the r</w:t>
      </w:r>
      <w:r w:rsidRPr="00225D10">
        <w:t xml:space="preserve">egion. </w:t>
      </w:r>
      <w:r w:rsidR="004C637F" w:rsidRPr="00225D10">
        <w:t>F</w:t>
      </w:r>
      <w:r w:rsidR="0076200B" w:rsidRPr="00225D10">
        <w:t>uture expansion of these industries is sought with strong links to other emerging strengths in food processing and freight</w:t>
      </w:r>
      <w:r w:rsidR="004C637F" w:rsidRPr="00225D10">
        <w:t>-</w:t>
      </w:r>
      <w:r w:rsidR="0076200B" w:rsidRPr="00225D10">
        <w:t>related industries.</w:t>
      </w:r>
      <w:r w:rsidR="00F4265C" w:rsidRPr="00225D10">
        <w:t xml:space="preserve"> </w:t>
      </w:r>
      <w:r w:rsidR="004C637F" w:rsidRPr="00225D10">
        <w:t xml:space="preserve">One of the region’s </w:t>
      </w:r>
      <w:r w:rsidR="00F4265C" w:rsidRPr="00225D10">
        <w:t>priorit</w:t>
      </w:r>
      <w:r w:rsidR="004C637F" w:rsidRPr="00225D10">
        <w:t>ies</w:t>
      </w:r>
      <w:r w:rsidR="00F4265C" w:rsidRPr="00225D10">
        <w:t xml:space="preserve"> is to a</w:t>
      </w:r>
      <w:r w:rsidR="000E0BA5" w:rsidRPr="00225D10">
        <w:t>ttract investment in high value agriculture production and added value processing, including in intensive agriculture industries</w:t>
      </w:r>
      <w:r w:rsidR="004C637F" w:rsidRPr="00225D10">
        <w:t xml:space="preserve">. This would </w:t>
      </w:r>
      <w:r w:rsidR="000E0BA5" w:rsidRPr="00225D10">
        <w:t>leverag</w:t>
      </w:r>
      <w:r w:rsidR="004C637F" w:rsidRPr="00225D10">
        <w:t>e</w:t>
      </w:r>
      <w:r w:rsidR="000E0BA5" w:rsidRPr="00225D10">
        <w:t xml:space="preserve"> off the region</w:t>
      </w:r>
      <w:r w:rsidR="004C637F" w:rsidRPr="00225D10">
        <w:t>’</w:t>
      </w:r>
      <w:r w:rsidR="000E0BA5" w:rsidRPr="00225D10">
        <w:t>s strengths of good soils, efficient flexibl</w:t>
      </w:r>
      <w:r w:rsidR="00993977">
        <w:t>e farming systems and vast tract</w:t>
      </w:r>
      <w:r w:rsidR="000E0BA5" w:rsidRPr="00225D10">
        <w:t>s of land to deliver new jobs and encourage efficient resource use.</w:t>
      </w:r>
      <w:r w:rsidR="00F4265C" w:rsidRPr="007A0286">
        <w:rPr>
          <w:rStyle w:val="FootnoteReference"/>
          <w:rFonts w:asciiTheme="minorHAnsi" w:hAnsiTheme="minorHAnsi" w:cs="Arial"/>
          <w:szCs w:val="20"/>
        </w:rPr>
        <w:footnoteReference w:id="39"/>
      </w:r>
    </w:p>
    <w:p w:rsidR="00014032" w:rsidRPr="00663F7F" w:rsidRDefault="00014032" w:rsidP="00D34F87">
      <w:pPr>
        <w:pStyle w:val="Heading2"/>
        <w:tabs>
          <w:tab w:val="left" w:pos="8931"/>
        </w:tabs>
      </w:pPr>
      <w:bookmarkStart w:id="245" w:name="_Toc374530903"/>
      <w:r w:rsidRPr="00663F7F">
        <w:t xml:space="preserve">Challenges for </w:t>
      </w:r>
      <w:r w:rsidR="002D17FC" w:rsidRPr="00663F7F">
        <w:t>r</w:t>
      </w:r>
      <w:r w:rsidRPr="00663F7F">
        <w:t xml:space="preserve">egional </w:t>
      </w:r>
      <w:r w:rsidR="002D17FC" w:rsidRPr="00663F7F">
        <w:t>g</w:t>
      </w:r>
      <w:r w:rsidRPr="00663F7F">
        <w:t>rowth</w:t>
      </w:r>
      <w:bookmarkEnd w:id="245"/>
    </w:p>
    <w:p w:rsidR="00014032" w:rsidRPr="00225D10" w:rsidRDefault="00014032" w:rsidP="00D34F87">
      <w:pPr>
        <w:pStyle w:val="bt"/>
        <w:tabs>
          <w:tab w:val="left" w:pos="8931"/>
        </w:tabs>
        <w:rPr>
          <w:lang w:val="en-US" w:eastAsia="en-US"/>
        </w:rPr>
      </w:pPr>
      <w:r w:rsidRPr="00225D10">
        <w:rPr>
          <w:lang w:val="en-US" w:eastAsia="en-US"/>
        </w:rPr>
        <w:t xml:space="preserve">The </w:t>
      </w:r>
      <w:r w:rsidR="00486F1A" w:rsidRPr="00225D10">
        <w:rPr>
          <w:lang w:val="en-US" w:eastAsia="en-US"/>
        </w:rPr>
        <w:t xml:space="preserve">beauty </w:t>
      </w:r>
      <w:r w:rsidRPr="00225D10">
        <w:rPr>
          <w:lang w:val="en-US" w:eastAsia="en-US"/>
        </w:rPr>
        <w:t xml:space="preserve">of the </w:t>
      </w:r>
      <w:r w:rsidR="00486F1A" w:rsidRPr="00225D10">
        <w:rPr>
          <w:lang w:val="en-US" w:eastAsia="en-US"/>
        </w:rPr>
        <w:t xml:space="preserve">Loddon Mallee South </w:t>
      </w:r>
      <w:r w:rsidRPr="00225D10">
        <w:rPr>
          <w:lang w:val="en-US" w:eastAsia="en-US"/>
        </w:rPr>
        <w:t xml:space="preserve">region, the lifestyle it offers and its proximity to Melbourne make it </w:t>
      </w:r>
      <w:r w:rsidR="00486F1A" w:rsidRPr="00225D10">
        <w:rPr>
          <w:lang w:val="en-US" w:eastAsia="en-US"/>
        </w:rPr>
        <w:t xml:space="preserve">highly </w:t>
      </w:r>
      <w:r w:rsidRPr="00225D10">
        <w:rPr>
          <w:lang w:val="en-US" w:eastAsia="en-US"/>
        </w:rPr>
        <w:t xml:space="preserve">attractive for growth. </w:t>
      </w:r>
      <w:r w:rsidR="00486F1A" w:rsidRPr="00225D10">
        <w:rPr>
          <w:lang w:val="en-US" w:eastAsia="en-US"/>
        </w:rPr>
        <w:t>However, t</w:t>
      </w:r>
      <w:r w:rsidRPr="00225D10">
        <w:rPr>
          <w:lang w:val="en-US" w:eastAsia="en-US"/>
        </w:rPr>
        <w:t xml:space="preserve">his growth presents challenges on a regional level which the </w:t>
      </w:r>
      <w:r w:rsidR="00D714B2">
        <w:rPr>
          <w:lang w:val="en-US" w:eastAsia="en-US"/>
        </w:rPr>
        <w:t>r</w:t>
      </w:r>
      <w:r w:rsidR="00486F1A" w:rsidRPr="00225D10">
        <w:rPr>
          <w:lang w:val="en-US" w:eastAsia="en-US"/>
        </w:rPr>
        <w:t xml:space="preserve">egional </w:t>
      </w:r>
      <w:r w:rsidR="00D714B2">
        <w:rPr>
          <w:lang w:val="en-US" w:eastAsia="en-US"/>
        </w:rPr>
        <w:t>g</w:t>
      </w:r>
      <w:r w:rsidR="00D714B2" w:rsidRPr="00225D10">
        <w:rPr>
          <w:lang w:val="en-US" w:eastAsia="en-US"/>
        </w:rPr>
        <w:t xml:space="preserve">rowth </w:t>
      </w:r>
      <w:r w:rsidR="00D714B2">
        <w:rPr>
          <w:lang w:val="en-US" w:eastAsia="en-US"/>
        </w:rPr>
        <w:t>p</w:t>
      </w:r>
      <w:r w:rsidR="00D714B2" w:rsidRPr="00225D10">
        <w:rPr>
          <w:lang w:val="en-US" w:eastAsia="en-US"/>
        </w:rPr>
        <w:t xml:space="preserve">lan </w:t>
      </w:r>
      <w:r w:rsidR="00C467C0" w:rsidRPr="00225D10">
        <w:rPr>
          <w:lang w:val="en-US" w:eastAsia="en-US"/>
        </w:rPr>
        <w:t>seeks to manage or address</w:t>
      </w:r>
      <w:r w:rsidRPr="00225D10">
        <w:rPr>
          <w:lang w:val="en-US" w:eastAsia="en-US"/>
        </w:rPr>
        <w:t>:</w:t>
      </w:r>
    </w:p>
    <w:p w:rsidR="00014032" w:rsidRPr="00225D10" w:rsidRDefault="00014032" w:rsidP="00D34F87">
      <w:pPr>
        <w:pStyle w:val="Heading4"/>
        <w:tabs>
          <w:tab w:val="left" w:pos="8931"/>
        </w:tabs>
      </w:pPr>
      <w:r w:rsidRPr="00225D10">
        <w:t>Ensuring land supply for employment and housing</w:t>
      </w:r>
    </w:p>
    <w:p w:rsidR="00014032" w:rsidRPr="00225D10" w:rsidRDefault="00014032" w:rsidP="00D34F87">
      <w:pPr>
        <w:pStyle w:val="bt"/>
        <w:tabs>
          <w:tab w:val="left" w:pos="8931"/>
        </w:tabs>
      </w:pPr>
      <w:r w:rsidRPr="00225D10">
        <w:t>Provision of sufficient land supply in appropriate areas is needed to accommodate anticipated growth in nominated growth areas. The provision of land for employment areas across the region is important to provide for local employment opportunities and</w:t>
      </w:r>
      <w:r w:rsidR="00993977">
        <w:t xml:space="preserve"> to</w:t>
      </w:r>
      <w:r w:rsidRPr="00225D10">
        <w:t xml:space="preserve"> reduce </w:t>
      </w:r>
      <w:r w:rsidR="00993977">
        <w:t xml:space="preserve">dependency on </w:t>
      </w:r>
      <w:r w:rsidRPr="00225D10">
        <w:t>commuting. Achieving the right balance of housing types to meet changing household needs</w:t>
      </w:r>
      <w:r w:rsidR="00D714B2">
        <w:t>,</w:t>
      </w:r>
      <w:r w:rsidRPr="00225D10">
        <w:t xml:space="preserve"> both now and into the future</w:t>
      </w:r>
      <w:r w:rsidR="00D714B2">
        <w:t>,</w:t>
      </w:r>
      <w:r w:rsidRPr="00225D10">
        <w:t xml:space="preserve"> will be vital, particularly in light of the region’s ageing population. With </w:t>
      </w:r>
      <w:r w:rsidRPr="00225D10">
        <w:lastRenderedPageBreak/>
        <w:t xml:space="preserve">growth opportunities in many settlements constrained by natural elements, investigation of alternative housing supply opportunities, including infill, will be necessary.  </w:t>
      </w:r>
    </w:p>
    <w:p w:rsidR="00014032" w:rsidRPr="00225D10" w:rsidRDefault="00014032" w:rsidP="00D34F87">
      <w:pPr>
        <w:pStyle w:val="Heading4"/>
        <w:tabs>
          <w:tab w:val="left" w:pos="8931"/>
        </w:tabs>
      </w:pPr>
      <w:r w:rsidRPr="00225D10">
        <w:t>Managing growth within a naturally hazardous landscape, particularly in consideration of flood and bushfire r</w:t>
      </w:r>
      <w:r w:rsidR="00993977">
        <w:t>isk</w:t>
      </w:r>
    </w:p>
    <w:p w:rsidR="00014032" w:rsidRPr="00225D10" w:rsidRDefault="00014032" w:rsidP="00D34F87">
      <w:pPr>
        <w:pStyle w:val="bt"/>
        <w:tabs>
          <w:tab w:val="left" w:pos="8931"/>
        </w:tabs>
      </w:pPr>
      <w:r w:rsidRPr="00225D10">
        <w:t xml:space="preserve">The rich and diverse natural landscapes across the region are fundamental to its character and attractiveness but also present very real risks to people, property and the region’s economy. The increasing likelihood of flood and bushfire will only increase this risk. Land use conflicts will need to be identified and growth managed in a way that protects the </w:t>
      </w:r>
      <w:r w:rsidR="00C835AF" w:rsidRPr="00225D10">
        <w:t>environmental assets</w:t>
      </w:r>
      <w:r w:rsidRPr="00225D10">
        <w:t xml:space="preserve"> o</w:t>
      </w:r>
      <w:r w:rsidR="00C835AF" w:rsidRPr="00225D10">
        <w:t>f</w:t>
      </w:r>
      <w:r w:rsidRPr="00225D10">
        <w:t xml:space="preserve"> the region and minimises any risk as much as practical.</w:t>
      </w:r>
    </w:p>
    <w:p w:rsidR="00FB56AC" w:rsidRPr="00225D10" w:rsidRDefault="00014032" w:rsidP="00D34F87">
      <w:pPr>
        <w:pStyle w:val="Heading4"/>
        <w:tabs>
          <w:tab w:val="left" w:pos="8931"/>
        </w:tabs>
      </w:pPr>
      <w:r w:rsidRPr="00225D10">
        <w:t>Protection of settlement character</w:t>
      </w:r>
    </w:p>
    <w:p w:rsidR="00014032" w:rsidRPr="00225D10" w:rsidRDefault="00014032" w:rsidP="00D34F87">
      <w:pPr>
        <w:pStyle w:val="bt"/>
        <w:tabs>
          <w:tab w:val="left" w:pos="8931"/>
        </w:tabs>
      </w:pPr>
      <w:r w:rsidRPr="00225D10">
        <w:t>The natural environment, rural landscapes and heritage features are critical to the region’s attractiveness and liveability. Settlement character is an intrinsic part of this. Growth pressure on some settlements threatens the very nature of these settlements and will need to be carefully managed so</w:t>
      </w:r>
      <w:r w:rsidR="00993977">
        <w:t xml:space="preserve"> that</w:t>
      </w:r>
      <w:r w:rsidRPr="00225D10">
        <w:t xml:space="preserve"> it does not overwhelm the environmental and social attributes that are attracting growth.</w:t>
      </w:r>
    </w:p>
    <w:p w:rsidR="00014032" w:rsidRPr="00225D10" w:rsidRDefault="00014032" w:rsidP="00D34F87">
      <w:pPr>
        <w:pStyle w:val="Heading4"/>
        <w:tabs>
          <w:tab w:val="left" w:pos="8931"/>
        </w:tabs>
      </w:pPr>
      <w:r w:rsidRPr="00225D10">
        <w:t>Managing the ‘two speed’ economy, or ‘two extremes’ of economic structure, that make up Loddon Mallee South</w:t>
      </w:r>
    </w:p>
    <w:p w:rsidR="00014032" w:rsidRPr="00225D10" w:rsidRDefault="00014032" w:rsidP="00D34F87">
      <w:pPr>
        <w:pStyle w:val="bt"/>
        <w:tabs>
          <w:tab w:val="left" w:pos="8931"/>
        </w:tabs>
      </w:pPr>
      <w:r w:rsidRPr="00225D10">
        <w:t xml:space="preserve">There is an uneven distribution of both population and economic growth across the region, with </w:t>
      </w:r>
      <w:r w:rsidR="00993977">
        <w:t xml:space="preserve">Greater </w:t>
      </w:r>
      <w:r w:rsidRPr="00225D10">
        <w:t xml:space="preserve">Bendigo, Macedon Ranges and Mount Alexander at one extreme and Central Goldfields and Loddon at the other. Managing strong population growth in some areas to ensure growth does not overwhelm environmental and social attributes, whilst stimulating sustainable </w:t>
      </w:r>
      <w:r w:rsidR="003C30A4">
        <w:t xml:space="preserve">population and economic </w:t>
      </w:r>
      <w:r w:rsidRPr="00225D10">
        <w:t>growth over the long term in areas with low or negative population growth will be challenging. Some settlements may have aspirations for growth but in reality have low growth rates. Consideration of initiatives and incentives for managing and stimulating growth will be important.</w:t>
      </w:r>
    </w:p>
    <w:p w:rsidR="00014032" w:rsidRPr="00225D10" w:rsidRDefault="00014032" w:rsidP="00D34F87">
      <w:pPr>
        <w:pStyle w:val="Heading4"/>
        <w:tabs>
          <w:tab w:val="left" w:pos="8931"/>
        </w:tabs>
      </w:pPr>
      <w:r w:rsidRPr="00225D10">
        <w:t>Planning, funding and delivering necessary infrastructure and services to support growth</w:t>
      </w:r>
    </w:p>
    <w:p w:rsidR="00D611F3" w:rsidRPr="00225D10" w:rsidRDefault="00993977" w:rsidP="00D34F87">
      <w:pPr>
        <w:pStyle w:val="bt"/>
        <w:tabs>
          <w:tab w:val="left" w:pos="8931"/>
        </w:tabs>
      </w:pPr>
      <w:r>
        <w:t>S</w:t>
      </w:r>
      <w:r w:rsidR="008F61CA" w:rsidRPr="00225D10">
        <w:t>trong population growth</w:t>
      </w:r>
      <w:r w:rsidR="001261E1">
        <w:t xml:space="preserve"> is anticipated for the region</w:t>
      </w:r>
      <w:r w:rsidR="008F61CA" w:rsidRPr="00225D10">
        <w:t xml:space="preserve">, particularly in Bendigo. </w:t>
      </w:r>
      <w:r w:rsidR="001261E1">
        <w:t>I</w:t>
      </w:r>
      <w:r w:rsidR="008F61CA" w:rsidRPr="00225D10">
        <w:t>ncreased movement into Bendigo from outlying centres, for employment, health, education and access to other services and goods</w:t>
      </w:r>
      <w:r w:rsidR="001261E1">
        <w:t xml:space="preserve"> is also likely</w:t>
      </w:r>
      <w:r w:rsidR="008F61CA" w:rsidRPr="00225D10">
        <w:t xml:space="preserve">. This increased movement needs to be supported by public transport and an urban walking and cycling system to enable equitable access to goods and services and minimise congestion in urban centres. Land use planning can support transport and infrastructure enhancements, by directing </w:t>
      </w:r>
      <w:r w:rsidR="003C30A4">
        <w:t xml:space="preserve">population </w:t>
      </w:r>
      <w:r w:rsidR="008F61CA" w:rsidRPr="00225D10">
        <w:t>growth to areas with the capacity for enhancement, protecting existing important transport corridors, strategically reserving land for capacity enhancement and increasing urban density to support an effective urban public and active transport system.</w:t>
      </w:r>
    </w:p>
    <w:p w:rsidR="00014032" w:rsidRPr="00225D10" w:rsidRDefault="00014032" w:rsidP="00D34F87">
      <w:pPr>
        <w:pStyle w:val="bt"/>
        <w:tabs>
          <w:tab w:val="left" w:pos="8931"/>
        </w:tabs>
      </w:pPr>
      <w:r w:rsidRPr="00225D10">
        <w:t>The region’s intra</w:t>
      </w:r>
      <w:r w:rsidRPr="00225D10">
        <w:rPr>
          <w:rFonts w:ascii="Cambria Math" w:hAnsi="Cambria Math" w:cs="Cambria Math"/>
        </w:rPr>
        <w:t>‐</w:t>
      </w:r>
      <w:r w:rsidRPr="00225D10">
        <w:t xml:space="preserve">regional public transport services and road links will need to be strengthened to enable equitable access for communities to high level services in Bendigo, such as the hospital and higher education. </w:t>
      </w:r>
      <w:r w:rsidR="00FD1B37" w:rsidRPr="00225D10">
        <w:t xml:space="preserve">One </w:t>
      </w:r>
      <w:r w:rsidRPr="00225D10">
        <w:t xml:space="preserve">aim of the </w:t>
      </w:r>
      <w:r w:rsidR="001E79E5">
        <w:t>r</w:t>
      </w:r>
      <w:r w:rsidR="00FD1B37" w:rsidRPr="00225D10">
        <w:t xml:space="preserve">egional </w:t>
      </w:r>
      <w:r w:rsidR="001E79E5">
        <w:t>g</w:t>
      </w:r>
      <w:r w:rsidR="001E79E5" w:rsidRPr="00225D10">
        <w:t xml:space="preserve">rowth </w:t>
      </w:r>
      <w:r w:rsidR="001E79E5">
        <w:t>p</w:t>
      </w:r>
      <w:r w:rsidR="001E79E5" w:rsidRPr="00225D10">
        <w:t xml:space="preserve">lan </w:t>
      </w:r>
      <w:r w:rsidRPr="00225D10">
        <w:t>is to ensure that all growth is supported by sustainable reticulated or independent infrastructure services</w:t>
      </w:r>
      <w:r w:rsidR="001E79E5">
        <w:t xml:space="preserve">, </w:t>
      </w:r>
      <w:r w:rsidRPr="00225D10">
        <w:t xml:space="preserve">water, power and </w:t>
      </w:r>
      <w:r w:rsidR="008970FD">
        <w:t>waste and resource recovery</w:t>
      </w:r>
      <w:r w:rsidRPr="00225D10">
        <w:t xml:space="preserve"> in particular.</w:t>
      </w:r>
    </w:p>
    <w:p w:rsidR="00014032" w:rsidRPr="00225D10" w:rsidRDefault="00014032" w:rsidP="00D34F87">
      <w:pPr>
        <w:pStyle w:val="Heading4"/>
        <w:tabs>
          <w:tab w:val="left" w:pos="8931"/>
        </w:tabs>
      </w:pPr>
      <w:r w:rsidRPr="00225D10">
        <w:t>Adapting to changing climate</w:t>
      </w:r>
    </w:p>
    <w:p w:rsidR="001E79E5" w:rsidRDefault="00014032" w:rsidP="00D34F87">
      <w:pPr>
        <w:pStyle w:val="bt"/>
        <w:tabs>
          <w:tab w:val="left" w:pos="8931"/>
        </w:tabs>
      </w:pPr>
      <w:r w:rsidRPr="00225D10">
        <w:t xml:space="preserve">Increased risk of </w:t>
      </w:r>
      <w:r w:rsidR="0028534E">
        <w:t>flood</w:t>
      </w:r>
      <w:r w:rsidRPr="00225D10">
        <w:t xml:space="preserve"> and bushfire, combined with warmer temperatures and likely water supply reductions</w:t>
      </w:r>
      <w:r w:rsidR="00FD1B37" w:rsidRPr="00225D10">
        <w:t>,</w:t>
      </w:r>
      <w:r w:rsidRPr="00225D10">
        <w:t xml:space="preserve"> will impact on agricultural land</w:t>
      </w:r>
      <w:r w:rsidR="00C835AF" w:rsidRPr="00225D10">
        <w:t xml:space="preserve"> and urban communities</w:t>
      </w:r>
      <w:r w:rsidRPr="00225D10">
        <w:t xml:space="preserve">. Combined with the changing nature of agricultural production and practices, the region faces a challenge to maintain a prosperous and sustainable agricultural sector. Flexibility and adaptation to support the ongoing viability of agriculture will be necessary. </w:t>
      </w:r>
    </w:p>
    <w:p w:rsidR="00014032" w:rsidRPr="00225D10" w:rsidRDefault="00014032" w:rsidP="00D34F87">
      <w:pPr>
        <w:pStyle w:val="bt"/>
        <w:tabs>
          <w:tab w:val="left" w:pos="8931"/>
        </w:tabs>
      </w:pPr>
      <w:r w:rsidRPr="00225D10">
        <w:t>It will also be important to limit the impacts of population growth and land fragmentation on rural production areas. Land use planning will need to help improve the region’s resilience and ability to adapt to change as impacts emerge.</w:t>
      </w:r>
      <w:r w:rsidR="00C835AF" w:rsidRPr="00225D10">
        <w:t xml:space="preserve"> This includes appropriate design of urban environments to manage extreme heat and urban heat </w:t>
      </w:r>
      <w:r w:rsidR="00FD1B37" w:rsidRPr="00225D10">
        <w:t xml:space="preserve">island </w:t>
      </w:r>
      <w:r w:rsidR="00C835AF" w:rsidRPr="00225D10">
        <w:t>effects.</w:t>
      </w:r>
    </w:p>
    <w:p w:rsidR="00014032" w:rsidRPr="00663F7F" w:rsidRDefault="009D760B" w:rsidP="00D34F87">
      <w:pPr>
        <w:pStyle w:val="Heading1"/>
        <w:tabs>
          <w:tab w:val="left" w:pos="8931"/>
        </w:tabs>
      </w:pPr>
      <w:r w:rsidRPr="00663F7F">
        <w:br w:type="page"/>
      </w:r>
      <w:bookmarkStart w:id="246" w:name="_Toc374530904"/>
      <w:r w:rsidRPr="00663F7F">
        <w:lastRenderedPageBreak/>
        <w:t>R</w:t>
      </w:r>
      <w:r w:rsidR="00E4085C" w:rsidRPr="00663F7F">
        <w:t>eferences</w:t>
      </w:r>
      <w:bookmarkEnd w:id="246"/>
    </w:p>
    <w:p w:rsidR="00B87575" w:rsidRPr="00225D10" w:rsidRDefault="00B87575" w:rsidP="00166F7F">
      <w:pPr>
        <w:pStyle w:val="bt"/>
      </w:pPr>
      <w:r w:rsidRPr="00225D10">
        <w:t>Australian Bureau of Statistics Census 2006 and 2011</w:t>
      </w:r>
    </w:p>
    <w:p w:rsidR="00D96273" w:rsidRPr="00225D10" w:rsidRDefault="00D96273" w:rsidP="00166F7F">
      <w:pPr>
        <w:pStyle w:val="bt"/>
      </w:pPr>
      <w:r w:rsidRPr="00225D10">
        <w:t>Australian Bureau of Statistics (ABS) Index of Relative Socio-economic Disadvantage</w:t>
      </w:r>
    </w:p>
    <w:p w:rsidR="0053631A" w:rsidRPr="00225D10" w:rsidRDefault="0053631A" w:rsidP="00166F7F">
      <w:pPr>
        <w:pStyle w:val="bt"/>
      </w:pPr>
      <w:r w:rsidRPr="00225D10">
        <w:t>Australian Soil Resource Information System 2011</w:t>
      </w:r>
      <w:r w:rsidR="00893C2B" w:rsidRPr="00225D10">
        <w:t>, Australian</w:t>
      </w:r>
      <w:r w:rsidRPr="00225D10">
        <w:t xml:space="preserve"> Soil Resource Information System</w:t>
      </w:r>
    </w:p>
    <w:p w:rsidR="00F343A3" w:rsidRPr="001D5B80" w:rsidRDefault="00F343A3" w:rsidP="00166F7F">
      <w:pPr>
        <w:pStyle w:val="bt"/>
        <w:rPr>
          <w:i/>
        </w:rPr>
      </w:pPr>
      <w:r w:rsidRPr="001D5B80">
        <w:t xml:space="preserve">Central Goldfields Shire </w:t>
      </w:r>
      <w:r w:rsidR="00340A19" w:rsidRPr="001D5B80">
        <w:t>(</w:t>
      </w:r>
      <w:r w:rsidRPr="001D5B80">
        <w:t>2011</w:t>
      </w:r>
      <w:r w:rsidR="00340A19" w:rsidRPr="001D5B80">
        <w:t>)</w:t>
      </w:r>
      <w:r w:rsidRPr="001D5B80">
        <w:t xml:space="preserve"> </w:t>
      </w:r>
      <w:r w:rsidRPr="001D5B80">
        <w:rPr>
          <w:i/>
        </w:rPr>
        <w:t>Waste Management Strategy</w:t>
      </w:r>
    </w:p>
    <w:p w:rsidR="00761F5B" w:rsidRPr="001D5B80" w:rsidRDefault="00761F5B" w:rsidP="00166F7F">
      <w:pPr>
        <w:pStyle w:val="bt"/>
        <w:rPr>
          <w:i/>
        </w:rPr>
      </w:pPr>
      <w:r w:rsidRPr="001D5B80">
        <w:t xml:space="preserve">City of Greater Bendigo </w:t>
      </w:r>
      <w:r w:rsidR="00340A19" w:rsidRPr="001D5B80">
        <w:t>(</w:t>
      </w:r>
      <w:r w:rsidRPr="001D5B80">
        <w:t>2011</w:t>
      </w:r>
      <w:r w:rsidR="00340A19" w:rsidRPr="001D5B80">
        <w:t>)</w:t>
      </w:r>
      <w:r w:rsidRPr="001D5B80">
        <w:t xml:space="preserve"> </w:t>
      </w:r>
      <w:proofErr w:type="gramStart"/>
      <w:r w:rsidRPr="001D5B80">
        <w:rPr>
          <w:i/>
        </w:rPr>
        <w:t>The</w:t>
      </w:r>
      <w:proofErr w:type="gramEnd"/>
      <w:r w:rsidRPr="001D5B80">
        <w:rPr>
          <w:i/>
        </w:rPr>
        <w:t xml:space="preserve"> Marong Plan</w:t>
      </w:r>
    </w:p>
    <w:p w:rsidR="00D96273" w:rsidRPr="001D5B80" w:rsidRDefault="00D96273" w:rsidP="00166F7F">
      <w:pPr>
        <w:pStyle w:val="bt"/>
      </w:pPr>
      <w:r w:rsidRPr="001D5B80">
        <w:t xml:space="preserve">City of Greater Bendigo </w:t>
      </w:r>
      <w:r w:rsidR="00340A19" w:rsidRPr="001D5B80">
        <w:t>(</w:t>
      </w:r>
      <w:r w:rsidRPr="001D5B80">
        <w:t>2012</w:t>
      </w:r>
      <w:r w:rsidR="00340A19" w:rsidRPr="001D5B80">
        <w:t>)</w:t>
      </w:r>
      <w:r w:rsidRPr="001D5B80">
        <w:t xml:space="preserve"> Bendigo Residential Development Strategy – Stage 1 Audit Report </w:t>
      </w:r>
    </w:p>
    <w:p w:rsidR="00BE3CE6" w:rsidRPr="001D5B80" w:rsidRDefault="001E233E" w:rsidP="00166F7F">
      <w:pPr>
        <w:pStyle w:val="bt"/>
      </w:pPr>
      <w:r w:rsidRPr="001D5B80">
        <w:t xml:space="preserve">City of Greater Bendigo </w:t>
      </w:r>
      <w:r w:rsidR="00340A19" w:rsidRPr="001D5B80">
        <w:t>(</w:t>
      </w:r>
      <w:r w:rsidR="00D96273" w:rsidRPr="001D5B80">
        <w:t>2005</w:t>
      </w:r>
      <w:r w:rsidR="00340A19" w:rsidRPr="001D5B80">
        <w:t>)</w:t>
      </w:r>
      <w:r w:rsidR="00D96273" w:rsidRPr="001D5B80">
        <w:t xml:space="preserve"> </w:t>
      </w:r>
      <w:r w:rsidRPr="001D5B80">
        <w:rPr>
          <w:i/>
        </w:rPr>
        <w:t>Commercial Land Strategy</w:t>
      </w:r>
      <w:r w:rsidR="00D96273" w:rsidRPr="001D5B80">
        <w:t xml:space="preserve"> </w:t>
      </w:r>
    </w:p>
    <w:p w:rsidR="00D35EEF" w:rsidRPr="00225D10" w:rsidRDefault="00D35EEF" w:rsidP="00166F7F">
      <w:pPr>
        <w:pStyle w:val="bt"/>
      </w:pPr>
      <w:proofErr w:type="spellStart"/>
      <w:r w:rsidRPr="00225D10">
        <w:t>Coliban</w:t>
      </w:r>
      <w:proofErr w:type="spellEnd"/>
      <w:r w:rsidRPr="00225D10">
        <w:t xml:space="preserve"> Water </w:t>
      </w:r>
      <w:r w:rsidR="00340A19" w:rsidRPr="00225D10">
        <w:t>(</w:t>
      </w:r>
      <w:r w:rsidRPr="00225D10">
        <w:t>2012</w:t>
      </w:r>
      <w:r w:rsidR="00340A19" w:rsidRPr="00225D10">
        <w:t>)</w:t>
      </w:r>
      <w:r w:rsidRPr="00225D10">
        <w:t xml:space="preserve"> Water Plan 2012-2018</w:t>
      </w:r>
    </w:p>
    <w:p w:rsidR="0053631A" w:rsidRPr="00225D10" w:rsidRDefault="0053631A" w:rsidP="00166F7F">
      <w:pPr>
        <w:pStyle w:val="bt"/>
      </w:pPr>
      <w:proofErr w:type="spellStart"/>
      <w:r w:rsidRPr="00225D10">
        <w:t>Comrie</w:t>
      </w:r>
      <w:proofErr w:type="spellEnd"/>
      <w:r w:rsidRPr="00225D10">
        <w:t>, N</w:t>
      </w:r>
      <w:r w:rsidR="00340A19" w:rsidRPr="00225D10">
        <w:t>. (</w:t>
      </w:r>
      <w:r w:rsidRPr="00225D10">
        <w:t>2011</w:t>
      </w:r>
      <w:r w:rsidR="00340A19" w:rsidRPr="00225D10">
        <w:t>)</w:t>
      </w:r>
      <w:r w:rsidRPr="00225D10">
        <w:t xml:space="preserve"> Review of the 2010–11 Flood Warnings &amp; Response, State of Victoria.</w:t>
      </w:r>
    </w:p>
    <w:p w:rsidR="00734EDF" w:rsidRPr="001D5B80" w:rsidRDefault="00734EDF" w:rsidP="00166F7F">
      <w:pPr>
        <w:pStyle w:val="bt"/>
      </w:pPr>
      <w:r w:rsidRPr="00225D10">
        <w:t xml:space="preserve">Department of Planning and Community Development </w:t>
      </w:r>
      <w:r w:rsidR="00340A19" w:rsidRPr="00225D10">
        <w:t>(</w:t>
      </w:r>
      <w:r w:rsidRPr="00225D10">
        <w:t>2009</w:t>
      </w:r>
      <w:r w:rsidR="00340A19" w:rsidRPr="00225D10">
        <w:t>)</w:t>
      </w:r>
      <w:r w:rsidRPr="00225D10">
        <w:t xml:space="preserve"> </w:t>
      </w:r>
      <w:r w:rsidRPr="001D5B80">
        <w:t xml:space="preserve">City of Greater Bendigo Urban Development Program Regional Residential Report </w:t>
      </w:r>
    </w:p>
    <w:p w:rsidR="00D96273" w:rsidRPr="00225D10" w:rsidRDefault="00D96273" w:rsidP="00166F7F">
      <w:pPr>
        <w:pStyle w:val="bt"/>
      </w:pPr>
      <w:r w:rsidRPr="00225D10">
        <w:t xml:space="preserve">Department of Planning and Community Development </w:t>
      </w:r>
      <w:r w:rsidR="00340A19" w:rsidRPr="00225D10">
        <w:t>(</w:t>
      </w:r>
      <w:r w:rsidRPr="00225D10">
        <w:t>2011</w:t>
      </w:r>
      <w:r w:rsidR="00340A19" w:rsidRPr="00225D10">
        <w:t>)</w:t>
      </w:r>
      <w:r w:rsidRPr="00225D10">
        <w:t xml:space="preserve"> Change and dis</w:t>
      </w:r>
      <w:r w:rsidR="00734EDF" w:rsidRPr="00225D10">
        <w:t>advantage in the Loddon Mallee R</w:t>
      </w:r>
      <w:r w:rsidRPr="00225D10">
        <w:t>egion, Victoria</w:t>
      </w:r>
    </w:p>
    <w:p w:rsidR="00D96273" w:rsidRPr="00225D10" w:rsidRDefault="00D96273" w:rsidP="00166F7F">
      <w:pPr>
        <w:pStyle w:val="bt"/>
      </w:pPr>
      <w:r w:rsidRPr="00225D10">
        <w:t xml:space="preserve">Department of Planning and Community Development </w:t>
      </w:r>
      <w:r w:rsidR="00340A19" w:rsidRPr="00225D10">
        <w:t>(</w:t>
      </w:r>
      <w:r w:rsidRPr="00225D10">
        <w:t>2011</w:t>
      </w:r>
      <w:r w:rsidR="00340A19" w:rsidRPr="00225D10">
        <w:t>)</w:t>
      </w:r>
      <w:r w:rsidRPr="00225D10">
        <w:t xml:space="preserve"> </w:t>
      </w:r>
      <w:r w:rsidRPr="001D5B80">
        <w:rPr>
          <w:i/>
        </w:rPr>
        <w:t>Macedon Ranges Regional Urban Development Program Residential Report</w:t>
      </w:r>
      <w:r w:rsidRPr="00225D10">
        <w:t xml:space="preserve"> </w:t>
      </w:r>
      <w:r w:rsidR="00290A72" w:rsidRPr="00225D10">
        <w:t>(unpublished)</w:t>
      </w:r>
    </w:p>
    <w:p w:rsidR="00D96273" w:rsidRPr="00225D10" w:rsidRDefault="00290A72" w:rsidP="00166F7F">
      <w:pPr>
        <w:pStyle w:val="bt"/>
      </w:pPr>
      <w:r w:rsidRPr="00225D10">
        <w:t xml:space="preserve">Department of Planning and Community Development </w:t>
      </w:r>
      <w:r w:rsidR="00340A19" w:rsidRPr="00225D10">
        <w:t>(</w:t>
      </w:r>
      <w:r w:rsidRPr="00225D10">
        <w:t>2011</w:t>
      </w:r>
      <w:r w:rsidR="00340A19" w:rsidRPr="00225D10">
        <w:t>)</w:t>
      </w:r>
      <w:r w:rsidRPr="00225D10">
        <w:t xml:space="preserve"> </w:t>
      </w:r>
      <w:r w:rsidR="00D96273" w:rsidRPr="001D5B80">
        <w:rPr>
          <w:i/>
        </w:rPr>
        <w:t xml:space="preserve">Mt Alexander Regional Urban Development Program Residential Report </w:t>
      </w:r>
      <w:r w:rsidRPr="00225D10">
        <w:t>(unpublished)</w:t>
      </w:r>
    </w:p>
    <w:p w:rsidR="00D96273" w:rsidRPr="001D5B80" w:rsidRDefault="00D96273" w:rsidP="00166F7F">
      <w:pPr>
        <w:pStyle w:val="bt"/>
        <w:rPr>
          <w:i/>
        </w:rPr>
      </w:pPr>
      <w:bookmarkStart w:id="247" w:name="OLE_LINK1"/>
      <w:bookmarkStart w:id="248" w:name="OLE_LINK2"/>
      <w:r w:rsidRPr="00225D10">
        <w:t xml:space="preserve">Department of Planning and Community Development </w:t>
      </w:r>
      <w:r w:rsidR="00340A19" w:rsidRPr="00225D10">
        <w:t>(</w:t>
      </w:r>
      <w:r w:rsidRPr="00225D10">
        <w:t>2012</w:t>
      </w:r>
      <w:r w:rsidR="00340A19" w:rsidRPr="00225D10">
        <w:t>)</w:t>
      </w:r>
      <w:r w:rsidRPr="00225D10">
        <w:t xml:space="preserve"> </w:t>
      </w:r>
      <w:bookmarkEnd w:id="247"/>
      <w:bookmarkEnd w:id="248"/>
      <w:r w:rsidRPr="001D5B80">
        <w:rPr>
          <w:i/>
        </w:rPr>
        <w:t>Victoria in Future 2012</w:t>
      </w:r>
    </w:p>
    <w:p w:rsidR="005C67E6" w:rsidRPr="001D5B80" w:rsidRDefault="005C67E6" w:rsidP="00166F7F">
      <w:pPr>
        <w:pStyle w:val="bt"/>
        <w:rPr>
          <w:i/>
        </w:rPr>
      </w:pPr>
      <w:r w:rsidRPr="00225D10">
        <w:t xml:space="preserve">Department of Planning and Community Development (2011) </w:t>
      </w:r>
      <w:r w:rsidRPr="001D5B80">
        <w:rPr>
          <w:i/>
        </w:rPr>
        <w:t xml:space="preserve">Loddon Mallee – NBN Coverage </w:t>
      </w:r>
    </w:p>
    <w:p w:rsidR="00737E71" w:rsidRPr="001D5B80" w:rsidRDefault="00883BC7" w:rsidP="00166F7F">
      <w:pPr>
        <w:pStyle w:val="bt"/>
        <w:rPr>
          <w:lang w:val="en-US"/>
        </w:rPr>
      </w:pPr>
      <w:r w:rsidRPr="00225D10">
        <w:t>Department of Sustainability and Environment, Improving Our Waterways: An overview of the draft Victorian Waterway Management Strategy</w:t>
      </w:r>
    </w:p>
    <w:p w:rsidR="00D96273" w:rsidRPr="001D5B80" w:rsidRDefault="00883BC7" w:rsidP="00166F7F">
      <w:pPr>
        <w:pStyle w:val="bt"/>
        <w:rPr>
          <w:i/>
        </w:rPr>
      </w:pPr>
      <w:r w:rsidRPr="001D5B80">
        <w:t xml:space="preserve">Department of Sustainability and Environment </w:t>
      </w:r>
      <w:r w:rsidRPr="001D5B80">
        <w:rPr>
          <w:i/>
        </w:rPr>
        <w:t>Nature Print v.2.0</w:t>
      </w:r>
    </w:p>
    <w:p w:rsidR="00B87575" w:rsidRPr="001D5B80" w:rsidRDefault="0053631A" w:rsidP="00166F7F">
      <w:pPr>
        <w:pStyle w:val="bt"/>
        <w:rPr>
          <w:i/>
        </w:rPr>
      </w:pPr>
      <w:r w:rsidRPr="001D5B80">
        <w:t xml:space="preserve">Department of Sustainability and Environment </w:t>
      </w:r>
      <w:r w:rsidR="00340A19" w:rsidRPr="001D5B80">
        <w:t>(</w:t>
      </w:r>
      <w:r w:rsidRPr="001D5B80">
        <w:t>2009</w:t>
      </w:r>
      <w:r w:rsidR="00340A19" w:rsidRPr="001D5B80">
        <w:t>)</w:t>
      </w:r>
      <w:r w:rsidRPr="001D5B80">
        <w:t xml:space="preserve"> </w:t>
      </w:r>
      <w:r w:rsidR="00883BC7" w:rsidRPr="001D5B80">
        <w:rPr>
          <w:i/>
        </w:rPr>
        <w:t>Northern Region Sustainable Water Strategy</w:t>
      </w:r>
    </w:p>
    <w:p w:rsidR="0053631A" w:rsidRPr="001D5B80" w:rsidRDefault="0053631A" w:rsidP="00166F7F">
      <w:pPr>
        <w:pStyle w:val="bt"/>
        <w:rPr>
          <w:i/>
        </w:rPr>
      </w:pPr>
      <w:r w:rsidRPr="001D5B80">
        <w:t xml:space="preserve">Department of Sustainability and Environment </w:t>
      </w:r>
      <w:r w:rsidR="00340A19" w:rsidRPr="001D5B80">
        <w:t>(</w:t>
      </w:r>
      <w:r w:rsidRPr="001D5B80">
        <w:t>2011</w:t>
      </w:r>
      <w:r w:rsidR="00340A19" w:rsidRPr="001D5B80">
        <w:t>)</w:t>
      </w:r>
      <w:r w:rsidRPr="001D5B80">
        <w:t xml:space="preserve"> </w:t>
      </w:r>
      <w:r w:rsidRPr="001D5B80">
        <w:rPr>
          <w:i/>
        </w:rPr>
        <w:t>Western Region Sustainable Water Strategy</w:t>
      </w:r>
    </w:p>
    <w:p w:rsidR="00737E71" w:rsidRPr="00225D10" w:rsidRDefault="00737E71" w:rsidP="00166F7F">
      <w:pPr>
        <w:pStyle w:val="bt"/>
      </w:pPr>
      <w:r w:rsidRPr="00225D10">
        <w:t>Department of Transport (2012) Regional Growth Plan Loddon Mallee South Utilities</w:t>
      </w:r>
    </w:p>
    <w:p w:rsidR="0053631A" w:rsidRPr="00225D10" w:rsidRDefault="00AC49EA" w:rsidP="00166F7F">
      <w:pPr>
        <w:pStyle w:val="bt"/>
      </w:pPr>
      <w:proofErr w:type="spellStart"/>
      <w:r w:rsidRPr="00225D10">
        <w:t>Inbakaran</w:t>
      </w:r>
      <w:proofErr w:type="spellEnd"/>
      <w:r w:rsidRPr="00225D10">
        <w:t>, C</w:t>
      </w:r>
      <w:r w:rsidR="00340A19" w:rsidRPr="00225D10">
        <w:t>.</w:t>
      </w:r>
      <w:r w:rsidRPr="00225D10">
        <w:t xml:space="preserve"> and Harwood, S. Journey to Work Patterns in Regional Victoria Analysis of Census Data 1996 to 2006</w:t>
      </w:r>
    </w:p>
    <w:p w:rsidR="00761F5B" w:rsidRPr="001D5B80" w:rsidRDefault="00761F5B" w:rsidP="00166F7F">
      <w:pPr>
        <w:pStyle w:val="bt"/>
        <w:rPr>
          <w:i/>
        </w:rPr>
      </w:pPr>
      <w:r w:rsidRPr="001D5B80">
        <w:t xml:space="preserve">Loddon Shire Council </w:t>
      </w:r>
      <w:r w:rsidR="00340A19" w:rsidRPr="001D5B80">
        <w:t>(</w:t>
      </w:r>
      <w:r w:rsidRPr="001D5B80">
        <w:t>2012</w:t>
      </w:r>
      <w:r w:rsidR="00340A19" w:rsidRPr="001D5B80">
        <w:t>)</w:t>
      </w:r>
      <w:r w:rsidRPr="001D5B80">
        <w:t xml:space="preserve"> </w:t>
      </w:r>
      <w:r w:rsidRPr="001D5B80">
        <w:rPr>
          <w:i/>
        </w:rPr>
        <w:t>Rural Zones Review</w:t>
      </w:r>
    </w:p>
    <w:p w:rsidR="00DC348E" w:rsidRPr="001D5B80" w:rsidRDefault="00DC348E" w:rsidP="00166F7F">
      <w:pPr>
        <w:pStyle w:val="bt"/>
      </w:pPr>
      <w:r w:rsidRPr="001D5B80">
        <w:t xml:space="preserve">Macedon Ranges Shire </w:t>
      </w:r>
      <w:r w:rsidR="00340A19" w:rsidRPr="001D5B80">
        <w:t>(</w:t>
      </w:r>
      <w:r w:rsidRPr="001D5B80">
        <w:t>2007</w:t>
      </w:r>
      <w:r w:rsidR="00340A19" w:rsidRPr="001D5B80">
        <w:t>)</w:t>
      </w:r>
      <w:r w:rsidRPr="001D5B80">
        <w:t xml:space="preserve"> Macedon Ranges Waste Management Strategy</w:t>
      </w:r>
    </w:p>
    <w:p w:rsidR="00260937" w:rsidRPr="001D5B80" w:rsidRDefault="00260937" w:rsidP="00166F7F">
      <w:pPr>
        <w:pStyle w:val="bt"/>
      </w:pPr>
      <w:r w:rsidRPr="001D5B80">
        <w:t xml:space="preserve">Macedon Ranges </w:t>
      </w:r>
      <w:r w:rsidR="003E6A60" w:rsidRPr="001D5B80">
        <w:t xml:space="preserve">Shire </w:t>
      </w:r>
      <w:r w:rsidR="00340A19" w:rsidRPr="001D5B80">
        <w:t>(</w:t>
      </w:r>
      <w:r w:rsidR="003E6A60" w:rsidRPr="001D5B80">
        <w:t>2009</w:t>
      </w:r>
      <w:r w:rsidR="00340A19" w:rsidRPr="001D5B80">
        <w:t>)</w:t>
      </w:r>
      <w:r w:rsidR="003E6A60" w:rsidRPr="001D5B80">
        <w:t xml:space="preserve"> Romsey Outline Development Plan</w:t>
      </w:r>
    </w:p>
    <w:p w:rsidR="00D71A12" w:rsidRPr="001D5B80" w:rsidRDefault="00734EDF" w:rsidP="00166F7F">
      <w:pPr>
        <w:pStyle w:val="bt"/>
      </w:pPr>
      <w:r w:rsidRPr="001D5B80">
        <w:lastRenderedPageBreak/>
        <w:t xml:space="preserve">Macedon Ranges Shire </w:t>
      </w:r>
      <w:r w:rsidR="00340A19" w:rsidRPr="001D5B80">
        <w:t>(</w:t>
      </w:r>
      <w:r w:rsidRPr="001D5B80">
        <w:t>2011</w:t>
      </w:r>
      <w:r w:rsidR="00340A19" w:rsidRPr="001D5B80">
        <w:t>)</w:t>
      </w:r>
      <w:r w:rsidRPr="001D5B80">
        <w:t xml:space="preserve"> </w:t>
      </w:r>
      <w:r w:rsidR="00D71A12" w:rsidRPr="001D5B80">
        <w:t>Macedon Ranges Settlement Strategy</w:t>
      </w:r>
    </w:p>
    <w:p w:rsidR="00761F5B" w:rsidRPr="001D5B80" w:rsidRDefault="00761F5B" w:rsidP="00166F7F">
      <w:pPr>
        <w:pStyle w:val="bt"/>
        <w:rPr>
          <w:i/>
        </w:rPr>
      </w:pPr>
      <w:r w:rsidRPr="001D5B80">
        <w:t xml:space="preserve">Macedon Ranges Shire </w:t>
      </w:r>
      <w:r w:rsidR="00340A19" w:rsidRPr="001D5B80">
        <w:t>(</w:t>
      </w:r>
      <w:r w:rsidRPr="001D5B80">
        <w:t>2012</w:t>
      </w:r>
      <w:r w:rsidR="00340A19" w:rsidRPr="001D5B80">
        <w:t>)</w:t>
      </w:r>
      <w:r w:rsidRPr="001D5B80">
        <w:t xml:space="preserve"> </w:t>
      </w:r>
      <w:r w:rsidRPr="001D5B80">
        <w:rPr>
          <w:i/>
        </w:rPr>
        <w:t>Equine Strategy</w:t>
      </w:r>
    </w:p>
    <w:p w:rsidR="00260937" w:rsidRPr="001D5B80" w:rsidRDefault="00260937" w:rsidP="00166F7F">
      <w:pPr>
        <w:pStyle w:val="bt"/>
      </w:pPr>
      <w:r w:rsidRPr="001D5B80">
        <w:t xml:space="preserve">Macedon Ranges Shire </w:t>
      </w:r>
      <w:r w:rsidR="00340A19" w:rsidRPr="001D5B80">
        <w:t>(</w:t>
      </w:r>
      <w:r w:rsidRPr="001D5B80">
        <w:t>2012</w:t>
      </w:r>
      <w:r w:rsidR="00340A19" w:rsidRPr="001D5B80">
        <w:t>)</w:t>
      </w:r>
      <w:r w:rsidRPr="001D5B80">
        <w:t xml:space="preserve"> Gisborne/New Gisborne Outline Development Plan</w:t>
      </w:r>
    </w:p>
    <w:p w:rsidR="00260937" w:rsidRPr="001D5B80" w:rsidRDefault="00260937" w:rsidP="00166F7F">
      <w:pPr>
        <w:pStyle w:val="bt"/>
      </w:pPr>
      <w:r w:rsidRPr="001D5B80">
        <w:t xml:space="preserve">Mount Alexander Shire </w:t>
      </w:r>
      <w:r w:rsidR="00166F7F">
        <w:t xml:space="preserve">(2011) </w:t>
      </w:r>
      <w:r w:rsidRPr="001D5B80">
        <w:t xml:space="preserve">Harcourt Town Centre </w:t>
      </w:r>
      <w:proofErr w:type="spellStart"/>
      <w:r w:rsidRPr="001D5B80">
        <w:t>Masterplan</w:t>
      </w:r>
      <w:proofErr w:type="spellEnd"/>
    </w:p>
    <w:p w:rsidR="00C4253C" w:rsidRPr="001D5B80" w:rsidRDefault="00C4253C" w:rsidP="00166F7F">
      <w:pPr>
        <w:pStyle w:val="bt"/>
      </w:pPr>
      <w:r w:rsidRPr="001D5B80">
        <w:t xml:space="preserve">Mount Alexander </w:t>
      </w:r>
      <w:r w:rsidR="00F343A3" w:rsidRPr="001D5B80">
        <w:t>Shire</w:t>
      </w:r>
      <w:r w:rsidR="003E6A60" w:rsidRPr="001D5B80">
        <w:t xml:space="preserve"> </w:t>
      </w:r>
      <w:r w:rsidR="00340A19" w:rsidRPr="001D5B80">
        <w:t>(</w:t>
      </w:r>
      <w:r w:rsidR="003E6A60" w:rsidRPr="001D5B80">
        <w:t>2010</w:t>
      </w:r>
      <w:r w:rsidR="00340A19" w:rsidRPr="001D5B80">
        <w:t>)</w:t>
      </w:r>
      <w:r w:rsidR="00F343A3" w:rsidRPr="001D5B80">
        <w:t xml:space="preserve"> </w:t>
      </w:r>
      <w:r w:rsidRPr="001D5B80">
        <w:t>Residential Land Demand and Supply Analysis</w:t>
      </w:r>
    </w:p>
    <w:p w:rsidR="00F343A3" w:rsidRPr="001D5B80" w:rsidRDefault="00F343A3" w:rsidP="00166F7F">
      <w:pPr>
        <w:pStyle w:val="bt"/>
      </w:pPr>
      <w:r w:rsidRPr="001D5B80">
        <w:t xml:space="preserve">Mount Alexander Shire </w:t>
      </w:r>
      <w:r w:rsidR="00340A19" w:rsidRPr="001D5B80">
        <w:t>(</w:t>
      </w:r>
      <w:r w:rsidRPr="001D5B80">
        <w:t>2010</w:t>
      </w:r>
      <w:r w:rsidR="00340A19" w:rsidRPr="001D5B80">
        <w:t>)</w:t>
      </w:r>
      <w:r w:rsidRPr="001D5B80">
        <w:t xml:space="preserve"> Waste Management Strategy 2010</w:t>
      </w:r>
      <w:r w:rsidR="00340A19" w:rsidRPr="001D5B80">
        <w:t>–</w:t>
      </w:r>
      <w:r w:rsidRPr="001D5B80">
        <w:t>2015</w:t>
      </w:r>
    </w:p>
    <w:p w:rsidR="00883BC7" w:rsidRPr="00225D10" w:rsidRDefault="00883BC7" w:rsidP="00166F7F">
      <w:pPr>
        <w:pStyle w:val="bt"/>
      </w:pPr>
      <w:r w:rsidRPr="00225D10">
        <w:t xml:space="preserve">North Central Catchment Management Authority </w:t>
      </w:r>
      <w:r w:rsidR="00340A19" w:rsidRPr="00225D10">
        <w:t>(</w:t>
      </w:r>
      <w:r w:rsidRPr="00225D10">
        <w:t>201</w:t>
      </w:r>
      <w:r w:rsidR="001631CE">
        <w:t>3</w:t>
      </w:r>
      <w:r w:rsidR="00340A19" w:rsidRPr="00225D10">
        <w:t>)</w:t>
      </w:r>
      <w:r w:rsidRPr="00225D10">
        <w:t xml:space="preserve"> </w:t>
      </w:r>
      <w:r w:rsidRPr="001D5B80">
        <w:rPr>
          <w:i/>
        </w:rPr>
        <w:t>201</w:t>
      </w:r>
      <w:r w:rsidR="001631CE">
        <w:rPr>
          <w:i/>
        </w:rPr>
        <w:t>3</w:t>
      </w:r>
      <w:r w:rsidR="00340A19" w:rsidRPr="001D5B80">
        <w:rPr>
          <w:i/>
        </w:rPr>
        <w:t>–</w:t>
      </w:r>
      <w:r w:rsidRPr="001D5B80">
        <w:rPr>
          <w:i/>
        </w:rPr>
        <w:t>1</w:t>
      </w:r>
      <w:r w:rsidR="001631CE">
        <w:rPr>
          <w:i/>
        </w:rPr>
        <w:t>9</w:t>
      </w:r>
      <w:r w:rsidRPr="001D5B80">
        <w:rPr>
          <w:i/>
        </w:rPr>
        <w:t xml:space="preserve"> North Central CMA Regional Catchment</w:t>
      </w:r>
      <w:r w:rsidRPr="00225D10">
        <w:t xml:space="preserve"> Strategy</w:t>
      </w:r>
    </w:p>
    <w:p w:rsidR="003E6A60" w:rsidRDefault="003E6A60" w:rsidP="00166F7F">
      <w:pPr>
        <w:pStyle w:val="bt"/>
      </w:pPr>
      <w:proofErr w:type="spellStart"/>
      <w:r w:rsidRPr="001D5B80">
        <w:t>Planisphere</w:t>
      </w:r>
      <w:proofErr w:type="spellEnd"/>
      <w:r w:rsidRPr="001D5B80">
        <w:t xml:space="preserve"> </w:t>
      </w:r>
      <w:r w:rsidR="00340A19" w:rsidRPr="001D5B80">
        <w:t>(</w:t>
      </w:r>
      <w:r w:rsidRPr="001D5B80">
        <w:t>2012</w:t>
      </w:r>
      <w:r w:rsidR="0009103B" w:rsidRPr="001D5B80">
        <w:t>) Understanding</w:t>
      </w:r>
      <w:r w:rsidRPr="001D5B80">
        <w:t xml:space="preserve"> Smaller Settlements in Victoria</w:t>
      </w:r>
    </w:p>
    <w:p w:rsidR="001631CE" w:rsidRPr="001D5B80" w:rsidRDefault="001631CE" w:rsidP="00166F7F">
      <w:pPr>
        <w:pStyle w:val="bt"/>
      </w:pPr>
      <w:r>
        <w:t>Port Phillip and Westernport Catchment Ma</w:t>
      </w:r>
      <w:r w:rsidR="00166F7F">
        <w:t xml:space="preserve">nagement Authority (2013) </w:t>
      </w:r>
      <w:r>
        <w:t>Port Phillip and Western Port Regional Catchment Strategy</w:t>
      </w:r>
    </w:p>
    <w:p w:rsidR="00FB56AC" w:rsidRPr="00B63E12" w:rsidRDefault="00D96273" w:rsidP="00166F7F">
      <w:pPr>
        <w:pStyle w:val="bt"/>
      </w:pPr>
      <w:r w:rsidRPr="001D5B80">
        <w:t>Regional Development Victoria</w:t>
      </w:r>
      <w:r w:rsidR="00340A19" w:rsidRPr="001D5B80">
        <w:t xml:space="preserve"> (</w:t>
      </w:r>
      <w:r w:rsidRPr="001D5B80">
        <w:t>2010</w:t>
      </w:r>
      <w:r w:rsidR="00340A19" w:rsidRPr="001D5B80">
        <w:t>)</w:t>
      </w:r>
      <w:r w:rsidRPr="001D5B80">
        <w:t xml:space="preserve"> Loddon Mallee Regional Strategic Plan</w:t>
      </w:r>
    </w:p>
    <w:p w:rsidR="00CD149E" w:rsidRPr="001D5B80" w:rsidRDefault="00CD149E" w:rsidP="00166F7F">
      <w:pPr>
        <w:pStyle w:val="bt"/>
      </w:pPr>
      <w:r w:rsidRPr="001D5B80">
        <w:t xml:space="preserve">Regional Development Victoria </w:t>
      </w:r>
      <w:r w:rsidR="00340A19" w:rsidRPr="001D5B80">
        <w:t>(</w:t>
      </w:r>
      <w:r w:rsidRPr="001D5B80">
        <w:t>2012</w:t>
      </w:r>
      <w:r w:rsidR="00340A19" w:rsidRPr="001D5B80">
        <w:t>)</w:t>
      </w:r>
      <w:r w:rsidRPr="001D5B80">
        <w:t xml:space="preserve"> Southern Region – Regional Strategic Plan Annual Report 2011/12</w:t>
      </w:r>
    </w:p>
    <w:p w:rsidR="00D96273" w:rsidRPr="00225D10" w:rsidRDefault="00D96273" w:rsidP="00166F7F">
      <w:pPr>
        <w:pStyle w:val="bt"/>
      </w:pPr>
      <w:r w:rsidRPr="00225D10">
        <w:t xml:space="preserve">SGS Economics &amp; Planning </w:t>
      </w:r>
      <w:r w:rsidR="00340A19" w:rsidRPr="00225D10">
        <w:t>(</w:t>
      </w:r>
      <w:r w:rsidRPr="00225D10">
        <w:t>2012</w:t>
      </w:r>
      <w:r w:rsidR="00340A19" w:rsidRPr="00225D10">
        <w:t>)</w:t>
      </w:r>
      <w:r w:rsidRPr="00225D10">
        <w:t xml:space="preserve"> </w:t>
      </w:r>
      <w:r w:rsidR="00E04562" w:rsidRPr="00225D10">
        <w:t xml:space="preserve">(for Mt Alexander Shire) </w:t>
      </w:r>
      <w:r w:rsidRPr="001D5B80">
        <w:rPr>
          <w:i/>
        </w:rPr>
        <w:t>Castlemaine Commercial Centre Study</w:t>
      </w:r>
      <w:r w:rsidRPr="00225D10">
        <w:t xml:space="preserve"> </w:t>
      </w:r>
    </w:p>
    <w:p w:rsidR="00BA4705" w:rsidRPr="00225D10" w:rsidRDefault="00BA4705" w:rsidP="00166F7F">
      <w:pPr>
        <w:pStyle w:val="bt"/>
      </w:pPr>
      <w:r w:rsidRPr="00225D10">
        <w:t xml:space="preserve">Street Ryan </w:t>
      </w:r>
      <w:r w:rsidR="00340A19" w:rsidRPr="00225D10">
        <w:t>&amp; Associates (</w:t>
      </w:r>
      <w:r w:rsidRPr="00225D10">
        <w:t>2012</w:t>
      </w:r>
      <w:r w:rsidR="00340A19" w:rsidRPr="00225D10">
        <w:t>)</w:t>
      </w:r>
      <w:r w:rsidRPr="00225D10">
        <w:t xml:space="preserve"> Loddon Mallee South Region Economic Profile and Outlook </w:t>
      </w:r>
    </w:p>
    <w:p w:rsidR="00D96273" w:rsidRDefault="0053631A" w:rsidP="00166F7F">
      <w:pPr>
        <w:pStyle w:val="bt"/>
      </w:pPr>
      <w:r w:rsidRPr="00225D10">
        <w:t>2009 Victorian Bushfires Royal Commission</w:t>
      </w:r>
    </w:p>
    <w:p w:rsidR="001631CE" w:rsidRDefault="001631CE" w:rsidP="00166F7F">
      <w:pPr>
        <w:pStyle w:val="bt"/>
      </w:pPr>
      <w:r>
        <w:t xml:space="preserve">Victorian Government (2013) </w:t>
      </w:r>
      <w:r w:rsidRPr="008D0EA4">
        <w:t>Getting Full Value: the Victorian Waste and Resource Recovery Policy</w:t>
      </w:r>
    </w:p>
    <w:p w:rsidR="001631CE" w:rsidRDefault="001631CE" w:rsidP="00166F7F">
      <w:pPr>
        <w:pStyle w:val="bt"/>
      </w:pPr>
      <w:r>
        <w:t>Victorian Government (2013) Victorian Climate Change Adaptation Plan</w:t>
      </w:r>
    </w:p>
    <w:p w:rsidR="001631CE" w:rsidRDefault="001631CE" w:rsidP="00166F7F">
      <w:pPr>
        <w:pStyle w:val="bt"/>
      </w:pPr>
      <w:r w:rsidRPr="001631CE">
        <w:t>Victorian Government (2013) Economic Development and Infrastructure Committee, Inquiry into greenfields mineral exploration and project development in Victoria, Government respons</w:t>
      </w:r>
      <w:r>
        <w:t>e</w:t>
      </w:r>
    </w:p>
    <w:p w:rsidR="00C75703" w:rsidRDefault="00C75703" w:rsidP="00D34F87">
      <w:pPr>
        <w:tabs>
          <w:tab w:val="left" w:pos="8931"/>
        </w:tabs>
        <w:spacing w:before="0"/>
        <w:rPr>
          <w:rFonts w:ascii="Arial" w:eastAsia="MS Gothi" w:hAnsi="Arial" w:cs="Arial"/>
          <w:b/>
          <w:color w:val="444748"/>
          <w:sz w:val="40"/>
          <w:szCs w:val="40"/>
          <w:lang w:val="en-US" w:eastAsia="en-US"/>
        </w:rPr>
      </w:pPr>
      <w:r>
        <w:br w:type="page"/>
      </w:r>
    </w:p>
    <w:p w:rsidR="00793E7E" w:rsidRDefault="00793E7E" w:rsidP="00D34F87">
      <w:pPr>
        <w:pStyle w:val="Heading1"/>
        <w:tabs>
          <w:tab w:val="left" w:pos="8931"/>
        </w:tabs>
      </w:pPr>
      <w:bookmarkStart w:id="249" w:name="_Toc374530905"/>
      <w:r w:rsidRPr="00663F7F">
        <w:lastRenderedPageBreak/>
        <w:t>Appendices</w:t>
      </w:r>
      <w:bookmarkEnd w:id="249"/>
    </w:p>
    <w:p w:rsidR="00793E7E" w:rsidRDefault="00793E7E" w:rsidP="00D34F87">
      <w:pPr>
        <w:pStyle w:val="Heading2"/>
        <w:tabs>
          <w:tab w:val="left" w:pos="8931"/>
        </w:tabs>
        <w:rPr>
          <w:rFonts w:cs="Arial"/>
        </w:rPr>
      </w:pPr>
      <w:bookmarkStart w:id="250" w:name="_Toc374530906"/>
      <w:r w:rsidRPr="00663F7F">
        <w:rPr>
          <w:rFonts w:cs="Arial"/>
        </w:rPr>
        <w:t>Appendix 1: Loddon Mallee South region, estimated industrial land supply (hectares)</w:t>
      </w:r>
      <w:bookmarkEnd w:id="250"/>
    </w:p>
    <w:p w:rsidR="009B4C1F" w:rsidRPr="009B4C1F" w:rsidRDefault="009B4C1F" w:rsidP="009B4C1F">
      <w:pPr>
        <w:pStyle w:val="bt"/>
        <w:rPr>
          <w:lang w:val="en-US" w:eastAsia="en-US"/>
        </w:rPr>
      </w:pPr>
      <w:r>
        <w:rPr>
          <w:noProof/>
        </w:rPr>
        <w:drawing>
          <wp:anchor distT="0" distB="0" distL="114300" distR="114300" simplePos="0" relativeHeight="251691008" behindDoc="0" locked="0" layoutInCell="1" allowOverlap="0">
            <wp:simplePos x="0" y="0"/>
            <wp:positionH relativeFrom="page">
              <wp:posOffset>588393</wp:posOffset>
            </wp:positionH>
            <wp:positionV relativeFrom="paragraph">
              <wp:posOffset>449544</wp:posOffset>
            </wp:positionV>
            <wp:extent cx="6191969" cy="5995359"/>
            <wp:effectExtent l="19050" t="0" r="0" b="0"/>
            <wp:wrapTopAndBottom/>
            <wp:docPr id="82" name="Picture 52" descr="Table showing estimated industrial land stocks (ha) including total zoned, future (unzoned), and total zoned and unzoned land supply for Gr. Bendigo (C), Gr. Bendigo (C) total, Mt Alexander (S), Mt Alexander (S) total, Central Goldfields (S), and Central Goldfields (S) total. Also shows LMS Region total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ces101.jpg"/>
                    <pic:cNvPicPr/>
                  </pic:nvPicPr>
                  <pic:blipFill>
                    <a:blip r:embed="rId54" cstate="email"/>
                    <a:stretch>
                      <a:fillRect/>
                    </a:stretch>
                  </pic:blipFill>
                  <pic:spPr>
                    <a:xfrm>
                      <a:off x="0" y="0"/>
                      <a:ext cx="6191969" cy="5995359"/>
                    </a:xfrm>
                    <a:prstGeom prst="rect">
                      <a:avLst/>
                    </a:prstGeom>
                  </pic:spPr>
                </pic:pic>
              </a:graphicData>
            </a:graphic>
          </wp:anchor>
        </w:drawing>
      </w:r>
      <w:r w:rsidRPr="00225D10">
        <w:t>Estimated industrial land stocks (ha)</w:t>
      </w:r>
    </w:p>
    <w:p w:rsidR="00793E7E" w:rsidRPr="001E6C39" w:rsidRDefault="00793E7E" w:rsidP="00C46102">
      <w:pPr>
        <w:pStyle w:val="Source"/>
      </w:pPr>
      <w:r w:rsidRPr="001E6C39">
        <w:t xml:space="preserve">Source: </w:t>
      </w:r>
      <w:r w:rsidRPr="001E6C39">
        <w:tab/>
        <w:t>Greater Bendigo Urban Development Program Regional Industrial Report 2009</w:t>
      </w:r>
    </w:p>
    <w:p w:rsidR="00793E7E" w:rsidRPr="001E6C39" w:rsidRDefault="00793E7E" w:rsidP="002C24E3">
      <w:pPr>
        <w:pStyle w:val="Source"/>
      </w:pPr>
      <w:r w:rsidRPr="001E6C39">
        <w:t>Macedon Ranges Urban Development Program Regional Industrial Report 2011 UNPUBLISHED</w:t>
      </w:r>
    </w:p>
    <w:p w:rsidR="00793E7E" w:rsidRPr="001E6C39" w:rsidRDefault="00793E7E" w:rsidP="002C24E3">
      <w:pPr>
        <w:pStyle w:val="Source"/>
      </w:pPr>
      <w:r w:rsidRPr="001E6C39">
        <w:t>Mt Alexander Urban Development Program Regional Industrial Report 2011 UNPUBLISHED</w:t>
      </w:r>
    </w:p>
    <w:p w:rsidR="00793E7E" w:rsidRPr="001E6C39" w:rsidRDefault="00793E7E" w:rsidP="002C24E3">
      <w:pPr>
        <w:pStyle w:val="Source"/>
      </w:pPr>
      <w:r w:rsidRPr="001E6C39">
        <w:t>Loddon Urban Development Program Draft Data 2012 UNPUBLISHED</w:t>
      </w:r>
    </w:p>
    <w:p w:rsidR="001E6C39" w:rsidRDefault="00793E7E" w:rsidP="002C24E3">
      <w:pPr>
        <w:pStyle w:val="Source"/>
        <w:rPr>
          <w:rFonts w:cs="Arial"/>
        </w:rPr>
      </w:pPr>
      <w:r w:rsidRPr="001E6C39">
        <w:t>Central Goldfields Urban Development Program Draft Data 2012 UNPUBLISHED</w:t>
      </w:r>
      <w:bookmarkStart w:id="251" w:name="_Toc352154241"/>
      <w:bookmarkStart w:id="252" w:name="_Toc352154242"/>
      <w:bookmarkEnd w:id="251"/>
      <w:bookmarkEnd w:id="252"/>
    </w:p>
    <w:p w:rsidR="000B438B" w:rsidRDefault="000B438B" w:rsidP="002C24E3">
      <w:pPr>
        <w:pStyle w:val="Source"/>
        <w:rPr>
          <w:rFonts w:cs="Arial"/>
        </w:rPr>
        <w:sectPr w:rsidR="000B438B" w:rsidSect="002C1145">
          <w:pgSz w:w="11907" w:h="16839" w:code="9"/>
          <w:pgMar w:top="425" w:right="851" w:bottom="993" w:left="1077" w:header="709" w:footer="709" w:gutter="0"/>
          <w:cols w:space="720"/>
          <w:docGrid w:linePitch="360"/>
        </w:sectPr>
      </w:pPr>
    </w:p>
    <w:p w:rsidR="00C46102" w:rsidRPr="005D4215" w:rsidRDefault="00F37D3B" w:rsidP="005D4215">
      <w:pPr>
        <w:pStyle w:val="Heading2"/>
        <w:tabs>
          <w:tab w:val="left" w:pos="8931"/>
        </w:tabs>
        <w:rPr>
          <w:rFonts w:cs="Arial"/>
        </w:rPr>
      </w:pPr>
      <w:bookmarkStart w:id="253" w:name="_Toc374530907"/>
      <w:r w:rsidRPr="00663F7F">
        <w:rPr>
          <w:rFonts w:cs="Arial"/>
        </w:rPr>
        <w:lastRenderedPageBreak/>
        <w:t xml:space="preserve">Appendix </w:t>
      </w:r>
      <w:r w:rsidR="001C48FE" w:rsidRPr="00663F7F">
        <w:rPr>
          <w:rFonts w:cs="Arial"/>
        </w:rPr>
        <w:t>2</w:t>
      </w:r>
      <w:r w:rsidR="00164318" w:rsidRPr="00663F7F">
        <w:rPr>
          <w:rFonts w:cs="Arial"/>
        </w:rPr>
        <w:t>: Settlement growth analysis</w:t>
      </w:r>
      <w:bookmarkEnd w:id="253"/>
    </w:p>
    <w:p w:rsidR="005D4215" w:rsidRDefault="005D4215" w:rsidP="005D4215">
      <w:pPr>
        <w:pStyle w:val="bt"/>
        <w:spacing w:before="60" w:after="0"/>
        <w:rPr>
          <w:b/>
          <w:szCs w:val="20"/>
        </w:rPr>
      </w:pP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Bendigo</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Greater Bendigo</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Regional City</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82,794</w:t>
      </w:r>
      <w:r w:rsidRPr="00367AD3">
        <w:rPr>
          <w:szCs w:val="20"/>
        </w:rPr>
        <w:t xml:space="preserve">: </w:t>
      </w:r>
      <w:r w:rsidRPr="00367AD3">
        <w:rPr>
          <w:rFonts w:cs="Calibri"/>
          <w:szCs w:val="20"/>
        </w:rPr>
        <w:t>Bendigo urban locality</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125,027</w:t>
      </w:r>
      <w:r w:rsidRPr="00367AD3">
        <w:rPr>
          <w:szCs w:val="20"/>
        </w:rPr>
        <w:t xml:space="preserve">: </w:t>
      </w:r>
      <w:r w:rsidRPr="00367AD3">
        <w:rPr>
          <w:rFonts w:cs="Calibri"/>
          <w:szCs w:val="20"/>
        </w:rPr>
        <w:t>Greater Bendigo LGA</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37,038</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118,971</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200,000</w:t>
      </w:r>
      <w:r w:rsidRPr="00367AD3">
        <w:rPr>
          <w:szCs w:val="20"/>
        </w:rPr>
        <w:t xml:space="preserve">: </w:t>
      </w:r>
      <w:r w:rsidRPr="00367AD3">
        <w:rPr>
          <w:rFonts w:cs="Calibri"/>
          <w:szCs w:val="20"/>
        </w:rPr>
        <w:t>Predicted 2041 population if accelerated growth occurs in the regional city</w:t>
      </w:r>
    </w:p>
    <w:p w:rsidR="005D4215" w:rsidRPr="00367AD3" w:rsidRDefault="005D4215" w:rsidP="005D4215">
      <w:pPr>
        <w:pStyle w:val="bt"/>
        <w:numPr>
          <w:ilvl w:val="0"/>
          <w:numId w:val="51"/>
        </w:numPr>
        <w:spacing w:before="60" w:after="0"/>
        <w:ind w:hanging="357"/>
        <w:rPr>
          <w:szCs w:val="20"/>
        </w:rPr>
      </w:pPr>
      <w:r w:rsidRPr="00367AD3">
        <w:rPr>
          <w:szCs w:val="20"/>
        </w:rPr>
        <w:t xml:space="preserve">Source of planned growth figure – </w:t>
      </w:r>
      <w:r w:rsidRPr="00367AD3">
        <w:rPr>
          <w:rFonts w:cs="Calibri"/>
          <w:szCs w:val="20"/>
        </w:rPr>
        <w:t>Loddon Mallee South Regional Growth Plan Technical Working Group Workshop 29/2/12</w:t>
      </w:r>
    </w:p>
    <w:p w:rsidR="005D4215" w:rsidRPr="00367AD3" w:rsidRDefault="005D4215" w:rsidP="005D4215">
      <w:pPr>
        <w:pStyle w:val="bt"/>
        <w:numPr>
          <w:ilvl w:val="0"/>
          <w:numId w:val="51"/>
        </w:numPr>
        <w:spacing w:before="60" w:after="0"/>
        <w:ind w:hanging="357"/>
        <w:rPr>
          <w:szCs w:val="20"/>
        </w:rPr>
      </w:pPr>
      <w:r w:rsidRPr="00367AD3">
        <w:rPr>
          <w:szCs w:val="20"/>
        </w:rPr>
        <w:t xml:space="preserve">Comments – </w:t>
      </w:r>
    </w:p>
    <w:p w:rsidR="005D4215" w:rsidRPr="00367AD3" w:rsidRDefault="005D4215" w:rsidP="005D4215">
      <w:pPr>
        <w:pStyle w:val="ListParagraph"/>
        <w:numPr>
          <w:ilvl w:val="0"/>
          <w:numId w:val="52"/>
        </w:numPr>
        <w:tabs>
          <w:tab w:val="left" w:pos="8931"/>
        </w:tabs>
        <w:spacing w:before="60" w:after="0"/>
        <w:ind w:left="1134" w:hanging="357"/>
        <w:rPr>
          <w:rFonts w:cs="Calibri"/>
          <w:szCs w:val="20"/>
        </w:rPr>
      </w:pPr>
      <w:r w:rsidRPr="00367AD3">
        <w:rPr>
          <w:rFonts w:cs="Calibri"/>
          <w:szCs w:val="20"/>
        </w:rPr>
        <w:t>Major growth centre for region.</w:t>
      </w:r>
    </w:p>
    <w:p w:rsidR="005D4215" w:rsidRPr="00367AD3" w:rsidRDefault="005D4215" w:rsidP="005D4215">
      <w:pPr>
        <w:pStyle w:val="ListParagraph"/>
        <w:numPr>
          <w:ilvl w:val="0"/>
          <w:numId w:val="52"/>
        </w:numPr>
        <w:tabs>
          <w:tab w:val="left" w:pos="8931"/>
        </w:tabs>
        <w:spacing w:before="60" w:after="0"/>
        <w:ind w:left="1134" w:hanging="357"/>
        <w:rPr>
          <w:rFonts w:cs="Calibri"/>
          <w:szCs w:val="20"/>
        </w:rPr>
      </w:pPr>
      <w:r w:rsidRPr="00367AD3">
        <w:rPr>
          <w:rFonts w:cs="Calibri"/>
          <w:szCs w:val="20"/>
        </w:rPr>
        <w:t xml:space="preserve">Relative to other similar regional cities, Bendigo has experienced relatively high rates of infill development, low </w:t>
      </w:r>
      <w:proofErr w:type="spellStart"/>
      <w:r w:rsidRPr="00367AD3">
        <w:rPr>
          <w:rFonts w:cs="Calibri"/>
          <w:szCs w:val="20"/>
        </w:rPr>
        <w:t>broadacre</w:t>
      </w:r>
      <w:proofErr w:type="spellEnd"/>
      <w:r w:rsidRPr="00367AD3">
        <w:rPr>
          <w:rFonts w:cs="Calibri"/>
          <w:szCs w:val="20"/>
        </w:rPr>
        <w:t>/greenfield development and high low density development on its periphery.</w:t>
      </w:r>
    </w:p>
    <w:p w:rsidR="005D4215" w:rsidRPr="00367AD3" w:rsidRDefault="005D4215" w:rsidP="005D4215">
      <w:pPr>
        <w:pStyle w:val="ListParagraph"/>
        <w:numPr>
          <w:ilvl w:val="0"/>
          <w:numId w:val="52"/>
        </w:numPr>
        <w:tabs>
          <w:tab w:val="left" w:pos="8931"/>
        </w:tabs>
        <w:spacing w:before="60" w:after="0"/>
        <w:ind w:left="1134" w:hanging="357"/>
        <w:rPr>
          <w:rFonts w:cs="Calibri"/>
          <w:szCs w:val="20"/>
        </w:rPr>
      </w:pPr>
      <w:r w:rsidRPr="00367AD3">
        <w:rPr>
          <w:rFonts w:cs="Calibri"/>
          <w:szCs w:val="20"/>
        </w:rPr>
        <w:t>New types of infill development will need to be identified as current infill supply taken up.</w:t>
      </w:r>
    </w:p>
    <w:p w:rsidR="005D4215" w:rsidRPr="00367AD3" w:rsidRDefault="005D4215" w:rsidP="005D4215">
      <w:pPr>
        <w:pStyle w:val="ListParagraph"/>
        <w:numPr>
          <w:ilvl w:val="0"/>
          <w:numId w:val="52"/>
        </w:numPr>
        <w:tabs>
          <w:tab w:val="left" w:pos="8931"/>
        </w:tabs>
        <w:spacing w:before="60" w:after="0"/>
        <w:ind w:left="1134" w:hanging="357"/>
        <w:rPr>
          <w:rFonts w:cs="Calibri"/>
          <w:szCs w:val="20"/>
        </w:rPr>
      </w:pPr>
      <w:r w:rsidRPr="00367AD3">
        <w:rPr>
          <w:rFonts w:cs="Calibri"/>
          <w:szCs w:val="20"/>
        </w:rPr>
        <w:t xml:space="preserve">Surrounding forest constrains </w:t>
      </w:r>
      <w:proofErr w:type="gramStart"/>
      <w:r w:rsidRPr="00367AD3">
        <w:rPr>
          <w:rFonts w:cs="Calibri"/>
          <w:szCs w:val="20"/>
        </w:rPr>
        <w:t>greenfield</w:t>
      </w:r>
      <w:proofErr w:type="gramEnd"/>
      <w:r w:rsidRPr="00367AD3">
        <w:rPr>
          <w:rFonts w:cs="Calibri"/>
          <w:szCs w:val="20"/>
        </w:rPr>
        <w:t xml:space="preserve"> development.</w:t>
      </w:r>
    </w:p>
    <w:p w:rsidR="005D4215" w:rsidRPr="00367AD3" w:rsidRDefault="005D4215" w:rsidP="005D4215">
      <w:pPr>
        <w:pStyle w:val="ListParagraph"/>
        <w:numPr>
          <w:ilvl w:val="0"/>
          <w:numId w:val="52"/>
        </w:numPr>
        <w:tabs>
          <w:tab w:val="left" w:pos="8931"/>
        </w:tabs>
        <w:spacing w:before="60" w:after="0"/>
        <w:ind w:left="1134" w:hanging="357"/>
        <w:rPr>
          <w:rFonts w:cs="Calibri"/>
          <w:szCs w:val="20"/>
        </w:rPr>
      </w:pPr>
      <w:r w:rsidRPr="00367AD3">
        <w:rPr>
          <w:rFonts w:cs="Calibri"/>
          <w:szCs w:val="20"/>
        </w:rPr>
        <w:t xml:space="preserve">Beyond forest ring is a supply of low-density land in non-urban areas. New </w:t>
      </w:r>
      <w:proofErr w:type="gramStart"/>
      <w:r w:rsidRPr="00367AD3">
        <w:rPr>
          <w:rFonts w:cs="Calibri"/>
          <w:szCs w:val="20"/>
        </w:rPr>
        <w:t>greenfield</w:t>
      </w:r>
      <w:proofErr w:type="gramEnd"/>
      <w:r w:rsidRPr="00367AD3">
        <w:rPr>
          <w:rFonts w:cs="Calibri"/>
          <w:szCs w:val="20"/>
        </w:rPr>
        <w:t xml:space="preserve"> development has jumped the forest boundary to areas such as </w:t>
      </w:r>
      <w:proofErr w:type="spellStart"/>
      <w:r w:rsidRPr="00367AD3">
        <w:rPr>
          <w:rFonts w:cs="Calibri"/>
          <w:szCs w:val="20"/>
        </w:rPr>
        <w:t>Strathfieldsaye</w:t>
      </w:r>
      <w:proofErr w:type="spellEnd"/>
      <w:r w:rsidRPr="00367AD3">
        <w:rPr>
          <w:rFonts w:cs="Calibri"/>
          <w:szCs w:val="20"/>
        </w:rPr>
        <w:t xml:space="preserve"> and </w:t>
      </w:r>
      <w:proofErr w:type="spellStart"/>
      <w:r w:rsidRPr="00367AD3">
        <w:rPr>
          <w:rFonts w:cs="Calibri"/>
          <w:szCs w:val="20"/>
        </w:rPr>
        <w:t>Marong</w:t>
      </w:r>
      <w:proofErr w:type="spellEnd"/>
      <w:r w:rsidRPr="00367AD3">
        <w:rPr>
          <w:rFonts w:cs="Calibri"/>
          <w:szCs w:val="20"/>
        </w:rPr>
        <w:t>.</w:t>
      </w:r>
    </w:p>
    <w:p w:rsidR="005D4215" w:rsidRPr="00367AD3" w:rsidRDefault="005D4215" w:rsidP="005D4215">
      <w:pPr>
        <w:pStyle w:val="ListParagraph"/>
        <w:numPr>
          <w:ilvl w:val="0"/>
          <w:numId w:val="52"/>
        </w:numPr>
        <w:tabs>
          <w:tab w:val="left" w:pos="8931"/>
        </w:tabs>
        <w:spacing w:before="0" w:after="0"/>
        <w:ind w:left="1134" w:hanging="357"/>
        <w:rPr>
          <w:rFonts w:cs="Calibri"/>
          <w:szCs w:val="20"/>
        </w:rPr>
      </w:pPr>
      <w:r w:rsidRPr="00367AD3">
        <w:rPr>
          <w:rFonts w:cs="Calibri"/>
          <w:szCs w:val="20"/>
        </w:rPr>
        <w:t>City of Greater Bendigo reviewing its Residential Development Strategy which will be an important input.</w:t>
      </w:r>
    </w:p>
    <w:p w:rsidR="005D4215" w:rsidRPr="00367AD3" w:rsidRDefault="005D4215" w:rsidP="005D4215">
      <w:pPr>
        <w:pStyle w:val="bt"/>
        <w:numPr>
          <w:ilvl w:val="0"/>
          <w:numId w:val="52"/>
        </w:numPr>
        <w:spacing w:before="0" w:after="0"/>
        <w:ind w:left="1134" w:hanging="357"/>
        <w:rPr>
          <w:szCs w:val="20"/>
        </w:rPr>
      </w:pPr>
      <w:r w:rsidRPr="00367AD3">
        <w:rPr>
          <w:rFonts w:cs="Calibri"/>
          <w:szCs w:val="20"/>
        </w:rPr>
        <w:t>The predicted 2041 population needs strategic justification.</w:t>
      </w:r>
    </w:p>
    <w:p w:rsidR="005D4215" w:rsidRPr="00367AD3" w:rsidRDefault="005D4215" w:rsidP="005D4215">
      <w:pPr>
        <w:pStyle w:val="bt"/>
        <w:numPr>
          <w:ilvl w:val="0"/>
          <w:numId w:val="51"/>
        </w:numPr>
        <w:spacing w:before="60" w:after="0"/>
        <w:ind w:hanging="357"/>
        <w:rPr>
          <w:szCs w:val="20"/>
        </w:rPr>
      </w:pPr>
      <w:r w:rsidRPr="00367AD3">
        <w:rPr>
          <w:szCs w:val="20"/>
        </w:rPr>
        <w:t xml:space="preserve">Growth Type Recommendation (5) as per Future Settlement Growth Directions Map 9 Regional Growth Plan – </w:t>
      </w:r>
      <w:r w:rsidR="00C31A92">
        <w:rPr>
          <w:rFonts w:cs="Calibri"/>
          <w:szCs w:val="20"/>
        </w:rPr>
        <w:t>Significant growth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Marong</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Greater Bendigo</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351</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1294</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1659</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Planned future population (4) – </w:t>
      </w:r>
      <w:r w:rsidRPr="00367AD3">
        <w:rPr>
          <w:rFonts w:cs="Calibri"/>
          <w:szCs w:val="20"/>
        </w:rPr>
        <w:t>8000 in 3500 homes by 2030</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Marong Plan</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53"/>
        </w:numPr>
        <w:tabs>
          <w:tab w:val="left" w:pos="8931"/>
        </w:tabs>
        <w:spacing w:before="20" w:after="20"/>
        <w:ind w:left="1134"/>
        <w:rPr>
          <w:rFonts w:cs="Calibri"/>
          <w:szCs w:val="20"/>
        </w:rPr>
      </w:pPr>
      <w:r w:rsidRPr="00367AD3">
        <w:rPr>
          <w:rFonts w:cs="Calibri"/>
          <w:szCs w:val="20"/>
        </w:rPr>
        <w:t>Identified as a growth area in the Bendigo Residential Development Strategy 2004.</w:t>
      </w:r>
    </w:p>
    <w:p w:rsidR="005D4215" w:rsidRPr="00367AD3" w:rsidRDefault="005D4215" w:rsidP="005D4215">
      <w:pPr>
        <w:pStyle w:val="ListParagraph"/>
        <w:numPr>
          <w:ilvl w:val="0"/>
          <w:numId w:val="53"/>
        </w:numPr>
        <w:tabs>
          <w:tab w:val="left" w:pos="8931"/>
        </w:tabs>
        <w:spacing w:before="20" w:after="20"/>
        <w:ind w:left="1134"/>
        <w:rPr>
          <w:rFonts w:cs="Calibri"/>
          <w:szCs w:val="20"/>
        </w:rPr>
      </w:pPr>
      <w:r w:rsidRPr="00367AD3">
        <w:rPr>
          <w:rFonts w:cs="Calibri"/>
          <w:szCs w:val="20"/>
        </w:rPr>
        <w:t>15km from Central Bendigo.</w:t>
      </w:r>
    </w:p>
    <w:p w:rsidR="005D4215" w:rsidRPr="00367AD3" w:rsidRDefault="005D4215" w:rsidP="005D4215">
      <w:pPr>
        <w:pStyle w:val="ListParagraph"/>
        <w:numPr>
          <w:ilvl w:val="0"/>
          <w:numId w:val="53"/>
        </w:numPr>
        <w:tabs>
          <w:tab w:val="left" w:pos="8931"/>
        </w:tabs>
        <w:spacing w:before="20" w:after="20"/>
        <w:ind w:left="1134"/>
        <w:rPr>
          <w:rFonts w:cs="Calibri"/>
          <w:szCs w:val="20"/>
        </w:rPr>
      </w:pPr>
      <w:r w:rsidRPr="00367AD3">
        <w:rPr>
          <w:rFonts w:cs="Calibri"/>
          <w:szCs w:val="20"/>
        </w:rPr>
        <w:t>Major industrial area identified for western side of Marong. Will provide local employment opportunities.</w:t>
      </w:r>
    </w:p>
    <w:p w:rsidR="005D4215" w:rsidRPr="00367AD3" w:rsidRDefault="005D4215" w:rsidP="005D4215">
      <w:pPr>
        <w:pStyle w:val="ListParagraph"/>
        <w:numPr>
          <w:ilvl w:val="0"/>
          <w:numId w:val="53"/>
        </w:numPr>
        <w:tabs>
          <w:tab w:val="left" w:pos="8931"/>
        </w:tabs>
        <w:spacing w:before="20" w:after="20"/>
        <w:ind w:left="1134"/>
        <w:rPr>
          <w:rFonts w:cs="Calibri"/>
          <w:szCs w:val="20"/>
        </w:rPr>
      </w:pPr>
      <w:r w:rsidRPr="00367AD3">
        <w:rPr>
          <w:rFonts w:cs="Calibri"/>
          <w:szCs w:val="20"/>
        </w:rPr>
        <w:t>On rail freight line.</w:t>
      </w:r>
    </w:p>
    <w:p w:rsidR="005D4215" w:rsidRPr="00367AD3" w:rsidRDefault="005D4215" w:rsidP="005D4215">
      <w:pPr>
        <w:pStyle w:val="ListParagraph"/>
        <w:numPr>
          <w:ilvl w:val="0"/>
          <w:numId w:val="53"/>
        </w:numPr>
        <w:tabs>
          <w:tab w:val="left" w:pos="8931"/>
        </w:tabs>
        <w:spacing w:before="20" w:after="20"/>
        <w:ind w:left="1134"/>
        <w:rPr>
          <w:rFonts w:cs="Calibri"/>
          <w:szCs w:val="20"/>
        </w:rPr>
      </w:pPr>
      <w:r w:rsidRPr="00367AD3">
        <w:rPr>
          <w:rFonts w:cs="Calibri"/>
          <w:szCs w:val="20"/>
        </w:rPr>
        <w:t>Potential intermodal terminal.</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00C31A92">
        <w:rPr>
          <w:rFonts w:cs="Calibri"/>
          <w:szCs w:val="20"/>
        </w:rPr>
        <w:t>Encourage sustainable growth in Bendigo’s hinterland towns</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Heathcote</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Greater Bendigo</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1688</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2730</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 xml:space="preserve">4385 </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54"/>
        </w:numPr>
        <w:tabs>
          <w:tab w:val="left" w:pos="8931"/>
        </w:tabs>
        <w:spacing w:before="20" w:after="20"/>
        <w:ind w:left="1134"/>
        <w:rPr>
          <w:rFonts w:cs="Calibri"/>
          <w:szCs w:val="20"/>
        </w:rPr>
      </w:pPr>
      <w:r w:rsidRPr="00367AD3">
        <w:rPr>
          <w:rFonts w:cs="Calibri"/>
          <w:szCs w:val="20"/>
        </w:rPr>
        <w:t>45km from Central Bendigo.</w:t>
      </w:r>
    </w:p>
    <w:p w:rsidR="005D4215" w:rsidRPr="00367AD3" w:rsidRDefault="005D4215" w:rsidP="005D4215">
      <w:pPr>
        <w:pStyle w:val="ListParagraph"/>
        <w:numPr>
          <w:ilvl w:val="0"/>
          <w:numId w:val="54"/>
        </w:numPr>
        <w:tabs>
          <w:tab w:val="left" w:pos="8931"/>
        </w:tabs>
        <w:spacing w:before="20" w:after="20"/>
        <w:ind w:left="1134"/>
        <w:rPr>
          <w:rFonts w:cs="Calibri"/>
          <w:szCs w:val="20"/>
        </w:rPr>
      </w:pPr>
      <w:r w:rsidRPr="00367AD3">
        <w:rPr>
          <w:rFonts w:cs="Calibri"/>
          <w:szCs w:val="20"/>
        </w:rPr>
        <w:t>Loddon Mallee South Regional Growth Plan Regional Technical Working Group meeting recommended growth of Heathcote.</w:t>
      </w:r>
    </w:p>
    <w:p w:rsidR="005D4215" w:rsidRPr="00367AD3" w:rsidRDefault="005D4215" w:rsidP="005D4215">
      <w:pPr>
        <w:pStyle w:val="ListParagraph"/>
        <w:numPr>
          <w:ilvl w:val="0"/>
          <w:numId w:val="54"/>
        </w:numPr>
        <w:tabs>
          <w:tab w:val="left" w:pos="8931"/>
        </w:tabs>
        <w:spacing w:before="20" w:after="20"/>
        <w:ind w:left="1134"/>
        <w:rPr>
          <w:rFonts w:cs="Calibri"/>
          <w:szCs w:val="20"/>
        </w:rPr>
      </w:pPr>
      <w:r w:rsidRPr="00367AD3">
        <w:rPr>
          <w:rFonts w:cs="Calibri"/>
          <w:szCs w:val="20"/>
        </w:rPr>
        <w:t>Within lifestyle and wine area.</w:t>
      </w:r>
    </w:p>
    <w:p w:rsidR="005D4215" w:rsidRPr="00367AD3" w:rsidRDefault="005D4215" w:rsidP="005D4215">
      <w:pPr>
        <w:pStyle w:val="ListParagraph"/>
        <w:numPr>
          <w:ilvl w:val="0"/>
          <w:numId w:val="54"/>
        </w:numPr>
        <w:tabs>
          <w:tab w:val="left" w:pos="8931"/>
        </w:tabs>
        <w:spacing w:before="20" w:after="20"/>
        <w:ind w:left="1134"/>
        <w:rPr>
          <w:rFonts w:cs="Calibri"/>
          <w:szCs w:val="20"/>
        </w:rPr>
      </w:pPr>
      <w:r w:rsidRPr="00367AD3">
        <w:rPr>
          <w:rFonts w:cs="Calibri"/>
          <w:szCs w:val="20"/>
        </w:rPr>
        <w:t>Closed rail line.</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Elmore</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Greater Bendigo</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668</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Current planned growth capacity (2) – </w:t>
      </w:r>
      <w:r w:rsidRPr="00367AD3">
        <w:rPr>
          <w:rFonts w:cs="Calibri"/>
          <w:szCs w:val="20"/>
        </w:rPr>
        <w:t>0</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656</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55"/>
        </w:numPr>
        <w:tabs>
          <w:tab w:val="left" w:pos="8931"/>
        </w:tabs>
        <w:spacing w:before="20" w:after="20"/>
        <w:ind w:left="1134"/>
        <w:rPr>
          <w:rFonts w:cs="Calibri"/>
          <w:szCs w:val="20"/>
        </w:rPr>
      </w:pPr>
      <w:r w:rsidRPr="00367AD3">
        <w:rPr>
          <w:rFonts w:cs="Calibri"/>
          <w:szCs w:val="20"/>
        </w:rPr>
        <w:t>45km from Central Bendigo.</w:t>
      </w:r>
    </w:p>
    <w:p w:rsidR="005D4215" w:rsidRPr="00367AD3" w:rsidRDefault="005D4215" w:rsidP="005D4215">
      <w:pPr>
        <w:pStyle w:val="ListParagraph"/>
        <w:numPr>
          <w:ilvl w:val="0"/>
          <w:numId w:val="55"/>
        </w:numPr>
        <w:tabs>
          <w:tab w:val="left" w:pos="8931"/>
        </w:tabs>
        <w:spacing w:before="20" w:after="20"/>
        <w:ind w:left="1134"/>
        <w:rPr>
          <w:rFonts w:cs="Calibri"/>
          <w:szCs w:val="20"/>
        </w:rPr>
      </w:pPr>
      <w:r w:rsidRPr="00367AD3">
        <w:rPr>
          <w:rFonts w:cs="Calibri"/>
          <w:szCs w:val="20"/>
        </w:rPr>
        <w:t>Agricultural town.</w:t>
      </w:r>
    </w:p>
    <w:p w:rsidR="005D4215" w:rsidRPr="00367AD3" w:rsidRDefault="005D4215" w:rsidP="005D4215">
      <w:pPr>
        <w:pStyle w:val="ListParagraph"/>
        <w:numPr>
          <w:ilvl w:val="0"/>
          <w:numId w:val="55"/>
        </w:numPr>
        <w:tabs>
          <w:tab w:val="left" w:pos="8931"/>
        </w:tabs>
        <w:spacing w:before="20" w:after="20"/>
        <w:ind w:left="1134"/>
        <w:rPr>
          <w:rFonts w:cs="Calibri"/>
          <w:szCs w:val="20"/>
        </w:rPr>
      </w:pPr>
      <w:r w:rsidRPr="00367AD3">
        <w:rPr>
          <w:rFonts w:cs="Calibri"/>
          <w:szCs w:val="20"/>
        </w:rPr>
        <w:t>Has not attracted the "lifestyle" market to date.</w:t>
      </w:r>
    </w:p>
    <w:p w:rsidR="005D4215" w:rsidRPr="00367AD3" w:rsidRDefault="005D4215" w:rsidP="005D4215">
      <w:pPr>
        <w:pStyle w:val="ListParagraph"/>
        <w:numPr>
          <w:ilvl w:val="0"/>
          <w:numId w:val="55"/>
        </w:numPr>
        <w:tabs>
          <w:tab w:val="left" w:pos="8931"/>
        </w:tabs>
        <w:spacing w:before="20" w:after="20"/>
        <w:ind w:left="1134"/>
        <w:rPr>
          <w:rFonts w:cs="Calibri"/>
          <w:szCs w:val="20"/>
        </w:rPr>
      </w:pPr>
      <w:r w:rsidRPr="00367AD3">
        <w:rPr>
          <w:rFonts w:cs="Calibri"/>
          <w:szCs w:val="20"/>
        </w:rPr>
        <w:t>On Midland Highway.</w:t>
      </w:r>
    </w:p>
    <w:p w:rsidR="005D4215" w:rsidRPr="00367AD3" w:rsidRDefault="005D4215" w:rsidP="005D4215">
      <w:pPr>
        <w:pStyle w:val="ListParagraph"/>
        <w:numPr>
          <w:ilvl w:val="0"/>
          <w:numId w:val="55"/>
        </w:numPr>
        <w:tabs>
          <w:tab w:val="left" w:pos="8931"/>
        </w:tabs>
        <w:spacing w:before="20" w:after="20"/>
        <w:ind w:left="1134"/>
        <w:rPr>
          <w:rFonts w:cs="Calibri"/>
          <w:szCs w:val="20"/>
        </w:rPr>
      </w:pPr>
      <w:r w:rsidRPr="00367AD3">
        <w:rPr>
          <w:rFonts w:cs="Calibri"/>
          <w:szCs w:val="20"/>
        </w:rPr>
        <w:t>On train line.</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Axedale</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Greater Bendigo</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216</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309</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521</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56"/>
        </w:numPr>
        <w:tabs>
          <w:tab w:val="left" w:pos="8931"/>
        </w:tabs>
        <w:spacing w:before="20" w:after="20"/>
        <w:ind w:left="1134"/>
        <w:rPr>
          <w:rFonts w:cs="Calibri"/>
          <w:szCs w:val="20"/>
        </w:rPr>
      </w:pPr>
      <w:r w:rsidRPr="00367AD3">
        <w:rPr>
          <w:rFonts w:cs="Calibri"/>
          <w:szCs w:val="20"/>
        </w:rPr>
        <w:t>21km from Central Bendigo.</w:t>
      </w:r>
    </w:p>
    <w:p w:rsidR="005D4215" w:rsidRPr="00367AD3" w:rsidRDefault="005D4215" w:rsidP="005D4215">
      <w:pPr>
        <w:pStyle w:val="ListParagraph"/>
        <w:numPr>
          <w:ilvl w:val="0"/>
          <w:numId w:val="56"/>
        </w:numPr>
        <w:tabs>
          <w:tab w:val="left" w:pos="8931"/>
        </w:tabs>
        <w:spacing w:before="20" w:after="20"/>
        <w:ind w:left="1134"/>
        <w:rPr>
          <w:rFonts w:cs="Calibri"/>
          <w:szCs w:val="20"/>
        </w:rPr>
      </w:pPr>
      <w:r w:rsidRPr="00367AD3">
        <w:rPr>
          <w:rFonts w:cs="Calibri"/>
          <w:szCs w:val="20"/>
        </w:rPr>
        <w:t>Small-town alternative to Bendigo.</w:t>
      </w:r>
    </w:p>
    <w:p w:rsidR="005D4215" w:rsidRPr="00367AD3" w:rsidRDefault="005D4215" w:rsidP="005D4215">
      <w:pPr>
        <w:pStyle w:val="ListParagraph"/>
        <w:numPr>
          <w:ilvl w:val="0"/>
          <w:numId w:val="56"/>
        </w:numPr>
        <w:tabs>
          <w:tab w:val="left" w:pos="8931"/>
        </w:tabs>
        <w:spacing w:before="20" w:after="20"/>
        <w:ind w:left="1134"/>
        <w:rPr>
          <w:rFonts w:cs="Calibri"/>
          <w:szCs w:val="20"/>
        </w:rPr>
      </w:pPr>
      <w:r w:rsidRPr="00367AD3">
        <w:rPr>
          <w:rFonts w:cs="Calibri"/>
          <w:szCs w:val="20"/>
        </w:rPr>
        <w:t>Relatively few constraints.</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Goornong</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Greater Bendigo</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261</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Projected Population 2031 (1) ERP – </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122</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502</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57"/>
        </w:numPr>
        <w:tabs>
          <w:tab w:val="left" w:pos="8931"/>
        </w:tabs>
        <w:spacing w:before="20" w:after="20"/>
        <w:ind w:left="1134"/>
        <w:rPr>
          <w:rFonts w:cs="Calibri"/>
          <w:szCs w:val="20"/>
        </w:rPr>
      </w:pPr>
      <w:r w:rsidRPr="00367AD3">
        <w:rPr>
          <w:rFonts w:cs="Calibri"/>
          <w:szCs w:val="20"/>
        </w:rPr>
        <w:t>29km from Central Bendigo.</w:t>
      </w:r>
    </w:p>
    <w:p w:rsidR="005D4215" w:rsidRPr="00367AD3" w:rsidRDefault="005D4215" w:rsidP="005D4215">
      <w:pPr>
        <w:pStyle w:val="ListParagraph"/>
        <w:numPr>
          <w:ilvl w:val="0"/>
          <w:numId w:val="57"/>
        </w:numPr>
        <w:tabs>
          <w:tab w:val="left" w:pos="8931"/>
        </w:tabs>
        <w:spacing w:before="20" w:after="20"/>
        <w:ind w:left="1134"/>
        <w:rPr>
          <w:rFonts w:cs="Calibri"/>
          <w:szCs w:val="20"/>
        </w:rPr>
      </w:pPr>
      <w:r w:rsidRPr="00367AD3">
        <w:rPr>
          <w:rFonts w:cs="Calibri"/>
          <w:szCs w:val="20"/>
        </w:rPr>
        <w:t>Small-town alternative to Bendigo.</w:t>
      </w:r>
    </w:p>
    <w:p w:rsidR="005D4215" w:rsidRPr="00367AD3" w:rsidRDefault="005D4215" w:rsidP="005D4215">
      <w:pPr>
        <w:pStyle w:val="ListParagraph"/>
        <w:numPr>
          <w:ilvl w:val="0"/>
          <w:numId w:val="57"/>
        </w:numPr>
        <w:tabs>
          <w:tab w:val="left" w:pos="8931"/>
        </w:tabs>
        <w:spacing w:before="20" w:after="20"/>
        <w:ind w:left="1134"/>
        <w:rPr>
          <w:rFonts w:cs="Calibri"/>
          <w:szCs w:val="20"/>
        </w:rPr>
      </w:pPr>
      <w:r w:rsidRPr="00367AD3">
        <w:rPr>
          <w:rFonts w:cs="Calibri"/>
          <w:szCs w:val="20"/>
        </w:rPr>
        <w:t>Relatively few constraints.</w:t>
      </w:r>
    </w:p>
    <w:p w:rsidR="005D4215" w:rsidRPr="00367AD3" w:rsidRDefault="005D4215" w:rsidP="005D4215">
      <w:pPr>
        <w:pStyle w:val="ListParagraph"/>
        <w:numPr>
          <w:ilvl w:val="0"/>
          <w:numId w:val="57"/>
        </w:numPr>
        <w:tabs>
          <w:tab w:val="left" w:pos="8931"/>
        </w:tabs>
        <w:spacing w:before="20" w:after="20"/>
        <w:ind w:left="1134"/>
        <w:rPr>
          <w:rFonts w:cs="Calibri"/>
          <w:szCs w:val="20"/>
        </w:rPr>
      </w:pPr>
      <w:r w:rsidRPr="00367AD3">
        <w:rPr>
          <w:rFonts w:cs="Calibri"/>
          <w:szCs w:val="20"/>
        </w:rPr>
        <w:t>Rail-line but no stop.</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Raywood</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Greater Bendigo</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&lt;200</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40</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&lt;240</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58"/>
        </w:numPr>
        <w:tabs>
          <w:tab w:val="left" w:pos="8931"/>
        </w:tabs>
        <w:spacing w:before="20" w:after="20"/>
        <w:ind w:left="1134"/>
        <w:rPr>
          <w:rFonts w:cs="Calibri"/>
          <w:szCs w:val="20"/>
        </w:rPr>
      </w:pPr>
      <w:r w:rsidRPr="00367AD3">
        <w:rPr>
          <w:rFonts w:cs="Calibri"/>
          <w:szCs w:val="20"/>
        </w:rPr>
        <w:t>29km from Central Bendigo.</w:t>
      </w:r>
    </w:p>
    <w:p w:rsidR="005D4215" w:rsidRPr="00367AD3" w:rsidRDefault="005D4215" w:rsidP="005D4215">
      <w:pPr>
        <w:pStyle w:val="ListParagraph"/>
        <w:numPr>
          <w:ilvl w:val="0"/>
          <w:numId w:val="58"/>
        </w:numPr>
        <w:tabs>
          <w:tab w:val="left" w:pos="8931"/>
        </w:tabs>
        <w:spacing w:before="20" w:after="20"/>
        <w:ind w:left="1134"/>
        <w:rPr>
          <w:rFonts w:cs="Calibri"/>
          <w:szCs w:val="20"/>
        </w:rPr>
      </w:pPr>
      <w:r w:rsidRPr="00367AD3">
        <w:rPr>
          <w:rFonts w:cs="Calibri"/>
          <w:szCs w:val="20"/>
        </w:rPr>
        <w:t>Small-town alternative to Bendigo.</w:t>
      </w:r>
    </w:p>
    <w:p w:rsidR="005D4215" w:rsidRPr="00367AD3" w:rsidRDefault="005D4215" w:rsidP="005D4215">
      <w:pPr>
        <w:pStyle w:val="ListParagraph"/>
        <w:numPr>
          <w:ilvl w:val="0"/>
          <w:numId w:val="58"/>
        </w:numPr>
        <w:tabs>
          <w:tab w:val="left" w:pos="8931"/>
        </w:tabs>
        <w:spacing w:before="20" w:after="20"/>
        <w:ind w:left="1134"/>
        <w:rPr>
          <w:rFonts w:cs="Calibri"/>
          <w:szCs w:val="20"/>
        </w:rPr>
      </w:pPr>
      <w:r w:rsidRPr="00367AD3">
        <w:rPr>
          <w:rFonts w:cs="Calibri"/>
          <w:szCs w:val="20"/>
        </w:rPr>
        <w:t>Relatively few constraints.</w:t>
      </w:r>
    </w:p>
    <w:p w:rsidR="005D4215" w:rsidRPr="00367AD3" w:rsidRDefault="005D4215" w:rsidP="005D4215">
      <w:pPr>
        <w:pStyle w:val="ListParagraph"/>
        <w:numPr>
          <w:ilvl w:val="0"/>
          <w:numId w:val="58"/>
        </w:numPr>
        <w:tabs>
          <w:tab w:val="left" w:pos="8931"/>
        </w:tabs>
        <w:spacing w:before="20" w:after="20"/>
        <w:ind w:left="1134"/>
        <w:rPr>
          <w:rFonts w:cs="Calibri"/>
          <w:szCs w:val="20"/>
        </w:rPr>
      </w:pPr>
      <w:r w:rsidRPr="00367AD3">
        <w:rPr>
          <w:rFonts w:cs="Calibri"/>
          <w:szCs w:val="20"/>
        </w:rPr>
        <w:t>Rail-line but no stop.</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Maryborough</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Central Goldfields</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Regional Centre</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2011 Pop (ABS 2011 Census) – </w:t>
      </w:r>
      <w:r w:rsidRPr="00367AD3">
        <w:rPr>
          <w:rFonts w:cs="Calibri"/>
          <w:szCs w:val="20"/>
        </w:rPr>
        <w:t>7174</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8924</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1434</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8573</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14,000 (Estimated capacity based on existing land supply)</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Regional Urban Development Program</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59"/>
        </w:numPr>
        <w:tabs>
          <w:tab w:val="left" w:pos="8931"/>
        </w:tabs>
        <w:spacing w:before="20" w:after="20"/>
        <w:ind w:left="1134"/>
        <w:rPr>
          <w:rFonts w:cs="Calibri"/>
          <w:szCs w:val="20"/>
        </w:rPr>
      </w:pPr>
      <w:r w:rsidRPr="00367AD3">
        <w:rPr>
          <w:rFonts w:cs="Calibri"/>
          <w:szCs w:val="20"/>
        </w:rPr>
        <w:t>Loddon Mallee South RGP Technical Working Group identified Maryborough as having the capacity and desire to grow.</w:t>
      </w:r>
    </w:p>
    <w:p w:rsidR="005D4215" w:rsidRPr="00367AD3" w:rsidRDefault="005D4215" w:rsidP="005D4215">
      <w:pPr>
        <w:pStyle w:val="ListParagraph"/>
        <w:numPr>
          <w:ilvl w:val="0"/>
          <w:numId w:val="59"/>
        </w:numPr>
        <w:tabs>
          <w:tab w:val="left" w:pos="8931"/>
        </w:tabs>
        <w:spacing w:before="20" w:after="20"/>
        <w:ind w:left="1134"/>
        <w:rPr>
          <w:rFonts w:cs="Calibri"/>
          <w:szCs w:val="20"/>
        </w:rPr>
      </w:pPr>
      <w:r w:rsidRPr="00367AD3">
        <w:rPr>
          <w:rFonts w:cs="Calibri"/>
          <w:szCs w:val="20"/>
        </w:rPr>
        <w:t>Not much actual growth.  May need drivers to achieve desired growth.</w:t>
      </w:r>
    </w:p>
    <w:p w:rsidR="005D4215" w:rsidRPr="00367AD3" w:rsidRDefault="005D4215" w:rsidP="005D4215">
      <w:pPr>
        <w:pStyle w:val="ListParagraph"/>
        <w:numPr>
          <w:ilvl w:val="0"/>
          <w:numId w:val="59"/>
        </w:numPr>
        <w:tabs>
          <w:tab w:val="left" w:pos="8931"/>
        </w:tabs>
        <w:spacing w:before="20" w:after="20"/>
        <w:ind w:left="1134"/>
        <w:rPr>
          <w:rFonts w:cs="Calibri"/>
          <w:szCs w:val="20"/>
        </w:rPr>
      </w:pPr>
      <w:r w:rsidRPr="00367AD3">
        <w:rPr>
          <w:rFonts w:cs="Calibri"/>
          <w:szCs w:val="20"/>
        </w:rPr>
        <w:t>Has land supply capacity.</w:t>
      </w:r>
    </w:p>
    <w:p w:rsidR="005D4215" w:rsidRPr="00367AD3" w:rsidRDefault="005D4215" w:rsidP="005D4215">
      <w:pPr>
        <w:pStyle w:val="ListParagraph"/>
        <w:numPr>
          <w:ilvl w:val="0"/>
          <w:numId w:val="59"/>
        </w:numPr>
        <w:tabs>
          <w:tab w:val="left" w:pos="8931"/>
        </w:tabs>
        <w:spacing w:before="20" w:after="20"/>
        <w:ind w:left="1134"/>
        <w:rPr>
          <w:rFonts w:cs="Calibri"/>
          <w:szCs w:val="20"/>
        </w:rPr>
      </w:pPr>
      <w:r w:rsidRPr="00367AD3">
        <w:rPr>
          <w:rFonts w:cs="Calibri"/>
          <w:szCs w:val="20"/>
        </w:rPr>
        <w:t>Geographically located on the edge of the "lifestyle" belt from Melbourne.</w:t>
      </w:r>
    </w:p>
    <w:p w:rsidR="005D4215" w:rsidRPr="00367AD3" w:rsidRDefault="005D4215" w:rsidP="005D4215">
      <w:pPr>
        <w:pStyle w:val="ListParagraph"/>
        <w:numPr>
          <w:ilvl w:val="0"/>
          <w:numId w:val="59"/>
        </w:numPr>
        <w:tabs>
          <w:tab w:val="left" w:pos="8931"/>
        </w:tabs>
        <w:spacing w:before="20" w:after="20"/>
        <w:ind w:left="1134"/>
        <w:rPr>
          <w:rFonts w:cs="Calibri"/>
          <w:szCs w:val="20"/>
        </w:rPr>
      </w:pPr>
      <w:r w:rsidRPr="00367AD3">
        <w:rPr>
          <w:rFonts w:cs="Calibri"/>
          <w:szCs w:val="20"/>
        </w:rPr>
        <w:t>Ranks low on the SEIFA scale.</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00C31A92">
        <w:rPr>
          <w:rFonts w:cs="Calibri"/>
          <w:szCs w:val="20"/>
        </w:rPr>
        <w:t>Manage and support growth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Carisbrook</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Central Goldfields</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791</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180</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908</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60"/>
        </w:numPr>
        <w:tabs>
          <w:tab w:val="left" w:pos="8931"/>
        </w:tabs>
        <w:spacing w:before="20" w:after="20"/>
        <w:ind w:left="1134"/>
        <w:rPr>
          <w:rFonts w:cs="Calibri"/>
          <w:szCs w:val="20"/>
        </w:rPr>
      </w:pPr>
      <w:r w:rsidRPr="00367AD3">
        <w:rPr>
          <w:rFonts w:cs="Calibri"/>
          <w:szCs w:val="20"/>
        </w:rPr>
        <w:t>Satellite town to Maryborough - 7km from Maryborough.</w:t>
      </w:r>
    </w:p>
    <w:p w:rsidR="005D4215" w:rsidRPr="00367AD3" w:rsidRDefault="005D4215" w:rsidP="005D4215">
      <w:pPr>
        <w:pStyle w:val="ListParagraph"/>
        <w:numPr>
          <w:ilvl w:val="0"/>
          <w:numId w:val="60"/>
        </w:numPr>
        <w:tabs>
          <w:tab w:val="left" w:pos="8931"/>
        </w:tabs>
        <w:spacing w:before="20" w:after="20"/>
        <w:ind w:left="1134"/>
        <w:rPr>
          <w:rFonts w:cs="Calibri"/>
          <w:szCs w:val="20"/>
        </w:rPr>
      </w:pPr>
      <w:r w:rsidRPr="00367AD3">
        <w:rPr>
          <w:rFonts w:cs="Calibri"/>
          <w:szCs w:val="20"/>
        </w:rPr>
        <w:t>Flood</w:t>
      </w:r>
      <w:r w:rsidR="00C31A92">
        <w:rPr>
          <w:rFonts w:cs="Calibri"/>
          <w:szCs w:val="20"/>
        </w:rPr>
        <w:t>ing</w:t>
      </w:r>
      <w:r w:rsidRPr="00367AD3">
        <w:rPr>
          <w:rFonts w:cs="Calibri"/>
          <w:szCs w:val="20"/>
        </w:rPr>
        <w:t xml:space="preserve"> constraints.</w:t>
      </w:r>
    </w:p>
    <w:p w:rsidR="005D4215" w:rsidRPr="00367AD3" w:rsidRDefault="005D4215" w:rsidP="005D4215">
      <w:pPr>
        <w:pStyle w:val="ListParagraph"/>
        <w:numPr>
          <w:ilvl w:val="0"/>
          <w:numId w:val="60"/>
        </w:numPr>
        <w:tabs>
          <w:tab w:val="left" w:pos="8931"/>
        </w:tabs>
        <w:spacing w:before="20" w:after="20"/>
        <w:ind w:left="1134"/>
        <w:rPr>
          <w:rFonts w:cs="Calibri"/>
          <w:szCs w:val="20"/>
        </w:rPr>
      </w:pPr>
      <w:r w:rsidRPr="00367AD3">
        <w:rPr>
          <w:rFonts w:cs="Calibri"/>
          <w:szCs w:val="20"/>
        </w:rPr>
        <w:t>Good surrounding agricultural land.</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Talbot</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Central Goldfields</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258</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0</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243</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61"/>
        </w:numPr>
        <w:tabs>
          <w:tab w:val="left" w:pos="8931"/>
        </w:tabs>
        <w:spacing w:before="20" w:after="20"/>
        <w:ind w:left="1134"/>
        <w:rPr>
          <w:rFonts w:cs="Calibri"/>
          <w:szCs w:val="20"/>
        </w:rPr>
      </w:pPr>
      <w:r w:rsidRPr="00367AD3">
        <w:rPr>
          <w:rFonts w:cs="Calibri"/>
          <w:szCs w:val="20"/>
        </w:rPr>
        <w:t>14km from Maryborough.</w:t>
      </w:r>
    </w:p>
    <w:p w:rsidR="005D4215" w:rsidRPr="00367AD3" w:rsidRDefault="005D4215" w:rsidP="005D4215">
      <w:pPr>
        <w:pStyle w:val="ListParagraph"/>
        <w:numPr>
          <w:ilvl w:val="0"/>
          <w:numId w:val="61"/>
        </w:numPr>
        <w:tabs>
          <w:tab w:val="left" w:pos="8931"/>
        </w:tabs>
        <w:spacing w:before="20" w:after="20"/>
        <w:ind w:left="1134"/>
        <w:rPr>
          <w:rFonts w:cs="Calibri"/>
          <w:szCs w:val="20"/>
        </w:rPr>
      </w:pPr>
      <w:r w:rsidRPr="00367AD3">
        <w:rPr>
          <w:rFonts w:cs="Calibri"/>
          <w:szCs w:val="20"/>
        </w:rPr>
        <w:t>Closer to Ballarat than Bendigo.</w:t>
      </w:r>
    </w:p>
    <w:p w:rsidR="005D4215" w:rsidRPr="00367AD3" w:rsidRDefault="005D4215" w:rsidP="005D4215">
      <w:pPr>
        <w:pStyle w:val="ListParagraph"/>
        <w:numPr>
          <w:ilvl w:val="0"/>
          <w:numId w:val="61"/>
        </w:numPr>
        <w:tabs>
          <w:tab w:val="left" w:pos="8931"/>
        </w:tabs>
        <w:spacing w:before="20" w:after="20"/>
        <w:ind w:left="1134"/>
        <w:rPr>
          <w:rFonts w:cs="Calibri"/>
          <w:szCs w:val="20"/>
        </w:rPr>
      </w:pPr>
      <w:r w:rsidRPr="00367AD3">
        <w:rPr>
          <w:rFonts w:cs="Calibri"/>
          <w:szCs w:val="20"/>
        </w:rPr>
        <w:t>On Maryborough to Ballarat rail line.  Station to be re-opened to passenger rail which will connect people to Ballarat and then to Melbourne by rail.</w:t>
      </w:r>
    </w:p>
    <w:p w:rsidR="005D4215" w:rsidRPr="00367AD3" w:rsidRDefault="005D4215" w:rsidP="005D4215">
      <w:pPr>
        <w:pStyle w:val="ListParagraph"/>
        <w:numPr>
          <w:ilvl w:val="0"/>
          <w:numId w:val="61"/>
        </w:numPr>
        <w:tabs>
          <w:tab w:val="left" w:pos="8931"/>
        </w:tabs>
        <w:spacing w:before="20" w:after="20"/>
        <w:ind w:left="1134"/>
        <w:rPr>
          <w:rFonts w:cs="Calibri"/>
          <w:szCs w:val="20"/>
        </w:rPr>
      </w:pPr>
      <w:r w:rsidRPr="00367AD3">
        <w:rPr>
          <w:rFonts w:cs="Calibri"/>
          <w:szCs w:val="20"/>
        </w:rPr>
        <w:t>Becoming attractive to "</w:t>
      </w:r>
      <w:proofErr w:type="spellStart"/>
      <w:r w:rsidRPr="00367AD3">
        <w:rPr>
          <w:rFonts w:cs="Calibri"/>
          <w:szCs w:val="20"/>
        </w:rPr>
        <w:t>lifestylers</w:t>
      </w:r>
      <w:proofErr w:type="spellEnd"/>
      <w:r w:rsidRPr="00367AD3">
        <w:rPr>
          <w:rFonts w:cs="Calibri"/>
          <w:szCs w:val="20"/>
        </w:rPr>
        <w:t xml:space="preserve">" with active cafe culture and spillover from </w:t>
      </w:r>
      <w:proofErr w:type="spellStart"/>
      <w:r w:rsidRPr="00367AD3">
        <w:rPr>
          <w:rFonts w:cs="Calibri"/>
          <w:szCs w:val="20"/>
        </w:rPr>
        <w:t>Clunes</w:t>
      </w:r>
      <w:proofErr w:type="spellEnd"/>
      <w:r w:rsidRPr="00367AD3">
        <w:rPr>
          <w:rFonts w:cs="Calibri"/>
          <w:szCs w:val="20"/>
        </w:rPr>
        <w:t>.</w:t>
      </w:r>
    </w:p>
    <w:p w:rsidR="005D4215" w:rsidRPr="00367AD3" w:rsidRDefault="005D4215" w:rsidP="005D4215">
      <w:pPr>
        <w:pStyle w:val="ListParagraph"/>
        <w:numPr>
          <w:ilvl w:val="0"/>
          <w:numId w:val="61"/>
        </w:numPr>
        <w:tabs>
          <w:tab w:val="left" w:pos="8931"/>
        </w:tabs>
        <w:spacing w:before="20" w:after="20"/>
        <w:ind w:left="1134"/>
        <w:rPr>
          <w:rFonts w:cs="Calibri"/>
          <w:szCs w:val="20"/>
        </w:rPr>
      </w:pPr>
      <w:r w:rsidRPr="00367AD3">
        <w:rPr>
          <w:rFonts w:cs="Calibri"/>
          <w:szCs w:val="20"/>
        </w:rPr>
        <w:t>No land supply.</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Dunolly</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Central Goldfields</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638</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342</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986</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62"/>
        </w:numPr>
        <w:tabs>
          <w:tab w:val="left" w:pos="8931"/>
        </w:tabs>
        <w:spacing w:before="20" w:after="20"/>
        <w:ind w:left="1134"/>
        <w:rPr>
          <w:rFonts w:cs="Calibri"/>
          <w:szCs w:val="20"/>
        </w:rPr>
      </w:pPr>
      <w:r w:rsidRPr="00367AD3">
        <w:rPr>
          <w:rFonts w:cs="Calibri"/>
          <w:szCs w:val="20"/>
        </w:rPr>
        <w:t>On edge of "lifestyle" belt from Melbourne.</w:t>
      </w:r>
    </w:p>
    <w:p w:rsidR="005D4215" w:rsidRPr="00367AD3" w:rsidRDefault="005D4215" w:rsidP="005D4215">
      <w:pPr>
        <w:pStyle w:val="ListParagraph"/>
        <w:numPr>
          <w:ilvl w:val="0"/>
          <w:numId w:val="62"/>
        </w:numPr>
        <w:tabs>
          <w:tab w:val="left" w:pos="8931"/>
        </w:tabs>
        <w:spacing w:before="20" w:after="20"/>
        <w:ind w:left="1134"/>
        <w:rPr>
          <w:rFonts w:cs="Calibri"/>
          <w:szCs w:val="20"/>
        </w:rPr>
      </w:pPr>
      <w:r w:rsidRPr="00367AD3">
        <w:rPr>
          <w:rFonts w:cs="Calibri"/>
          <w:szCs w:val="20"/>
        </w:rPr>
        <w:t>No passenger rail. On Mildura freight rail line.</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Castlemaine</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Mt Alexander</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Settlement Type – </w:t>
      </w:r>
      <w:r w:rsidRPr="00367AD3">
        <w:rPr>
          <w:rFonts w:cs="Calibri"/>
          <w:szCs w:val="20"/>
        </w:rPr>
        <w:t>Regional Centre</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9124</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11,371</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1786</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10,751</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63"/>
        </w:numPr>
        <w:tabs>
          <w:tab w:val="left" w:pos="8931"/>
        </w:tabs>
        <w:spacing w:before="20" w:after="20"/>
        <w:ind w:left="1134"/>
        <w:rPr>
          <w:rFonts w:cs="Calibri"/>
          <w:szCs w:val="20"/>
        </w:rPr>
      </w:pPr>
      <w:r w:rsidRPr="00367AD3">
        <w:rPr>
          <w:rFonts w:cs="Calibri"/>
          <w:szCs w:val="20"/>
        </w:rPr>
        <w:t>Strong lifestyle growth.</w:t>
      </w:r>
    </w:p>
    <w:p w:rsidR="005D4215" w:rsidRPr="00367AD3" w:rsidRDefault="005D4215" w:rsidP="005D4215">
      <w:pPr>
        <w:pStyle w:val="ListParagraph"/>
        <w:numPr>
          <w:ilvl w:val="0"/>
          <w:numId w:val="63"/>
        </w:numPr>
        <w:tabs>
          <w:tab w:val="left" w:pos="8931"/>
        </w:tabs>
        <w:spacing w:before="20" w:after="20"/>
        <w:ind w:left="1134"/>
        <w:rPr>
          <w:rFonts w:cs="Calibri"/>
          <w:szCs w:val="20"/>
        </w:rPr>
      </w:pPr>
      <w:r w:rsidRPr="00367AD3">
        <w:rPr>
          <w:rFonts w:cs="Calibri"/>
          <w:szCs w:val="20"/>
        </w:rPr>
        <w:t>Constrained by natural environment, especially National heritage areas.</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00C31A92">
        <w:rPr>
          <w:rFonts w:cs="Calibri"/>
          <w:szCs w:val="20"/>
        </w:rPr>
        <w:t>Manage and support growth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Maldon</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Mt Alexander</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1236</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251</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1476</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64"/>
        </w:numPr>
        <w:tabs>
          <w:tab w:val="left" w:pos="8931"/>
        </w:tabs>
        <w:spacing w:before="20" w:after="20"/>
        <w:ind w:left="1134"/>
        <w:rPr>
          <w:rFonts w:cs="Calibri"/>
          <w:szCs w:val="20"/>
        </w:rPr>
      </w:pPr>
      <w:r w:rsidRPr="00367AD3">
        <w:rPr>
          <w:rFonts w:cs="Calibri"/>
          <w:szCs w:val="20"/>
        </w:rPr>
        <w:t>Declared as Australia's first Notable Town by the National Trust in 1966.</w:t>
      </w:r>
    </w:p>
    <w:p w:rsidR="005D4215" w:rsidRPr="00367AD3" w:rsidRDefault="005D4215" w:rsidP="005D4215">
      <w:pPr>
        <w:pStyle w:val="ListParagraph"/>
        <w:numPr>
          <w:ilvl w:val="0"/>
          <w:numId w:val="64"/>
        </w:numPr>
        <w:tabs>
          <w:tab w:val="left" w:pos="8931"/>
        </w:tabs>
        <w:spacing w:before="20" w:after="20"/>
        <w:ind w:left="1134"/>
        <w:rPr>
          <w:rFonts w:cs="Calibri"/>
          <w:szCs w:val="20"/>
        </w:rPr>
      </w:pPr>
      <w:r w:rsidRPr="00367AD3">
        <w:rPr>
          <w:rFonts w:cs="Calibri"/>
          <w:szCs w:val="20"/>
        </w:rPr>
        <w:t>Heritage status likely to exclude any major development.</w:t>
      </w:r>
    </w:p>
    <w:p w:rsidR="005D4215" w:rsidRPr="00367AD3" w:rsidRDefault="005D4215" w:rsidP="005D4215">
      <w:pPr>
        <w:pStyle w:val="ListParagraph"/>
        <w:numPr>
          <w:ilvl w:val="0"/>
          <w:numId w:val="64"/>
        </w:numPr>
        <w:tabs>
          <w:tab w:val="left" w:pos="8931"/>
        </w:tabs>
        <w:spacing w:before="20" w:after="20"/>
        <w:ind w:left="1134"/>
        <w:rPr>
          <w:rFonts w:cs="Calibri"/>
          <w:szCs w:val="20"/>
        </w:rPr>
      </w:pPr>
      <w:r w:rsidRPr="00367AD3">
        <w:rPr>
          <w:rFonts w:cs="Calibri"/>
          <w:szCs w:val="20"/>
        </w:rPr>
        <w:t>Forest constraints.</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Harcourt</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Mt Alexander</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2011 Pop (ABS 2011 Census) – </w:t>
      </w:r>
      <w:r w:rsidRPr="00367AD3">
        <w:rPr>
          <w:rFonts w:cs="Calibri"/>
          <w:szCs w:val="20"/>
        </w:rPr>
        <w:t>479</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626</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2088</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1100 by 2021</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 xml:space="preserve">Harcourt Town </w:t>
      </w:r>
      <w:proofErr w:type="spellStart"/>
      <w:r w:rsidRPr="00367AD3">
        <w:rPr>
          <w:rFonts w:cs="Calibri"/>
          <w:szCs w:val="20"/>
        </w:rPr>
        <w:t>Masterplan</w:t>
      </w:r>
      <w:proofErr w:type="spellEnd"/>
      <w:r w:rsidRPr="00367AD3">
        <w:rPr>
          <w:rFonts w:cs="Calibri"/>
          <w:szCs w:val="20"/>
        </w:rPr>
        <w:t xml:space="preserve"> 2011</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65"/>
        </w:numPr>
        <w:tabs>
          <w:tab w:val="left" w:pos="8931"/>
        </w:tabs>
        <w:spacing w:before="20" w:after="20"/>
        <w:ind w:left="1134"/>
        <w:rPr>
          <w:rFonts w:cs="Calibri"/>
          <w:szCs w:val="20"/>
        </w:rPr>
      </w:pPr>
      <w:r w:rsidRPr="00367AD3">
        <w:rPr>
          <w:rFonts w:cs="Calibri"/>
          <w:szCs w:val="20"/>
        </w:rPr>
        <w:t>TRG identified Harcourt for growth.</w:t>
      </w:r>
    </w:p>
    <w:p w:rsidR="005D4215" w:rsidRPr="00367AD3" w:rsidRDefault="005D4215" w:rsidP="005D4215">
      <w:pPr>
        <w:pStyle w:val="ListParagraph"/>
        <w:numPr>
          <w:ilvl w:val="0"/>
          <w:numId w:val="65"/>
        </w:numPr>
        <w:tabs>
          <w:tab w:val="left" w:pos="8931"/>
        </w:tabs>
        <w:spacing w:before="20" w:after="20"/>
        <w:ind w:left="1134"/>
        <w:rPr>
          <w:rFonts w:cs="Calibri"/>
          <w:szCs w:val="20"/>
        </w:rPr>
      </w:pPr>
      <w:r w:rsidRPr="00367AD3">
        <w:rPr>
          <w:rFonts w:cs="Calibri"/>
          <w:szCs w:val="20"/>
        </w:rPr>
        <w:t>Possible growth alternative to Castlemaine.</w:t>
      </w:r>
    </w:p>
    <w:p w:rsidR="005D4215" w:rsidRPr="00367AD3" w:rsidRDefault="005D4215" w:rsidP="005D4215">
      <w:pPr>
        <w:pStyle w:val="ListParagraph"/>
        <w:numPr>
          <w:ilvl w:val="0"/>
          <w:numId w:val="65"/>
        </w:numPr>
        <w:tabs>
          <w:tab w:val="left" w:pos="8931"/>
        </w:tabs>
        <w:spacing w:before="20" w:after="20"/>
        <w:ind w:left="1134"/>
        <w:rPr>
          <w:rFonts w:cs="Calibri"/>
          <w:szCs w:val="20"/>
        </w:rPr>
      </w:pPr>
      <w:r w:rsidRPr="00367AD3">
        <w:rPr>
          <w:rFonts w:cs="Calibri"/>
          <w:szCs w:val="20"/>
        </w:rPr>
        <w:t>Rail station currently closed. Possible re-opening if town become</w:t>
      </w:r>
      <w:r w:rsidR="00C31A92">
        <w:rPr>
          <w:rFonts w:cs="Calibri"/>
          <w:szCs w:val="20"/>
        </w:rPr>
        <w:t>s</w:t>
      </w:r>
      <w:r w:rsidRPr="00367AD3">
        <w:rPr>
          <w:rFonts w:cs="Calibri"/>
          <w:szCs w:val="20"/>
        </w:rPr>
        <w:t xml:space="preserve"> large enough.</w:t>
      </w:r>
    </w:p>
    <w:p w:rsidR="005D4215" w:rsidRPr="00367AD3" w:rsidRDefault="005D4215" w:rsidP="005D4215">
      <w:pPr>
        <w:pStyle w:val="ListParagraph"/>
        <w:numPr>
          <w:ilvl w:val="0"/>
          <w:numId w:val="65"/>
        </w:numPr>
        <w:tabs>
          <w:tab w:val="left" w:pos="8931"/>
        </w:tabs>
        <w:spacing w:before="20" w:after="20"/>
        <w:ind w:left="1134"/>
        <w:rPr>
          <w:rFonts w:cs="Calibri"/>
          <w:szCs w:val="20"/>
        </w:rPr>
      </w:pPr>
      <w:r w:rsidRPr="00367AD3">
        <w:rPr>
          <w:rFonts w:cs="Calibri"/>
          <w:szCs w:val="20"/>
        </w:rPr>
        <w:t>High-value agricultural production in the area - apples.</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00C31A92">
        <w:rPr>
          <w:rFonts w:cs="Calibri"/>
          <w:szCs w:val="20"/>
        </w:rPr>
        <w:t>Encourage sustainable growth in Bendigo’s hinterland towns</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Gisborne</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Macedon Ranges</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8057</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13,110</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7520</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15,426</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14,700 by 2036</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Macedon Ranges Settlement Strategy</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66"/>
        </w:numPr>
        <w:tabs>
          <w:tab w:val="left" w:pos="8931"/>
        </w:tabs>
        <w:spacing w:before="20" w:after="20"/>
        <w:ind w:left="1134"/>
        <w:rPr>
          <w:rFonts w:cs="Calibri"/>
          <w:szCs w:val="20"/>
        </w:rPr>
      </w:pPr>
      <w:r w:rsidRPr="00367AD3">
        <w:rPr>
          <w:rFonts w:cs="Calibri"/>
          <w:szCs w:val="20"/>
        </w:rPr>
        <w:t>Rapid recent rate of growth.</w:t>
      </w:r>
    </w:p>
    <w:p w:rsidR="005D4215" w:rsidRPr="00367AD3" w:rsidRDefault="005D4215" w:rsidP="005D4215">
      <w:pPr>
        <w:pStyle w:val="ListParagraph"/>
        <w:numPr>
          <w:ilvl w:val="0"/>
          <w:numId w:val="66"/>
        </w:numPr>
        <w:tabs>
          <w:tab w:val="left" w:pos="8931"/>
        </w:tabs>
        <w:spacing w:before="20" w:after="20"/>
        <w:ind w:left="1134"/>
        <w:rPr>
          <w:rFonts w:cs="Calibri"/>
          <w:szCs w:val="20"/>
        </w:rPr>
      </w:pPr>
      <w:r w:rsidRPr="00367AD3">
        <w:rPr>
          <w:rFonts w:cs="Calibri"/>
          <w:szCs w:val="20"/>
        </w:rPr>
        <w:t xml:space="preserve">Strongly related to Melbourne as a commuter town. 54km from centre of Melbourne. </w:t>
      </w:r>
    </w:p>
    <w:p w:rsidR="005D4215" w:rsidRPr="00367AD3" w:rsidRDefault="005D4215" w:rsidP="005D4215">
      <w:pPr>
        <w:pStyle w:val="ListParagraph"/>
        <w:numPr>
          <w:ilvl w:val="0"/>
          <w:numId w:val="66"/>
        </w:numPr>
        <w:tabs>
          <w:tab w:val="left" w:pos="8931"/>
        </w:tabs>
        <w:spacing w:before="20" w:after="20"/>
        <w:ind w:left="1134"/>
        <w:rPr>
          <w:rFonts w:cs="Calibri"/>
          <w:szCs w:val="20"/>
        </w:rPr>
      </w:pPr>
      <w:r w:rsidRPr="00367AD3">
        <w:rPr>
          <w:rFonts w:cs="Calibri"/>
          <w:szCs w:val="20"/>
        </w:rPr>
        <w:t>Growth in Gisborne influenced by growth and change in metropolitan area.</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00C31A92">
        <w:rPr>
          <w:rFonts w:cs="Calibri"/>
          <w:szCs w:val="20"/>
        </w:rPr>
        <w:t>Manage and support growth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Kyneton</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Macedon Ranges</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2011 Pop (ABS 2011 Census) – </w:t>
      </w:r>
      <w:r w:rsidRPr="00367AD3">
        <w:rPr>
          <w:rFonts w:cs="Calibri"/>
          <w:szCs w:val="20"/>
        </w:rPr>
        <w:t>4460</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2972</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7321</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8600 by 2036</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Macedon Ranges Settlement Strategy</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67"/>
        </w:numPr>
        <w:tabs>
          <w:tab w:val="left" w:pos="8931"/>
        </w:tabs>
        <w:spacing w:before="20" w:after="20"/>
        <w:ind w:left="1134"/>
        <w:rPr>
          <w:rFonts w:cs="Calibri"/>
          <w:szCs w:val="20"/>
        </w:rPr>
      </w:pPr>
      <w:r w:rsidRPr="00367AD3">
        <w:rPr>
          <w:rFonts w:cs="Calibri"/>
          <w:szCs w:val="20"/>
        </w:rPr>
        <w:t>On Melbourne - Bendigo rail line.</w:t>
      </w:r>
    </w:p>
    <w:p w:rsidR="005D4215" w:rsidRPr="00367AD3" w:rsidRDefault="005D4215" w:rsidP="005D4215">
      <w:pPr>
        <w:pStyle w:val="ListParagraph"/>
        <w:numPr>
          <w:ilvl w:val="0"/>
          <w:numId w:val="67"/>
        </w:numPr>
        <w:tabs>
          <w:tab w:val="left" w:pos="8931"/>
        </w:tabs>
        <w:spacing w:before="20" w:after="20"/>
        <w:ind w:left="1134"/>
        <w:rPr>
          <w:rFonts w:cs="Calibri"/>
          <w:szCs w:val="20"/>
        </w:rPr>
      </w:pPr>
      <w:r w:rsidRPr="00367AD3">
        <w:rPr>
          <w:rFonts w:cs="Calibri"/>
          <w:szCs w:val="20"/>
        </w:rPr>
        <w:t>Attractive as a "lifestyle" town.</w:t>
      </w:r>
    </w:p>
    <w:p w:rsidR="005D4215" w:rsidRPr="00367AD3" w:rsidRDefault="005D4215" w:rsidP="005D4215">
      <w:pPr>
        <w:pStyle w:val="ListParagraph"/>
        <w:numPr>
          <w:ilvl w:val="0"/>
          <w:numId w:val="67"/>
        </w:numPr>
        <w:tabs>
          <w:tab w:val="left" w:pos="8931"/>
        </w:tabs>
        <w:spacing w:before="20" w:after="20"/>
        <w:ind w:left="1134"/>
        <w:rPr>
          <w:rFonts w:cs="Calibri"/>
          <w:szCs w:val="20"/>
        </w:rPr>
      </w:pPr>
      <w:r w:rsidRPr="00367AD3">
        <w:rPr>
          <w:rFonts w:cs="Calibri"/>
          <w:szCs w:val="20"/>
        </w:rPr>
        <w:t>Commuter town to both Melbourne and Bendigo.</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00C31A92">
        <w:rPr>
          <w:rFonts w:cs="Calibri"/>
          <w:szCs w:val="20"/>
        </w:rPr>
        <w:t>Manage and support growth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Romsey</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Macedon Ranges</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3678</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2113</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5691</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6000 by 2036</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Macedon Ranges Settlement Strategy</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68"/>
        </w:numPr>
        <w:tabs>
          <w:tab w:val="left" w:pos="8931"/>
        </w:tabs>
        <w:spacing w:before="20" w:after="20"/>
        <w:ind w:left="1134"/>
        <w:rPr>
          <w:rFonts w:cs="Calibri"/>
          <w:szCs w:val="20"/>
        </w:rPr>
      </w:pPr>
      <w:r w:rsidRPr="00367AD3">
        <w:rPr>
          <w:rFonts w:cs="Calibri"/>
          <w:szCs w:val="20"/>
        </w:rPr>
        <w:t>Out of main Melbourne - Bendigo corridor.</w:t>
      </w:r>
    </w:p>
    <w:p w:rsidR="005D4215" w:rsidRPr="00367AD3" w:rsidRDefault="005D4215" w:rsidP="005D4215">
      <w:pPr>
        <w:pStyle w:val="ListParagraph"/>
        <w:numPr>
          <w:ilvl w:val="0"/>
          <w:numId w:val="68"/>
        </w:numPr>
        <w:tabs>
          <w:tab w:val="left" w:pos="8931"/>
        </w:tabs>
        <w:spacing w:before="20" w:after="20"/>
        <w:ind w:left="1134"/>
        <w:rPr>
          <w:rFonts w:cs="Calibri"/>
          <w:szCs w:val="20"/>
        </w:rPr>
      </w:pPr>
      <w:r w:rsidRPr="00367AD3">
        <w:rPr>
          <w:rFonts w:cs="Calibri"/>
          <w:szCs w:val="20"/>
        </w:rPr>
        <w:t>More limited infrastructure available.</w:t>
      </w:r>
    </w:p>
    <w:p w:rsidR="005D4215" w:rsidRPr="00367AD3" w:rsidRDefault="005D4215" w:rsidP="005D4215">
      <w:pPr>
        <w:pStyle w:val="ListParagraph"/>
        <w:numPr>
          <w:ilvl w:val="0"/>
          <w:numId w:val="68"/>
        </w:numPr>
        <w:tabs>
          <w:tab w:val="left" w:pos="8931"/>
        </w:tabs>
        <w:spacing w:before="20" w:after="20"/>
        <w:ind w:left="1134"/>
        <w:rPr>
          <w:rFonts w:cs="Calibri"/>
          <w:szCs w:val="20"/>
        </w:rPr>
      </w:pPr>
      <w:r w:rsidRPr="00367AD3">
        <w:rPr>
          <w:rFonts w:cs="Calibri"/>
          <w:szCs w:val="20"/>
        </w:rPr>
        <w:t>No rail service.</w:t>
      </w:r>
    </w:p>
    <w:p w:rsidR="005D4215" w:rsidRPr="00367AD3" w:rsidRDefault="005D4215" w:rsidP="005D4215">
      <w:pPr>
        <w:pStyle w:val="ListParagraph"/>
        <w:numPr>
          <w:ilvl w:val="0"/>
          <w:numId w:val="68"/>
        </w:numPr>
        <w:tabs>
          <w:tab w:val="left" w:pos="8931"/>
        </w:tabs>
        <w:spacing w:before="20" w:after="20"/>
        <w:ind w:left="1134"/>
        <w:rPr>
          <w:rFonts w:cs="Calibri"/>
          <w:szCs w:val="20"/>
        </w:rPr>
      </w:pPr>
      <w:r w:rsidRPr="00367AD3">
        <w:rPr>
          <w:rFonts w:cs="Calibri"/>
          <w:szCs w:val="20"/>
        </w:rPr>
        <w:t>A need to protect both the character of the town and its surrounding higher quality agricultural land.</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008F6243">
        <w:rPr>
          <w:rFonts w:cs="Calibri"/>
          <w:szCs w:val="20"/>
        </w:rPr>
        <w:t>Low 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Riddells Creek</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Macedon Ranges</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2011 Pop (ABS 2011 Census) – </w:t>
      </w:r>
      <w:r w:rsidRPr="00367AD3">
        <w:rPr>
          <w:rFonts w:cs="Calibri"/>
          <w:szCs w:val="20"/>
        </w:rPr>
        <w:t>2976</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1463</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4342</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6100 by 2036</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Macedon Ranges Settlement Strategy</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69"/>
        </w:numPr>
        <w:tabs>
          <w:tab w:val="left" w:pos="8931"/>
        </w:tabs>
        <w:spacing w:before="20" w:after="20"/>
        <w:ind w:left="1134"/>
        <w:rPr>
          <w:rFonts w:cs="Calibri"/>
          <w:szCs w:val="20"/>
        </w:rPr>
      </w:pPr>
      <w:r w:rsidRPr="00367AD3">
        <w:rPr>
          <w:rFonts w:cs="Calibri"/>
          <w:szCs w:val="20"/>
        </w:rPr>
        <w:t>On Melbourne - Bendigo rail line.</w:t>
      </w:r>
    </w:p>
    <w:p w:rsidR="005D4215" w:rsidRPr="00367AD3" w:rsidRDefault="005D4215" w:rsidP="005D4215">
      <w:pPr>
        <w:pStyle w:val="ListParagraph"/>
        <w:numPr>
          <w:ilvl w:val="0"/>
          <w:numId w:val="69"/>
        </w:numPr>
        <w:tabs>
          <w:tab w:val="left" w:pos="8931"/>
        </w:tabs>
        <w:spacing w:before="20" w:after="20"/>
        <w:ind w:left="1134"/>
        <w:rPr>
          <w:rFonts w:cs="Calibri"/>
          <w:szCs w:val="20"/>
        </w:rPr>
      </w:pPr>
      <w:r w:rsidRPr="00367AD3">
        <w:rPr>
          <w:rFonts w:cs="Calibri"/>
          <w:szCs w:val="20"/>
        </w:rPr>
        <w:t>Attractive town for commuters.</w:t>
      </w:r>
    </w:p>
    <w:p w:rsidR="005D4215" w:rsidRPr="00367AD3" w:rsidRDefault="005D4215" w:rsidP="005D4215">
      <w:pPr>
        <w:pStyle w:val="ListParagraph"/>
        <w:numPr>
          <w:ilvl w:val="0"/>
          <w:numId w:val="69"/>
        </w:numPr>
        <w:tabs>
          <w:tab w:val="left" w:pos="8931"/>
        </w:tabs>
        <w:spacing w:before="20" w:after="20"/>
        <w:ind w:left="1134"/>
        <w:rPr>
          <w:rFonts w:cs="Calibri"/>
          <w:szCs w:val="20"/>
        </w:rPr>
      </w:pPr>
      <w:r w:rsidRPr="00367AD3">
        <w:rPr>
          <w:rFonts w:cs="Calibri"/>
          <w:szCs w:val="20"/>
        </w:rPr>
        <w:t>Has a potential fire risk to the north and other environmental constraints.</w:t>
      </w:r>
    </w:p>
    <w:p w:rsidR="005D4215" w:rsidRPr="00367AD3" w:rsidRDefault="005D4215" w:rsidP="005D4215">
      <w:pPr>
        <w:pStyle w:val="ListParagraph"/>
        <w:numPr>
          <w:ilvl w:val="0"/>
          <w:numId w:val="69"/>
        </w:numPr>
        <w:tabs>
          <w:tab w:val="left" w:pos="8931"/>
        </w:tabs>
        <w:spacing w:before="20" w:after="20"/>
        <w:ind w:left="1134"/>
        <w:rPr>
          <w:rFonts w:cs="Calibri"/>
          <w:szCs w:val="20"/>
        </w:rPr>
      </w:pPr>
      <w:r w:rsidRPr="00367AD3">
        <w:rPr>
          <w:rFonts w:cs="Calibri"/>
          <w:szCs w:val="20"/>
        </w:rPr>
        <w:t>Growth in this settlement needs to consider these constraints however there is considered to be scope for growth.</w:t>
      </w:r>
    </w:p>
    <w:p w:rsidR="005D4215" w:rsidRPr="00367AD3" w:rsidRDefault="005D4215" w:rsidP="005D4215">
      <w:pPr>
        <w:pStyle w:val="ListParagraph"/>
        <w:numPr>
          <w:ilvl w:val="0"/>
          <w:numId w:val="69"/>
        </w:numPr>
        <w:tabs>
          <w:tab w:val="left" w:pos="8931"/>
        </w:tabs>
        <w:spacing w:before="20" w:after="20"/>
        <w:ind w:left="1134"/>
        <w:rPr>
          <w:rFonts w:cs="Calibri"/>
          <w:szCs w:val="20"/>
        </w:rPr>
      </w:pPr>
      <w:r w:rsidRPr="00367AD3">
        <w:rPr>
          <w:rFonts w:cs="Calibri"/>
          <w:szCs w:val="20"/>
        </w:rPr>
        <w:t>Not enough land supply to accommodate MRSS recommended population projection.</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008F6243">
        <w:rPr>
          <w:rFonts w:cs="Calibri"/>
          <w:szCs w:val="20"/>
        </w:rPr>
        <w:t>Low 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Lancefield</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Macedon Ranges</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1262</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1164</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2380</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3000 by 2036</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Macedon Ranges Settlement Strategy</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70"/>
        </w:numPr>
        <w:tabs>
          <w:tab w:val="left" w:pos="8931"/>
        </w:tabs>
        <w:spacing w:before="20" w:after="20"/>
        <w:ind w:left="1134"/>
        <w:rPr>
          <w:rFonts w:cs="Calibri"/>
          <w:szCs w:val="20"/>
        </w:rPr>
      </w:pPr>
      <w:r w:rsidRPr="00367AD3">
        <w:rPr>
          <w:rFonts w:cs="Calibri"/>
          <w:szCs w:val="20"/>
        </w:rPr>
        <w:t>More limited infrastructure available.</w:t>
      </w:r>
    </w:p>
    <w:p w:rsidR="005D4215" w:rsidRPr="00367AD3" w:rsidRDefault="005D4215" w:rsidP="005D4215">
      <w:pPr>
        <w:pStyle w:val="ListParagraph"/>
        <w:numPr>
          <w:ilvl w:val="0"/>
          <w:numId w:val="70"/>
        </w:numPr>
        <w:tabs>
          <w:tab w:val="left" w:pos="8931"/>
        </w:tabs>
        <w:spacing w:before="20" w:after="20"/>
        <w:ind w:left="1134"/>
        <w:rPr>
          <w:rFonts w:cs="Calibri"/>
          <w:szCs w:val="20"/>
        </w:rPr>
      </w:pPr>
      <w:r w:rsidRPr="00367AD3">
        <w:rPr>
          <w:rFonts w:cs="Calibri"/>
          <w:szCs w:val="20"/>
        </w:rPr>
        <w:t>A need to protect both the character of the town and its surrounding higher quality agricultural land.</w:t>
      </w:r>
    </w:p>
    <w:p w:rsidR="005D4215" w:rsidRPr="00367AD3" w:rsidRDefault="005D4215" w:rsidP="005D4215">
      <w:pPr>
        <w:pStyle w:val="ListParagraph"/>
        <w:numPr>
          <w:ilvl w:val="0"/>
          <w:numId w:val="70"/>
        </w:numPr>
        <w:tabs>
          <w:tab w:val="left" w:pos="8931"/>
        </w:tabs>
        <w:spacing w:before="20" w:after="20"/>
        <w:ind w:left="1134"/>
        <w:rPr>
          <w:rFonts w:cs="Calibri"/>
          <w:szCs w:val="20"/>
        </w:rPr>
      </w:pPr>
      <w:r w:rsidRPr="00367AD3">
        <w:rPr>
          <w:rFonts w:cs="Calibri"/>
          <w:szCs w:val="20"/>
        </w:rPr>
        <w:t xml:space="preserve">Not as well serviced as nearby towns of </w:t>
      </w:r>
      <w:proofErr w:type="spellStart"/>
      <w:r w:rsidRPr="00367AD3">
        <w:rPr>
          <w:rFonts w:cs="Calibri"/>
          <w:szCs w:val="20"/>
        </w:rPr>
        <w:t>Kilmore</w:t>
      </w:r>
      <w:proofErr w:type="spellEnd"/>
      <w:r w:rsidRPr="00367AD3">
        <w:rPr>
          <w:rFonts w:cs="Calibri"/>
          <w:szCs w:val="20"/>
        </w:rPr>
        <w:t xml:space="preserve">, </w:t>
      </w:r>
      <w:proofErr w:type="spellStart"/>
      <w:r w:rsidRPr="00367AD3">
        <w:rPr>
          <w:rFonts w:cs="Calibri"/>
          <w:szCs w:val="20"/>
        </w:rPr>
        <w:t>Romsey</w:t>
      </w:r>
      <w:proofErr w:type="spellEnd"/>
      <w:r w:rsidRPr="00367AD3">
        <w:rPr>
          <w:rFonts w:cs="Calibri"/>
          <w:szCs w:val="20"/>
        </w:rPr>
        <w:t xml:space="preserve"> and </w:t>
      </w:r>
      <w:proofErr w:type="spellStart"/>
      <w:r w:rsidRPr="00367AD3">
        <w:rPr>
          <w:rFonts w:cs="Calibri"/>
          <w:szCs w:val="20"/>
        </w:rPr>
        <w:t>Riddell</w:t>
      </w:r>
      <w:r w:rsidR="00C31A92">
        <w:rPr>
          <w:rFonts w:cs="Calibri"/>
          <w:szCs w:val="20"/>
        </w:rPr>
        <w:t>s</w:t>
      </w:r>
      <w:proofErr w:type="spellEnd"/>
      <w:r w:rsidRPr="00367AD3">
        <w:rPr>
          <w:rFonts w:cs="Calibri"/>
          <w:szCs w:val="20"/>
        </w:rPr>
        <w:t xml:space="preserve"> Creek.</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Malmsbury</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Macedon Ranges</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612</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277</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922</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900 by 2036</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Macedon Ranges Settlement Strategy</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71"/>
        </w:numPr>
        <w:tabs>
          <w:tab w:val="left" w:pos="8931"/>
        </w:tabs>
        <w:spacing w:before="20" w:after="20"/>
        <w:ind w:left="1134"/>
        <w:rPr>
          <w:rFonts w:cs="Calibri"/>
          <w:szCs w:val="20"/>
        </w:rPr>
      </w:pPr>
      <w:r w:rsidRPr="00367AD3">
        <w:rPr>
          <w:rFonts w:cs="Calibri"/>
          <w:szCs w:val="20"/>
        </w:rPr>
        <w:t>On Melbourne - Bendigo rail line, with train stop.</w:t>
      </w:r>
    </w:p>
    <w:p w:rsidR="005D4215" w:rsidRPr="00367AD3" w:rsidRDefault="005D4215" w:rsidP="005D4215">
      <w:pPr>
        <w:pStyle w:val="ListParagraph"/>
        <w:numPr>
          <w:ilvl w:val="0"/>
          <w:numId w:val="71"/>
        </w:numPr>
        <w:tabs>
          <w:tab w:val="left" w:pos="8931"/>
        </w:tabs>
        <w:spacing w:before="20" w:after="20"/>
        <w:ind w:left="1134"/>
        <w:rPr>
          <w:rFonts w:cs="Calibri"/>
          <w:szCs w:val="20"/>
        </w:rPr>
      </w:pPr>
      <w:r w:rsidRPr="00367AD3">
        <w:rPr>
          <w:rFonts w:cs="Calibri"/>
          <w:szCs w:val="20"/>
        </w:rPr>
        <w:t xml:space="preserve">Has more limited opportunities when hazards, environmental constraints, character issues and infrastructure limitations are </w:t>
      </w:r>
      <w:proofErr w:type="gramStart"/>
      <w:r w:rsidRPr="00367AD3">
        <w:rPr>
          <w:rFonts w:cs="Calibri"/>
          <w:szCs w:val="20"/>
        </w:rPr>
        <w:t>considered.</w:t>
      </w:r>
      <w:proofErr w:type="gramEnd"/>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Woodend</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Macedon Ranges</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3415</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1210</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4599</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5000 by 2036</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Macedon Ranges Settlement Strategy</w:t>
      </w:r>
    </w:p>
    <w:p w:rsidR="005D4215" w:rsidRPr="00367AD3" w:rsidRDefault="005D4215" w:rsidP="005D4215">
      <w:pPr>
        <w:pStyle w:val="bt"/>
        <w:numPr>
          <w:ilvl w:val="0"/>
          <w:numId w:val="51"/>
        </w:numPr>
        <w:spacing w:before="60" w:after="0"/>
        <w:rPr>
          <w:szCs w:val="20"/>
        </w:rPr>
      </w:pPr>
      <w:r w:rsidRPr="00367AD3">
        <w:rPr>
          <w:szCs w:val="20"/>
        </w:rPr>
        <w:t>Comments –</w:t>
      </w:r>
    </w:p>
    <w:p w:rsidR="005D4215" w:rsidRPr="00367AD3" w:rsidRDefault="005D4215" w:rsidP="005D4215">
      <w:pPr>
        <w:pStyle w:val="ListParagraph"/>
        <w:numPr>
          <w:ilvl w:val="0"/>
          <w:numId w:val="72"/>
        </w:numPr>
        <w:tabs>
          <w:tab w:val="left" w:pos="8931"/>
        </w:tabs>
        <w:spacing w:before="20" w:after="20"/>
        <w:ind w:left="1134"/>
        <w:rPr>
          <w:rFonts w:cs="Calibri"/>
          <w:szCs w:val="20"/>
        </w:rPr>
      </w:pPr>
      <w:r w:rsidRPr="00367AD3">
        <w:rPr>
          <w:rFonts w:cs="Calibri"/>
          <w:szCs w:val="20"/>
        </w:rPr>
        <w:t>On Melbourne - Bendigo rail line.</w:t>
      </w:r>
    </w:p>
    <w:p w:rsidR="005D4215" w:rsidRPr="00367AD3" w:rsidRDefault="005D4215" w:rsidP="005D4215">
      <w:pPr>
        <w:pStyle w:val="ListParagraph"/>
        <w:numPr>
          <w:ilvl w:val="0"/>
          <w:numId w:val="72"/>
        </w:numPr>
        <w:tabs>
          <w:tab w:val="left" w:pos="8931"/>
        </w:tabs>
        <w:spacing w:before="20" w:after="20"/>
        <w:ind w:left="1134"/>
        <w:rPr>
          <w:rFonts w:cs="Calibri"/>
          <w:szCs w:val="20"/>
        </w:rPr>
      </w:pPr>
      <w:r w:rsidRPr="00367AD3">
        <w:rPr>
          <w:rFonts w:cs="Calibri"/>
          <w:szCs w:val="20"/>
        </w:rPr>
        <w:t>Has limitations relating to flood</w:t>
      </w:r>
      <w:r w:rsidR="00C31A92">
        <w:rPr>
          <w:rFonts w:cs="Calibri"/>
          <w:szCs w:val="20"/>
        </w:rPr>
        <w:t>ing</w:t>
      </w:r>
      <w:r w:rsidRPr="00367AD3">
        <w:rPr>
          <w:rFonts w:cs="Calibri"/>
          <w:szCs w:val="20"/>
        </w:rPr>
        <w:t>, native vegetation and significant wildfire risk as well as demands to preserve the tourism role of the town.</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Macedon / Mount Macedon</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Macedon Ranges</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2631</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166</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2747</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Macedon 1400 Mt Macedon 1100</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Macedon Ranges Settlement Strategy</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bt"/>
        <w:numPr>
          <w:ilvl w:val="0"/>
          <w:numId w:val="73"/>
        </w:numPr>
        <w:spacing w:before="60" w:after="0"/>
        <w:ind w:left="1134"/>
        <w:rPr>
          <w:szCs w:val="20"/>
        </w:rPr>
      </w:pPr>
      <w:r w:rsidRPr="00367AD3">
        <w:rPr>
          <w:rFonts w:cs="Calibri"/>
          <w:szCs w:val="20"/>
        </w:rPr>
        <w:t>MRSS recommends restricted development in recognition of the high wildfire risk and environmental constraints, which are such that no growth should be facilitated.</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Inglewood</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Loddon</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711</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722</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74"/>
        </w:numPr>
        <w:tabs>
          <w:tab w:val="left" w:pos="8931"/>
        </w:tabs>
        <w:spacing w:before="20" w:after="20"/>
        <w:ind w:left="1134"/>
        <w:rPr>
          <w:rFonts w:cs="Calibri"/>
          <w:szCs w:val="20"/>
        </w:rPr>
      </w:pPr>
      <w:r w:rsidRPr="00367AD3">
        <w:rPr>
          <w:rFonts w:cs="Calibri"/>
          <w:szCs w:val="20"/>
        </w:rPr>
        <w:t>45km from Bendigo.</w:t>
      </w:r>
    </w:p>
    <w:p w:rsidR="005D4215" w:rsidRPr="00367AD3" w:rsidRDefault="005D4215" w:rsidP="005D4215">
      <w:pPr>
        <w:pStyle w:val="ListParagraph"/>
        <w:numPr>
          <w:ilvl w:val="0"/>
          <w:numId w:val="74"/>
        </w:numPr>
        <w:tabs>
          <w:tab w:val="left" w:pos="8931"/>
        </w:tabs>
        <w:spacing w:before="20" w:after="20"/>
        <w:ind w:left="1134"/>
        <w:rPr>
          <w:rFonts w:cs="Calibri"/>
          <w:szCs w:val="20"/>
        </w:rPr>
      </w:pPr>
      <w:r w:rsidRPr="00367AD3">
        <w:rPr>
          <w:rFonts w:cs="Calibri"/>
          <w:szCs w:val="20"/>
        </w:rPr>
        <w:t>On outer edge of Bendigo's hinterland.</w:t>
      </w:r>
    </w:p>
    <w:p w:rsidR="005D4215" w:rsidRPr="00367AD3" w:rsidRDefault="005D4215" w:rsidP="005D4215">
      <w:pPr>
        <w:pStyle w:val="ListParagraph"/>
        <w:numPr>
          <w:ilvl w:val="0"/>
          <w:numId w:val="74"/>
        </w:numPr>
        <w:tabs>
          <w:tab w:val="left" w:pos="8931"/>
        </w:tabs>
        <w:spacing w:before="20" w:after="20"/>
        <w:ind w:left="1134"/>
        <w:rPr>
          <w:rFonts w:cs="Calibri"/>
          <w:szCs w:val="20"/>
        </w:rPr>
      </w:pPr>
      <w:r w:rsidRPr="00367AD3">
        <w:rPr>
          <w:rFonts w:cs="Calibri"/>
          <w:szCs w:val="20"/>
        </w:rPr>
        <w:t>Close to forest areas with fire risk to western side of the town.</w:t>
      </w:r>
    </w:p>
    <w:p w:rsidR="005D4215" w:rsidRPr="00367AD3" w:rsidRDefault="005D4215" w:rsidP="005D4215">
      <w:pPr>
        <w:pStyle w:val="ListParagraph"/>
        <w:numPr>
          <w:ilvl w:val="0"/>
          <w:numId w:val="74"/>
        </w:numPr>
        <w:tabs>
          <w:tab w:val="left" w:pos="8931"/>
        </w:tabs>
        <w:spacing w:before="20" w:after="20"/>
        <w:ind w:left="1134"/>
        <w:rPr>
          <w:rFonts w:cs="Calibri"/>
          <w:szCs w:val="20"/>
        </w:rPr>
      </w:pPr>
      <w:r w:rsidRPr="00367AD3">
        <w:rPr>
          <w:rFonts w:cs="Calibri"/>
          <w:szCs w:val="20"/>
        </w:rPr>
        <w:t>On freight only rail line.</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00C31A92">
        <w:rPr>
          <w:rFonts w:cs="Calibri"/>
          <w:szCs w:val="20"/>
        </w:rPr>
        <w:t>Encourage sustainable growth in Bendigo’s hinterland towns</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Bridgewater</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Loddon</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363</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Current planned growth capacity (2) – </w:t>
      </w:r>
      <w:r w:rsidRPr="00367AD3">
        <w:rPr>
          <w:rFonts w:cs="Calibri"/>
          <w:szCs w:val="20"/>
        </w:rPr>
        <w:t>21</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344</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75"/>
        </w:numPr>
        <w:tabs>
          <w:tab w:val="left" w:pos="8931"/>
        </w:tabs>
        <w:spacing w:before="20" w:after="20"/>
        <w:ind w:left="1134"/>
        <w:rPr>
          <w:rFonts w:cs="Calibri"/>
          <w:szCs w:val="20"/>
        </w:rPr>
      </w:pPr>
      <w:r w:rsidRPr="00367AD3">
        <w:rPr>
          <w:rFonts w:cs="Calibri"/>
          <w:szCs w:val="20"/>
        </w:rPr>
        <w:t>38km from Bendigo.</w:t>
      </w:r>
    </w:p>
    <w:p w:rsidR="005D4215" w:rsidRPr="00367AD3" w:rsidRDefault="005D4215" w:rsidP="005D4215">
      <w:pPr>
        <w:pStyle w:val="ListParagraph"/>
        <w:numPr>
          <w:ilvl w:val="0"/>
          <w:numId w:val="75"/>
        </w:numPr>
        <w:tabs>
          <w:tab w:val="left" w:pos="8931"/>
        </w:tabs>
        <w:spacing w:before="20" w:after="20"/>
        <w:ind w:left="1134"/>
        <w:rPr>
          <w:rFonts w:cs="Calibri"/>
          <w:szCs w:val="20"/>
        </w:rPr>
      </w:pPr>
      <w:r w:rsidRPr="00367AD3">
        <w:rPr>
          <w:rFonts w:cs="Calibri"/>
          <w:szCs w:val="20"/>
        </w:rPr>
        <w:t>Significant flood risk.</w:t>
      </w:r>
    </w:p>
    <w:p w:rsidR="005D4215" w:rsidRPr="00367AD3" w:rsidRDefault="005D4215" w:rsidP="005D4215">
      <w:pPr>
        <w:pStyle w:val="ListParagraph"/>
        <w:numPr>
          <w:ilvl w:val="0"/>
          <w:numId w:val="75"/>
        </w:numPr>
        <w:tabs>
          <w:tab w:val="left" w:pos="8931"/>
        </w:tabs>
        <w:spacing w:before="20" w:after="20"/>
        <w:ind w:left="1134"/>
        <w:rPr>
          <w:rFonts w:cs="Calibri"/>
          <w:szCs w:val="20"/>
        </w:rPr>
      </w:pPr>
      <w:r w:rsidRPr="00367AD3">
        <w:rPr>
          <w:rFonts w:cs="Calibri"/>
          <w:szCs w:val="20"/>
        </w:rPr>
        <w:t>Valuable agricultural land on river flats surrounding town.</w:t>
      </w:r>
    </w:p>
    <w:p w:rsidR="005D4215" w:rsidRPr="00367AD3" w:rsidRDefault="005D4215" w:rsidP="005D4215">
      <w:pPr>
        <w:pStyle w:val="ListParagraph"/>
        <w:numPr>
          <w:ilvl w:val="0"/>
          <w:numId w:val="75"/>
        </w:numPr>
        <w:tabs>
          <w:tab w:val="left" w:pos="8931"/>
        </w:tabs>
        <w:spacing w:before="20" w:after="20"/>
        <w:ind w:left="1134"/>
        <w:rPr>
          <w:rFonts w:cs="Calibri"/>
          <w:szCs w:val="20"/>
        </w:rPr>
      </w:pPr>
      <w:r w:rsidRPr="00367AD3">
        <w:rPr>
          <w:rFonts w:cs="Calibri"/>
          <w:szCs w:val="20"/>
        </w:rPr>
        <w:t>Possible small town alternative lifestyle alternative to Bendigo.</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00C31A92">
        <w:rPr>
          <w:rFonts w:cs="Calibri"/>
          <w:szCs w:val="20"/>
        </w:rPr>
        <w:t>Encourage sustainable growth in Bendigo’s hinterland towns</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Boort</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Loddon</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760</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t xml:space="preserve">Current planned growth capacity (2) – </w:t>
      </w:r>
      <w:r w:rsidRPr="00367AD3">
        <w:rPr>
          <w:rFonts w:cs="Calibri"/>
          <w:szCs w:val="20"/>
        </w:rPr>
        <w:t>33</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r w:rsidRPr="00367AD3">
        <w:rPr>
          <w:rFonts w:cs="Calibri"/>
          <w:szCs w:val="20"/>
        </w:rPr>
        <w:t>773</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76"/>
        </w:numPr>
        <w:tabs>
          <w:tab w:val="left" w:pos="8931"/>
        </w:tabs>
        <w:spacing w:before="20" w:after="20"/>
        <w:ind w:left="1134"/>
        <w:rPr>
          <w:rFonts w:cs="Calibri"/>
          <w:szCs w:val="20"/>
        </w:rPr>
      </w:pPr>
      <w:r w:rsidRPr="00367AD3">
        <w:rPr>
          <w:rFonts w:cs="Calibri"/>
          <w:szCs w:val="20"/>
        </w:rPr>
        <w:t>Agricultural centre.</w:t>
      </w:r>
    </w:p>
    <w:p w:rsidR="005D4215" w:rsidRPr="00367AD3" w:rsidRDefault="005D4215" w:rsidP="005D4215">
      <w:pPr>
        <w:pStyle w:val="ListParagraph"/>
        <w:numPr>
          <w:ilvl w:val="0"/>
          <w:numId w:val="76"/>
        </w:numPr>
        <w:tabs>
          <w:tab w:val="left" w:pos="8931"/>
        </w:tabs>
        <w:spacing w:before="20" w:after="20"/>
        <w:ind w:left="1134"/>
        <w:rPr>
          <w:rFonts w:cs="Calibri"/>
          <w:szCs w:val="20"/>
        </w:rPr>
      </w:pPr>
      <w:r w:rsidRPr="00367AD3">
        <w:rPr>
          <w:rFonts w:cs="Calibri"/>
          <w:szCs w:val="20"/>
        </w:rPr>
        <w:t>Distant from regional centres.</w:t>
      </w:r>
    </w:p>
    <w:p w:rsidR="005D4215" w:rsidRPr="00367AD3" w:rsidRDefault="005D4215" w:rsidP="005D4215">
      <w:pPr>
        <w:pStyle w:val="ListParagraph"/>
        <w:numPr>
          <w:ilvl w:val="0"/>
          <w:numId w:val="76"/>
        </w:numPr>
        <w:tabs>
          <w:tab w:val="left" w:pos="8931"/>
        </w:tabs>
        <w:spacing w:before="20" w:after="20"/>
        <w:ind w:left="1134"/>
        <w:rPr>
          <w:rFonts w:cs="Calibri"/>
          <w:szCs w:val="20"/>
        </w:rPr>
      </w:pPr>
      <w:r w:rsidRPr="00367AD3">
        <w:rPr>
          <w:rFonts w:cs="Calibri"/>
          <w:szCs w:val="20"/>
        </w:rPr>
        <w:t>Low growth.</w:t>
      </w:r>
    </w:p>
    <w:p w:rsidR="005D4215" w:rsidRPr="00367AD3"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5D4215" w:rsidRPr="00367AD3" w:rsidRDefault="005D4215" w:rsidP="005D4215">
      <w:pPr>
        <w:pStyle w:val="bt"/>
        <w:spacing w:before="60" w:after="0"/>
        <w:rPr>
          <w:b/>
          <w:szCs w:val="20"/>
        </w:rPr>
      </w:pPr>
      <w:r w:rsidRPr="00367AD3">
        <w:rPr>
          <w:b/>
          <w:szCs w:val="20"/>
        </w:rPr>
        <w:t xml:space="preserve">Settlement: </w:t>
      </w:r>
      <w:r w:rsidRPr="00367AD3">
        <w:rPr>
          <w:rFonts w:cs="Calibri"/>
          <w:b/>
          <w:szCs w:val="20"/>
        </w:rPr>
        <w:t>Wedderburn</w:t>
      </w:r>
    </w:p>
    <w:p w:rsidR="005D4215" w:rsidRPr="00367AD3" w:rsidRDefault="005D4215" w:rsidP="005D4215">
      <w:pPr>
        <w:pStyle w:val="bt"/>
        <w:numPr>
          <w:ilvl w:val="0"/>
          <w:numId w:val="51"/>
        </w:numPr>
        <w:spacing w:before="60" w:after="0"/>
        <w:rPr>
          <w:szCs w:val="20"/>
        </w:rPr>
      </w:pPr>
      <w:r w:rsidRPr="00367AD3">
        <w:rPr>
          <w:szCs w:val="20"/>
        </w:rPr>
        <w:t xml:space="preserve">LGA – </w:t>
      </w:r>
      <w:r w:rsidRPr="00367AD3">
        <w:rPr>
          <w:rFonts w:cs="Calibri"/>
          <w:szCs w:val="20"/>
        </w:rPr>
        <w:t>Loddon</w:t>
      </w:r>
    </w:p>
    <w:p w:rsidR="005D4215" w:rsidRPr="00367AD3" w:rsidRDefault="005D4215" w:rsidP="005D4215">
      <w:pPr>
        <w:pStyle w:val="bt"/>
        <w:numPr>
          <w:ilvl w:val="0"/>
          <w:numId w:val="51"/>
        </w:numPr>
        <w:spacing w:before="60" w:after="0"/>
        <w:rPr>
          <w:szCs w:val="20"/>
        </w:rPr>
      </w:pPr>
      <w:r w:rsidRPr="00367AD3">
        <w:rPr>
          <w:szCs w:val="20"/>
        </w:rPr>
        <w:t xml:space="preserve">Settlement Type – </w:t>
      </w:r>
      <w:r w:rsidRPr="00367AD3">
        <w:rPr>
          <w:rFonts w:cs="Calibri"/>
          <w:szCs w:val="20"/>
        </w:rPr>
        <w:t>Town</w:t>
      </w:r>
    </w:p>
    <w:p w:rsidR="005D4215" w:rsidRPr="00367AD3" w:rsidRDefault="005D4215" w:rsidP="005D4215">
      <w:pPr>
        <w:pStyle w:val="bt"/>
        <w:numPr>
          <w:ilvl w:val="0"/>
          <w:numId w:val="51"/>
        </w:numPr>
        <w:spacing w:before="60" w:after="0"/>
        <w:rPr>
          <w:szCs w:val="20"/>
        </w:rPr>
      </w:pPr>
      <w:r w:rsidRPr="00367AD3">
        <w:rPr>
          <w:szCs w:val="20"/>
        </w:rPr>
        <w:t xml:space="preserve">2011 Pop (ABS 2011 Census) – </w:t>
      </w:r>
      <w:r w:rsidRPr="00367AD3">
        <w:rPr>
          <w:rFonts w:cs="Calibri"/>
          <w:szCs w:val="20"/>
        </w:rPr>
        <w:t>680</w:t>
      </w:r>
    </w:p>
    <w:p w:rsidR="005D4215" w:rsidRPr="00367AD3" w:rsidRDefault="005D4215" w:rsidP="005D4215">
      <w:pPr>
        <w:pStyle w:val="bt"/>
        <w:numPr>
          <w:ilvl w:val="0"/>
          <w:numId w:val="51"/>
        </w:numPr>
        <w:spacing w:before="60" w:after="0"/>
        <w:rPr>
          <w:szCs w:val="20"/>
        </w:rPr>
      </w:pPr>
      <w:r w:rsidRPr="00367AD3">
        <w:rPr>
          <w:szCs w:val="20"/>
        </w:rPr>
        <w:t xml:space="preserve">Projected Population 2031 (1) ERP – </w:t>
      </w:r>
      <w:r w:rsidRPr="00367AD3">
        <w:rPr>
          <w:rFonts w:cs="Calibri"/>
          <w:szCs w:val="20"/>
        </w:rPr>
        <w:t>Not available</w:t>
      </w:r>
    </w:p>
    <w:p w:rsidR="005D4215" w:rsidRPr="00367AD3" w:rsidRDefault="005D4215" w:rsidP="005D4215">
      <w:pPr>
        <w:pStyle w:val="bt"/>
        <w:numPr>
          <w:ilvl w:val="0"/>
          <w:numId w:val="51"/>
        </w:numPr>
        <w:spacing w:before="60" w:after="0"/>
        <w:rPr>
          <w:szCs w:val="20"/>
        </w:rPr>
      </w:pPr>
      <w:r w:rsidRPr="00367AD3">
        <w:rPr>
          <w:szCs w:val="20"/>
        </w:rPr>
        <w:lastRenderedPageBreak/>
        <w:t xml:space="preserve">Current planned growth capacity (2) – </w:t>
      </w:r>
    </w:p>
    <w:p w:rsidR="005D4215" w:rsidRPr="00367AD3" w:rsidRDefault="005D4215" w:rsidP="005D4215">
      <w:pPr>
        <w:pStyle w:val="bt"/>
        <w:numPr>
          <w:ilvl w:val="0"/>
          <w:numId w:val="51"/>
        </w:numPr>
        <w:spacing w:before="60" w:after="0"/>
        <w:rPr>
          <w:szCs w:val="20"/>
        </w:rPr>
      </w:pPr>
      <w:r w:rsidRPr="00367AD3">
        <w:rPr>
          <w:szCs w:val="20"/>
        </w:rPr>
        <w:t xml:space="preserve">Total population capacity (3) – </w:t>
      </w:r>
    </w:p>
    <w:p w:rsidR="005D4215" w:rsidRPr="00367AD3" w:rsidRDefault="005D4215" w:rsidP="005D4215">
      <w:pPr>
        <w:pStyle w:val="bt"/>
        <w:numPr>
          <w:ilvl w:val="0"/>
          <w:numId w:val="51"/>
        </w:numPr>
        <w:spacing w:before="60" w:after="0"/>
        <w:rPr>
          <w:szCs w:val="20"/>
        </w:rPr>
      </w:pPr>
      <w:r w:rsidRPr="00367AD3">
        <w:rPr>
          <w:szCs w:val="20"/>
        </w:rPr>
        <w:t xml:space="preserve">Planned future population (4) – </w:t>
      </w:r>
      <w:r w:rsidRPr="00367AD3">
        <w:rPr>
          <w:rFonts w:cs="Calibri"/>
          <w:szCs w:val="20"/>
        </w:rPr>
        <w:t>Not available for smaller towns</w:t>
      </w:r>
    </w:p>
    <w:p w:rsidR="005D4215" w:rsidRPr="00367AD3" w:rsidRDefault="005D4215" w:rsidP="005D4215">
      <w:pPr>
        <w:pStyle w:val="bt"/>
        <w:numPr>
          <w:ilvl w:val="0"/>
          <w:numId w:val="51"/>
        </w:numPr>
        <w:spacing w:before="60" w:after="0"/>
        <w:rPr>
          <w:szCs w:val="20"/>
        </w:rPr>
      </w:pPr>
      <w:r w:rsidRPr="00367AD3">
        <w:rPr>
          <w:szCs w:val="20"/>
        </w:rPr>
        <w:t xml:space="preserve">Source of planned growth figure – </w:t>
      </w:r>
      <w:r w:rsidRPr="00367AD3">
        <w:rPr>
          <w:rFonts w:cs="Calibri"/>
          <w:szCs w:val="20"/>
        </w:rPr>
        <w:t>n/a</w:t>
      </w:r>
    </w:p>
    <w:p w:rsidR="005D4215" w:rsidRPr="00367AD3" w:rsidRDefault="005D4215" w:rsidP="005D4215">
      <w:pPr>
        <w:pStyle w:val="bt"/>
        <w:numPr>
          <w:ilvl w:val="0"/>
          <w:numId w:val="51"/>
        </w:numPr>
        <w:spacing w:before="60" w:after="0"/>
        <w:rPr>
          <w:szCs w:val="20"/>
        </w:rPr>
      </w:pPr>
      <w:r w:rsidRPr="00367AD3">
        <w:rPr>
          <w:szCs w:val="20"/>
        </w:rPr>
        <w:t xml:space="preserve">Comments – </w:t>
      </w:r>
    </w:p>
    <w:p w:rsidR="005D4215" w:rsidRPr="00367AD3" w:rsidRDefault="005D4215" w:rsidP="005D4215">
      <w:pPr>
        <w:pStyle w:val="ListParagraph"/>
        <w:numPr>
          <w:ilvl w:val="0"/>
          <w:numId w:val="77"/>
        </w:numPr>
        <w:tabs>
          <w:tab w:val="left" w:pos="8931"/>
        </w:tabs>
        <w:spacing w:before="20" w:after="20"/>
        <w:ind w:left="1134"/>
        <w:rPr>
          <w:rFonts w:cs="Calibri"/>
          <w:szCs w:val="20"/>
        </w:rPr>
      </w:pPr>
      <w:r w:rsidRPr="00367AD3">
        <w:rPr>
          <w:rFonts w:cs="Calibri"/>
          <w:szCs w:val="20"/>
        </w:rPr>
        <w:t>73km from Bendigo.</w:t>
      </w:r>
    </w:p>
    <w:p w:rsidR="005D4215" w:rsidRPr="00367AD3" w:rsidRDefault="005D4215" w:rsidP="005D4215">
      <w:pPr>
        <w:pStyle w:val="ListParagraph"/>
        <w:numPr>
          <w:ilvl w:val="0"/>
          <w:numId w:val="77"/>
        </w:numPr>
        <w:tabs>
          <w:tab w:val="left" w:pos="8931"/>
        </w:tabs>
        <w:spacing w:before="20" w:after="20"/>
        <w:ind w:left="1134"/>
        <w:rPr>
          <w:rFonts w:cs="Calibri"/>
          <w:szCs w:val="20"/>
        </w:rPr>
      </w:pPr>
      <w:r w:rsidRPr="00367AD3">
        <w:rPr>
          <w:rFonts w:cs="Calibri"/>
          <w:szCs w:val="20"/>
        </w:rPr>
        <w:t>Farming town.</w:t>
      </w:r>
    </w:p>
    <w:p w:rsidR="005D4215" w:rsidRPr="00367AD3" w:rsidRDefault="005D4215" w:rsidP="005D4215">
      <w:pPr>
        <w:pStyle w:val="ListParagraph"/>
        <w:numPr>
          <w:ilvl w:val="0"/>
          <w:numId w:val="77"/>
        </w:numPr>
        <w:tabs>
          <w:tab w:val="left" w:pos="8931"/>
        </w:tabs>
        <w:spacing w:before="20" w:after="20"/>
        <w:ind w:left="1134"/>
        <w:rPr>
          <w:rFonts w:cs="Calibri"/>
          <w:szCs w:val="20"/>
        </w:rPr>
      </w:pPr>
      <w:r w:rsidRPr="00367AD3">
        <w:rPr>
          <w:rFonts w:cs="Calibri"/>
          <w:szCs w:val="20"/>
        </w:rPr>
        <w:t>Not on rail line.</w:t>
      </w:r>
    </w:p>
    <w:p w:rsidR="00C46102" w:rsidRPr="005D4215" w:rsidRDefault="005D4215" w:rsidP="005D4215">
      <w:pPr>
        <w:pStyle w:val="bt"/>
        <w:numPr>
          <w:ilvl w:val="0"/>
          <w:numId w:val="51"/>
        </w:numPr>
        <w:spacing w:before="60" w:after="0"/>
        <w:rPr>
          <w:szCs w:val="20"/>
        </w:rPr>
      </w:pPr>
      <w:r w:rsidRPr="00367AD3">
        <w:rPr>
          <w:szCs w:val="20"/>
        </w:rPr>
        <w:t xml:space="preserve">Growth Type Recommendation (5) as per Future Settlement Growth Directions Map 9 Regional Growth Plan – </w:t>
      </w:r>
      <w:r w:rsidRPr="00367AD3">
        <w:rPr>
          <w:rFonts w:cs="Calibri"/>
          <w:szCs w:val="20"/>
        </w:rPr>
        <w:t xml:space="preserve">Low </w:t>
      </w:r>
      <w:r w:rsidR="00C31A92">
        <w:rPr>
          <w:rFonts w:cs="Calibri"/>
          <w:szCs w:val="20"/>
        </w:rPr>
        <w:t>g</w:t>
      </w:r>
      <w:r w:rsidRPr="00367AD3">
        <w:rPr>
          <w:rFonts w:cs="Calibri"/>
          <w:szCs w:val="20"/>
        </w:rPr>
        <w:t>rowth</w:t>
      </w:r>
    </w:p>
    <w:p w:rsidR="00C46102" w:rsidRDefault="00C46102" w:rsidP="00C46102">
      <w:pPr>
        <w:pStyle w:val="ListNumber"/>
        <w:numPr>
          <w:ilvl w:val="0"/>
          <w:numId w:val="0"/>
        </w:numPr>
        <w:tabs>
          <w:tab w:val="left" w:pos="8931"/>
        </w:tabs>
        <w:ind w:left="360"/>
      </w:pPr>
    </w:p>
    <w:p w:rsidR="00636316" w:rsidRPr="00D816F8" w:rsidRDefault="002021C2" w:rsidP="00BA2D96">
      <w:pPr>
        <w:pStyle w:val="ListNumber"/>
        <w:numPr>
          <w:ilvl w:val="0"/>
          <w:numId w:val="21"/>
        </w:numPr>
        <w:tabs>
          <w:tab w:val="left" w:pos="8931"/>
        </w:tabs>
      </w:pPr>
      <w:r w:rsidRPr="00D816F8">
        <w:t>Projected Growth and Change – The growth shown in the V</w:t>
      </w:r>
      <w:r w:rsidR="00DD0738">
        <w:t>ictoria in Future 2012</w:t>
      </w:r>
      <w:r w:rsidRPr="00D816F8">
        <w:t xml:space="preserve"> data which is based on demographic trends and changes. It also includes population decrease</w:t>
      </w:r>
      <w:r w:rsidR="00636316" w:rsidRPr="00D816F8">
        <w:t>.</w:t>
      </w:r>
      <w:r w:rsidRPr="00D816F8">
        <w:t xml:space="preserve"> </w:t>
      </w:r>
    </w:p>
    <w:p w:rsidR="002021C2" w:rsidRPr="00D816F8" w:rsidRDefault="002021C2" w:rsidP="00BA2D96">
      <w:pPr>
        <w:pStyle w:val="ListNumber"/>
        <w:numPr>
          <w:ilvl w:val="0"/>
          <w:numId w:val="21"/>
        </w:numPr>
        <w:tabs>
          <w:tab w:val="left" w:pos="8931"/>
        </w:tabs>
      </w:pPr>
      <w:r w:rsidRPr="00D816F8">
        <w:t>Current Planned Growth Capacity – The growth that can be accommodated by existing zoned land and land identified and reported in approved strateg</w:t>
      </w:r>
      <w:r w:rsidR="00636316" w:rsidRPr="00D816F8">
        <w:t>ies - calculate</w:t>
      </w:r>
      <w:r w:rsidR="00D300D3">
        <w:t>d</w:t>
      </w:r>
      <w:r w:rsidR="00636316" w:rsidRPr="00D816F8">
        <w:t xml:space="preserve"> from </w:t>
      </w:r>
      <w:r w:rsidR="00D300D3">
        <w:t>Regional Urban Development Program</w:t>
      </w:r>
      <w:r w:rsidR="00D300D3" w:rsidRPr="00D816F8">
        <w:t xml:space="preserve"> </w:t>
      </w:r>
      <w:r w:rsidR="00636316" w:rsidRPr="00D816F8">
        <w:t>data.</w:t>
      </w:r>
    </w:p>
    <w:p w:rsidR="002021C2" w:rsidRPr="00D816F8" w:rsidRDefault="002021C2" w:rsidP="00BA2D96">
      <w:pPr>
        <w:pStyle w:val="ListNumber"/>
        <w:numPr>
          <w:ilvl w:val="0"/>
          <w:numId w:val="21"/>
        </w:numPr>
        <w:tabs>
          <w:tab w:val="left" w:pos="8931"/>
        </w:tabs>
      </w:pPr>
      <w:r w:rsidRPr="00D816F8">
        <w:t>Total Population Capacity - 2011 Population plus Current Planned Growth Capacity</w:t>
      </w:r>
      <w:r w:rsidR="00A873B8" w:rsidRPr="00D816F8">
        <w:t>.</w:t>
      </w:r>
    </w:p>
    <w:p w:rsidR="002021C2" w:rsidRPr="00D816F8" w:rsidRDefault="00863F05" w:rsidP="00BA2D96">
      <w:pPr>
        <w:pStyle w:val="ListNumber"/>
        <w:numPr>
          <w:ilvl w:val="0"/>
          <w:numId w:val="21"/>
        </w:numPr>
        <w:tabs>
          <w:tab w:val="left" w:pos="8931"/>
        </w:tabs>
      </w:pPr>
      <w:r>
        <w:t>Planned</w:t>
      </w:r>
      <w:r w:rsidRPr="00D816F8">
        <w:t xml:space="preserve"> </w:t>
      </w:r>
      <w:r w:rsidR="002021C2" w:rsidRPr="00D816F8">
        <w:t xml:space="preserve">Future Population - The growth </w:t>
      </w:r>
      <w:r w:rsidR="00277820">
        <w:t>predicted for a region, town</w:t>
      </w:r>
      <w:r w:rsidR="002021C2" w:rsidRPr="00D816F8">
        <w:t xml:space="preserve"> or community</w:t>
      </w:r>
      <w:r w:rsidR="00277820">
        <w:t xml:space="preserve"> based on consideration of data including settlement plans, ABS data or population projections</w:t>
      </w:r>
      <w:r w:rsidR="002021C2" w:rsidRPr="00D816F8">
        <w:t xml:space="preserve">. It requires policy or development justification to support the </w:t>
      </w:r>
      <w:r>
        <w:t>planned</w:t>
      </w:r>
      <w:r w:rsidRPr="00D816F8">
        <w:t xml:space="preserve"> </w:t>
      </w:r>
      <w:r w:rsidR="002021C2" w:rsidRPr="00D816F8">
        <w:t>targets</w:t>
      </w:r>
      <w:r w:rsidR="00636316" w:rsidRPr="00D816F8">
        <w:t>.</w:t>
      </w:r>
      <w:r w:rsidR="002021C2" w:rsidRPr="00D816F8">
        <w:t xml:space="preserve"> For Macedon Ranges these are recommended max</w:t>
      </w:r>
      <w:r w:rsidR="00636316" w:rsidRPr="00D816F8">
        <w:t>imum</w:t>
      </w:r>
      <w:r w:rsidR="002021C2" w:rsidRPr="00D816F8">
        <w:t xml:space="preserve"> pop</w:t>
      </w:r>
      <w:r w:rsidR="00636316" w:rsidRPr="00D816F8">
        <w:t>ulation</w:t>
      </w:r>
      <w:r w:rsidR="002021C2" w:rsidRPr="00D816F8">
        <w:t xml:space="preserve"> based upon the M</w:t>
      </w:r>
      <w:r>
        <w:t xml:space="preserve">acedon </w:t>
      </w:r>
      <w:r w:rsidR="002021C2" w:rsidRPr="00D816F8">
        <w:t>R</w:t>
      </w:r>
      <w:r>
        <w:t xml:space="preserve">anges </w:t>
      </w:r>
      <w:r w:rsidR="002021C2" w:rsidRPr="00D816F8">
        <w:t>S</w:t>
      </w:r>
      <w:r>
        <w:t xml:space="preserve">ettlement </w:t>
      </w:r>
      <w:r w:rsidR="002021C2" w:rsidRPr="00D816F8">
        <w:t>S</w:t>
      </w:r>
      <w:r>
        <w:t>trategy</w:t>
      </w:r>
      <w:r w:rsidR="002021C2" w:rsidRPr="00D816F8">
        <w:t>.</w:t>
      </w:r>
    </w:p>
    <w:p w:rsidR="00BE4CE7" w:rsidRDefault="002021C2" w:rsidP="00BA2D96">
      <w:pPr>
        <w:pStyle w:val="ListNumber"/>
        <w:numPr>
          <w:ilvl w:val="0"/>
          <w:numId w:val="21"/>
        </w:numPr>
        <w:tabs>
          <w:tab w:val="left" w:pos="8931"/>
        </w:tabs>
      </w:pPr>
      <w:r w:rsidRPr="00D816F8">
        <w:t>Growth Type Recommendation as per Future Settlement Growth Directions</w:t>
      </w:r>
      <w:r w:rsidR="00636316" w:rsidRPr="00D816F8">
        <w:t xml:space="preserve"> (refer to Map 9 in the Loddon Mallee South Regional Growth Plan).</w:t>
      </w:r>
    </w:p>
    <w:sectPr w:rsidR="00BE4CE7" w:rsidSect="00176B8E">
      <w:type w:val="continuous"/>
      <w:pgSz w:w="16839" w:h="11907" w:orient="landscape" w:code="9"/>
      <w:pgMar w:top="1077" w:right="425" w:bottom="851" w:left="425"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A92" w:rsidRDefault="00C31A92" w:rsidP="0017297A">
      <w:r>
        <w:separator/>
      </w:r>
    </w:p>
  </w:endnote>
  <w:endnote w:type="continuationSeparator" w:id="0">
    <w:p w:rsidR="00C31A92" w:rsidRDefault="00C31A92" w:rsidP="00172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
    <w:altName w:val="MS Gothic"/>
    <w:panose1 w:val="00000000000000000000"/>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MS P????">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Helvetica Narrow">
    <w:altName w:val="Arial Narrow"/>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DINOT-Medium">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INOT-Light">
    <w:altName w:val="DINOT-Light"/>
    <w:panose1 w:val="00000000000000000000"/>
    <w:charset w:val="00"/>
    <w:family w:val="swiss"/>
    <w:notTrueType/>
    <w:pitch w:val="default"/>
    <w:sig w:usb0="00000003" w:usb1="00000000" w:usb2="00000000" w:usb3="00000000" w:csb0="00000001" w:csb1="00000000"/>
  </w:font>
  <w:font w:name="DINOT-Bold">
    <w:altName w:val="DINOT-Bold"/>
    <w:panose1 w:val="00000000000000000000"/>
    <w:charset w:val="00"/>
    <w:family w:val="swiss"/>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92" w:rsidRPr="009F2FB3" w:rsidRDefault="00C31A92" w:rsidP="009F2F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92" w:rsidRPr="001309E4" w:rsidRDefault="00162534" w:rsidP="00A467C4">
    <w:pPr>
      <w:pStyle w:val="Footer"/>
      <w:pBdr>
        <w:top w:val="single" w:sz="4" w:space="0" w:color="auto"/>
      </w:pBdr>
    </w:pPr>
    <w:r w:rsidRPr="001309E4">
      <w:rPr>
        <w:rStyle w:val="PageNumber"/>
        <w:szCs w:val="20"/>
      </w:rPr>
      <w:fldChar w:fldCharType="begin"/>
    </w:r>
    <w:r w:rsidR="00C31A92" w:rsidRPr="001309E4">
      <w:rPr>
        <w:rStyle w:val="PageNumber"/>
        <w:szCs w:val="20"/>
      </w:rPr>
      <w:instrText xml:space="preserve"> PAGE </w:instrText>
    </w:r>
    <w:r w:rsidRPr="001309E4">
      <w:rPr>
        <w:rStyle w:val="PageNumber"/>
        <w:szCs w:val="20"/>
      </w:rPr>
      <w:fldChar w:fldCharType="separate"/>
    </w:r>
    <w:r w:rsidR="00680EEE">
      <w:rPr>
        <w:rStyle w:val="PageNumber"/>
        <w:noProof/>
        <w:szCs w:val="20"/>
      </w:rPr>
      <w:t>106</w:t>
    </w:r>
    <w:r w:rsidRPr="001309E4">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92" w:rsidRDefault="00C31A92" w:rsidP="001729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92" w:rsidRDefault="00C31A92" w:rsidP="001729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A92" w:rsidRDefault="00C31A92" w:rsidP="0017297A">
      <w:r>
        <w:separator/>
      </w:r>
    </w:p>
  </w:footnote>
  <w:footnote w:type="continuationSeparator" w:id="0">
    <w:p w:rsidR="00C31A92" w:rsidRDefault="00C31A92" w:rsidP="0017297A">
      <w:r>
        <w:continuationSeparator/>
      </w:r>
    </w:p>
  </w:footnote>
  <w:footnote w:id="1">
    <w:p w:rsidR="00C31A92" w:rsidRPr="00CD4292" w:rsidRDefault="00C31A92" w:rsidP="00CD4292">
      <w:pPr>
        <w:pStyle w:val="FootnoteText"/>
      </w:pPr>
      <w:r w:rsidRPr="00CD4292">
        <w:rPr>
          <w:rStyle w:val="FootnoteReference"/>
          <w:vertAlign w:val="baseline"/>
        </w:rPr>
        <w:footnoteRef/>
      </w:r>
      <w:r w:rsidRPr="00CD4292">
        <w:t xml:space="preserve"> Regional Development Victoria 2010</w:t>
      </w:r>
      <w:r>
        <w:t xml:space="preserve"> Southern</w:t>
      </w:r>
      <w:r w:rsidRPr="00CD4292">
        <w:t xml:space="preserve"> Loddon Mallee Regional Strategic Plan p.7</w:t>
      </w:r>
    </w:p>
  </w:footnote>
  <w:footnote w:id="2">
    <w:p w:rsidR="00C31A92" w:rsidRPr="00CD4292" w:rsidRDefault="00C31A92" w:rsidP="00CD4292">
      <w:pPr>
        <w:pStyle w:val="FootnoteText"/>
      </w:pPr>
      <w:r w:rsidRPr="00CD4292">
        <w:rPr>
          <w:rStyle w:val="FootnoteReference"/>
          <w:vertAlign w:val="baseline"/>
        </w:rPr>
        <w:footnoteRef/>
      </w:r>
      <w:r w:rsidRPr="00CD4292">
        <w:t xml:space="preserve"> Victoria in Future 2012 population projections cover the period 2011 to 2031 for Local Government Areas (LGAs) and are based on the 2011 Australian Bureau of Statistics population estimates.</w:t>
      </w:r>
    </w:p>
  </w:footnote>
  <w:footnote w:id="3">
    <w:p w:rsidR="00C31A92" w:rsidRPr="00E11C41" w:rsidRDefault="00C31A92" w:rsidP="00E11C41">
      <w:pPr>
        <w:pStyle w:val="FootnoteText"/>
      </w:pPr>
      <w:r w:rsidRPr="00E11C41">
        <w:rPr>
          <w:rStyle w:val="FootnoteReference"/>
          <w:vertAlign w:val="baseline"/>
        </w:rPr>
        <w:footnoteRef/>
      </w:r>
      <w:r w:rsidRPr="00E11C41">
        <w:t xml:space="preserve"> Department of Planning and Community Development, Victoria in Future 2012 Brochure 2011–2031</w:t>
      </w:r>
    </w:p>
  </w:footnote>
  <w:footnote w:id="4">
    <w:p w:rsidR="00C31A92" w:rsidRPr="00E11C41" w:rsidRDefault="00C31A92" w:rsidP="00E11C41">
      <w:pPr>
        <w:pStyle w:val="FootnoteText"/>
      </w:pPr>
      <w:r w:rsidRPr="00E11C41">
        <w:rPr>
          <w:rStyle w:val="FootnoteReference"/>
          <w:vertAlign w:val="baseline"/>
        </w:rPr>
        <w:footnoteRef/>
      </w:r>
      <w:r w:rsidRPr="00E11C41">
        <w:t xml:space="preserve"> Regional Development Victor</w:t>
      </w:r>
      <w:r>
        <w:t xml:space="preserve">ia 2012 unpublished analysis, page </w:t>
      </w:r>
      <w:r w:rsidRPr="00E11C41">
        <w:t>6</w:t>
      </w:r>
    </w:p>
  </w:footnote>
  <w:footnote w:id="5">
    <w:p w:rsidR="00C31A92" w:rsidRPr="00E11C41" w:rsidRDefault="00C31A92" w:rsidP="00E11C41">
      <w:pPr>
        <w:pStyle w:val="FootnoteText"/>
      </w:pPr>
      <w:r w:rsidRPr="00E11C41">
        <w:rPr>
          <w:rStyle w:val="FootnoteReference"/>
          <w:vertAlign w:val="baseline"/>
        </w:rPr>
        <w:footnoteRef/>
      </w:r>
      <w:r w:rsidRPr="00E11C41">
        <w:t xml:space="preserve"> Regional Development Victoria 2010 Regional Strategic Plan, p.7</w:t>
      </w:r>
    </w:p>
  </w:footnote>
  <w:footnote w:id="6">
    <w:p w:rsidR="00C31A92" w:rsidRPr="00E11C41" w:rsidRDefault="00C31A92" w:rsidP="00E11C41">
      <w:pPr>
        <w:pStyle w:val="FootnoteText"/>
      </w:pPr>
      <w:r w:rsidRPr="00E11C41">
        <w:rPr>
          <w:rStyle w:val="FootnoteReference"/>
          <w:vertAlign w:val="baseline"/>
        </w:rPr>
        <w:footnoteRef/>
      </w:r>
      <w:r w:rsidRPr="00E11C41">
        <w:t xml:space="preserve"> Regional Development Victoria 2012 unpublished analysis, p.8</w:t>
      </w:r>
    </w:p>
  </w:footnote>
  <w:footnote w:id="7">
    <w:p w:rsidR="00C31A92" w:rsidRPr="00E11C41" w:rsidRDefault="00C31A92" w:rsidP="00E11C41">
      <w:pPr>
        <w:pStyle w:val="FootnoteText"/>
      </w:pPr>
      <w:r w:rsidRPr="00E11C41">
        <w:rPr>
          <w:rStyle w:val="FootnoteReference"/>
          <w:vertAlign w:val="baseline"/>
        </w:rPr>
        <w:footnoteRef/>
      </w:r>
      <w:r w:rsidRPr="00E11C41">
        <w:t xml:space="preserve"> Census 2011</w:t>
      </w:r>
    </w:p>
  </w:footnote>
  <w:footnote w:id="8">
    <w:p w:rsidR="00C31A92" w:rsidRPr="00E11C41" w:rsidRDefault="00C31A92" w:rsidP="00E11C41">
      <w:pPr>
        <w:pStyle w:val="FootnoteText"/>
      </w:pPr>
      <w:r w:rsidRPr="00E11C41">
        <w:rPr>
          <w:rStyle w:val="FootnoteReference"/>
          <w:vertAlign w:val="baseline"/>
        </w:rPr>
        <w:footnoteRef/>
      </w:r>
      <w:r w:rsidRPr="00E11C41">
        <w:t xml:space="preserve"> Reference to Southern region in the table is to the Loddon Mallee South Region.</w:t>
      </w:r>
    </w:p>
  </w:footnote>
  <w:footnote w:id="9">
    <w:p w:rsidR="00C31A92" w:rsidRPr="00E11C41" w:rsidRDefault="00C31A92" w:rsidP="00E11C41">
      <w:pPr>
        <w:pStyle w:val="FootnoteText"/>
      </w:pPr>
      <w:r w:rsidRPr="00E11C41">
        <w:rPr>
          <w:rStyle w:val="FootnoteReference"/>
          <w:vertAlign w:val="baseline"/>
        </w:rPr>
        <w:footnoteRef/>
      </w:r>
      <w:r w:rsidRPr="00E11C41">
        <w:t xml:space="preserve"> Regional Development Victoria 2012 unpublished analysis</w:t>
      </w:r>
    </w:p>
  </w:footnote>
  <w:footnote w:id="10">
    <w:p w:rsidR="00C31A92" w:rsidRPr="00E11C41" w:rsidRDefault="00C31A92" w:rsidP="00E11C41">
      <w:pPr>
        <w:pStyle w:val="FootnoteText"/>
      </w:pPr>
      <w:r w:rsidRPr="00E11C41">
        <w:rPr>
          <w:rStyle w:val="FootnoteReference"/>
          <w:vertAlign w:val="baseline"/>
        </w:rPr>
        <w:footnoteRef/>
      </w:r>
      <w:r w:rsidRPr="00E11C41">
        <w:t xml:space="preserve"> Australian Bureau of Statistics Census 2011</w:t>
      </w:r>
    </w:p>
  </w:footnote>
  <w:footnote w:id="11">
    <w:p w:rsidR="00C31A92" w:rsidRPr="00E11C41" w:rsidRDefault="00C31A92" w:rsidP="00E11C41">
      <w:pPr>
        <w:pStyle w:val="FootnoteText"/>
      </w:pPr>
      <w:r w:rsidRPr="00E11C41">
        <w:rPr>
          <w:rStyle w:val="FootnoteReference"/>
          <w:vertAlign w:val="baseline"/>
        </w:rPr>
        <w:footnoteRef/>
      </w:r>
      <w:r w:rsidRPr="00E11C41">
        <w:t xml:space="preserve"> Loddon </w:t>
      </w:r>
      <w:r>
        <w:t>Shire Rural Zones Review 2012 page</w:t>
      </w:r>
      <w:r w:rsidRPr="00E11C41">
        <w:t>32</w:t>
      </w:r>
    </w:p>
  </w:footnote>
  <w:footnote w:id="12">
    <w:p w:rsidR="00C31A92" w:rsidRPr="00E11C41" w:rsidRDefault="00C31A92" w:rsidP="00E11C41">
      <w:pPr>
        <w:pStyle w:val="FootnoteText"/>
      </w:pPr>
      <w:r w:rsidRPr="00E11C41">
        <w:rPr>
          <w:rStyle w:val="FootnoteReference"/>
          <w:vertAlign w:val="baseline"/>
        </w:rPr>
        <w:footnoteRef/>
      </w:r>
      <w:r w:rsidRPr="00E11C41">
        <w:t xml:space="preserve"> Macedon Ranges Shire 2012 Equine Strategy p</w:t>
      </w:r>
      <w:r>
        <w:t xml:space="preserve">age </w:t>
      </w:r>
      <w:r w:rsidRPr="00E11C41">
        <w:t>4</w:t>
      </w:r>
    </w:p>
  </w:footnote>
  <w:footnote w:id="13">
    <w:p w:rsidR="00C31A92" w:rsidRPr="00E11C41" w:rsidRDefault="00C31A92" w:rsidP="00E11C41">
      <w:pPr>
        <w:pStyle w:val="FootnoteText"/>
      </w:pPr>
      <w:r w:rsidRPr="00E11C41">
        <w:rPr>
          <w:rStyle w:val="FootnoteReference"/>
          <w:vertAlign w:val="baseline"/>
        </w:rPr>
        <w:footnoteRef/>
      </w:r>
      <w:r w:rsidRPr="00E11C41">
        <w:t xml:space="preserve"> </w:t>
      </w:r>
      <w:r>
        <w:t>Regional Development Victoria</w:t>
      </w:r>
      <w:r w:rsidRPr="00E11C41">
        <w:t xml:space="preserve"> Regional S</w:t>
      </w:r>
      <w:r>
        <w:t xml:space="preserve">trategic Plan page </w:t>
      </w:r>
      <w:r w:rsidRPr="00E11C41">
        <w:t>22</w:t>
      </w:r>
    </w:p>
  </w:footnote>
  <w:footnote w:id="14">
    <w:p w:rsidR="00C31A92" w:rsidRPr="002D65E9" w:rsidRDefault="00C31A92" w:rsidP="002D65E9">
      <w:pPr>
        <w:pStyle w:val="FootnoteText"/>
        <w:rPr>
          <w:rStyle w:val="FootnoteReference"/>
        </w:rPr>
      </w:pPr>
      <w:r w:rsidRPr="00A55F0A">
        <w:rPr>
          <w:rStyle w:val="FootnoteReference"/>
          <w:szCs w:val="12"/>
          <w:vertAlign w:val="baseline"/>
        </w:rPr>
        <w:footnoteRef/>
      </w:r>
      <w:r w:rsidRPr="00A55F0A">
        <w:rPr>
          <w:rStyle w:val="FootnoteReference"/>
          <w:vertAlign w:val="baseline"/>
        </w:rPr>
        <w:t xml:space="preserve"> </w:t>
      </w:r>
      <w:r w:rsidRPr="002D65E9">
        <w:rPr>
          <w:rStyle w:val="FootnoteReference"/>
          <w:vertAlign w:val="baseline"/>
        </w:rPr>
        <w:t>Greenfields sites are those areas without known mineral deposits.</w:t>
      </w:r>
    </w:p>
  </w:footnote>
  <w:footnote w:id="15">
    <w:p w:rsidR="00C31A92" w:rsidRPr="002D65E9" w:rsidRDefault="00C31A92" w:rsidP="002D65E9">
      <w:pPr>
        <w:pStyle w:val="FootnoteText"/>
      </w:pPr>
      <w:r w:rsidRPr="00A55F0A">
        <w:rPr>
          <w:rStyle w:val="FootnoteReference"/>
          <w:vertAlign w:val="baseline"/>
        </w:rPr>
        <w:footnoteRef/>
      </w:r>
      <w:r w:rsidRPr="002D65E9">
        <w:rPr>
          <w:rStyle w:val="FootnoteReference"/>
          <w:vertAlign w:val="baseline"/>
        </w:rPr>
        <w:t xml:space="preserve"> City of Greater Bendigo Municipal Strategic Statement</w:t>
      </w:r>
    </w:p>
  </w:footnote>
  <w:footnote w:id="16">
    <w:p w:rsidR="00C31A92" w:rsidRPr="002D65E9" w:rsidRDefault="00C31A92" w:rsidP="002D65E9">
      <w:pPr>
        <w:pStyle w:val="FootnoteText"/>
      </w:pPr>
      <w:r w:rsidRPr="00A55F0A">
        <w:rPr>
          <w:rStyle w:val="FootnoteReference"/>
          <w:vertAlign w:val="baseline"/>
        </w:rPr>
        <w:footnoteRef/>
      </w:r>
      <w:r w:rsidRPr="00A55F0A">
        <w:t xml:space="preserve"> </w:t>
      </w:r>
      <w:r>
        <w:t>Regional Development Victoria</w:t>
      </w:r>
      <w:r w:rsidRPr="002D65E9">
        <w:t xml:space="preserve"> 2012 unpublished analysis</w:t>
      </w:r>
    </w:p>
  </w:footnote>
  <w:footnote w:id="17">
    <w:p w:rsidR="00C31A92" w:rsidRPr="00CE4D68" w:rsidRDefault="00C31A92" w:rsidP="00CE4D68">
      <w:pPr>
        <w:pStyle w:val="FootnoteText"/>
      </w:pPr>
      <w:r w:rsidRPr="00CE4D68">
        <w:rPr>
          <w:rStyle w:val="FootnoteReference"/>
          <w:vertAlign w:val="baseline"/>
        </w:rPr>
        <w:footnoteRef/>
      </w:r>
      <w:r w:rsidRPr="00CE4D68">
        <w:t xml:space="preserve"> City of Greater Bendigo Commercial Land Strategy 2005</w:t>
      </w:r>
      <w:r>
        <w:t xml:space="preserve"> page </w:t>
      </w:r>
      <w:r w:rsidRPr="00CE4D68">
        <w:t>39</w:t>
      </w:r>
    </w:p>
  </w:footnote>
  <w:footnote w:id="18">
    <w:p w:rsidR="00C31A92" w:rsidRPr="00CE4D68" w:rsidRDefault="00C31A92" w:rsidP="00CE4D68">
      <w:pPr>
        <w:pStyle w:val="FootnoteText"/>
      </w:pPr>
      <w:r w:rsidRPr="00CE4D68">
        <w:rPr>
          <w:rStyle w:val="FootnoteReference"/>
          <w:vertAlign w:val="baseline"/>
        </w:rPr>
        <w:footnoteRef/>
      </w:r>
      <w:r w:rsidRPr="00CE4D68">
        <w:t xml:space="preserve"> Castlemaine</w:t>
      </w:r>
      <w:r>
        <w:t xml:space="preserve"> Commercial Centre Study 2012 page </w:t>
      </w:r>
      <w:r w:rsidRPr="00CE4D68">
        <w:t>53</w:t>
      </w:r>
    </w:p>
  </w:footnote>
  <w:footnote w:id="19">
    <w:p w:rsidR="00C31A92" w:rsidRPr="00CE5245" w:rsidRDefault="00C31A92" w:rsidP="00CE5245">
      <w:pPr>
        <w:pStyle w:val="FootnoteText"/>
      </w:pPr>
      <w:r w:rsidRPr="00CE5245">
        <w:rPr>
          <w:rStyle w:val="FootnoteReference"/>
          <w:vertAlign w:val="baseline"/>
        </w:rPr>
        <w:footnoteRef/>
      </w:r>
      <w:r w:rsidRPr="00CE5245">
        <w:t xml:space="preserve"> </w:t>
      </w:r>
      <w:proofErr w:type="spellStart"/>
      <w:r w:rsidRPr="00CE5245">
        <w:t>NaturePrint</w:t>
      </w:r>
      <w:proofErr w:type="spellEnd"/>
      <w:r w:rsidRPr="00CE5245">
        <w:t xml:space="preserve"> v2.0 conveys information on relative habitat value for all areas in Victoria (excluding marine), not just those with native vegetation.  In its most commonly used form, NaturePrint is illustrated as a map showing relative habitat value (Strategic Natural Values map) showing areas that most contribute to biodiversity conservation. Further information on NaturePrint can be found at http://www.d</w:t>
      </w:r>
      <w:r>
        <w:t>epi</w:t>
      </w:r>
      <w:r w:rsidRPr="00CE5245">
        <w:t xml:space="preserve">.vic.gov.au/conservation-and-environment/biodiversity/natureprint </w:t>
      </w:r>
    </w:p>
  </w:footnote>
  <w:footnote w:id="20">
    <w:p w:rsidR="00C31A92" w:rsidRPr="00CE5245" w:rsidRDefault="00C31A92" w:rsidP="00CE5245">
      <w:pPr>
        <w:pStyle w:val="FootnoteText"/>
      </w:pPr>
      <w:r w:rsidRPr="00CE5245">
        <w:rPr>
          <w:rStyle w:val="FootnoteReference"/>
          <w:vertAlign w:val="baseline"/>
        </w:rPr>
        <w:footnoteRef/>
      </w:r>
      <w:r w:rsidRPr="00CE5245">
        <w:t xml:space="preserve"> INFFERTM is a tool for developing and prioritising projects to address environmental issues such as reduced water quality, biodiversity, environmental pests and land degradation. It is designed to help environmental managers achieve the most valuable environmental outcomes with the available resources. (www.inffer.org)</w:t>
      </w:r>
    </w:p>
  </w:footnote>
  <w:footnote w:id="21">
    <w:p w:rsidR="00C31A92" w:rsidRPr="00CE5245" w:rsidRDefault="00C31A92" w:rsidP="00CE5245">
      <w:pPr>
        <w:pStyle w:val="FootnoteText"/>
      </w:pPr>
      <w:r w:rsidRPr="00CE5245">
        <w:rPr>
          <w:rStyle w:val="FootnoteReference"/>
          <w:vertAlign w:val="baseline"/>
        </w:rPr>
        <w:footnoteRef/>
      </w:r>
      <w:r w:rsidRPr="00CE5245">
        <w:t xml:space="preserve"> Providing ecosystem services through market based approaches (including competitive tenders such as Eco Tender and Bush Tender</w:t>
      </w:r>
      <w:r>
        <w:t>)</w:t>
      </w:r>
      <w:r w:rsidRPr="00CE5245">
        <w:t xml:space="preserve"> can provide farmers with income for undertaking environmental works that conserve and enhance the environment.</w:t>
      </w:r>
    </w:p>
  </w:footnote>
  <w:footnote w:id="22">
    <w:p w:rsidR="00C31A92" w:rsidRPr="00CE5245" w:rsidRDefault="00C31A92" w:rsidP="00CE5245">
      <w:pPr>
        <w:pStyle w:val="FootnoteText"/>
      </w:pPr>
      <w:r w:rsidRPr="00CE5245">
        <w:rPr>
          <w:rStyle w:val="FootnoteReference"/>
          <w:vertAlign w:val="baseline"/>
        </w:rPr>
        <w:footnoteRef/>
      </w:r>
      <w:r w:rsidRPr="00CE5245">
        <w:t xml:space="preserve"> Department of Sustainability and Environment, Improving Our Waterways: An overview of the draft Victorian Waterway Management Strategy, Victorian Government, October 2012</w:t>
      </w:r>
    </w:p>
  </w:footnote>
  <w:footnote w:id="23">
    <w:p w:rsidR="00C31A92" w:rsidRPr="00CE5245" w:rsidRDefault="00C31A92" w:rsidP="00CE5245">
      <w:pPr>
        <w:pStyle w:val="FootnoteText"/>
      </w:pPr>
      <w:r w:rsidRPr="00CE5245">
        <w:rPr>
          <w:rStyle w:val="FootnoteReference"/>
          <w:vertAlign w:val="baseline"/>
        </w:rPr>
        <w:footnoteRef/>
      </w:r>
      <w:r w:rsidRPr="00CE5245">
        <w:t xml:space="preserve"> </w:t>
      </w:r>
      <w:hyperlink r:id="rId1" w:history="1">
        <w:r w:rsidRPr="00A97BF3">
          <w:rPr>
            <w:rStyle w:val="Hyperlink"/>
          </w:rPr>
          <w:t>http://vro.dpi.vic.gov.au/dpi/vro/vrosite.nsf/pages/landuse-water-supply-catchments</w:t>
        </w:r>
      </w:hyperlink>
    </w:p>
  </w:footnote>
  <w:footnote w:id="24">
    <w:p w:rsidR="00C31A92" w:rsidRPr="00CE5245" w:rsidRDefault="00C31A92" w:rsidP="00CE5245">
      <w:pPr>
        <w:pStyle w:val="FootnoteText"/>
      </w:pPr>
      <w:r w:rsidRPr="00CE5245">
        <w:rPr>
          <w:rStyle w:val="FootnoteReference"/>
          <w:vertAlign w:val="baseline"/>
        </w:rPr>
        <w:footnoteRef/>
      </w:r>
      <w:r w:rsidRPr="00CE5245">
        <w:t xml:space="preserve"> Northern Region Sustainable Water Strategy, p57</w:t>
      </w:r>
    </w:p>
  </w:footnote>
  <w:footnote w:id="25">
    <w:p w:rsidR="00C31A92" w:rsidRPr="00CE5245" w:rsidRDefault="00C31A92" w:rsidP="00CE5245">
      <w:pPr>
        <w:pStyle w:val="FootnoteText"/>
        <w:rPr>
          <w:szCs w:val="12"/>
        </w:rPr>
      </w:pPr>
      <w:r w:rsidRPr="00CE5245">
        <w:rPr>
          <w:rStyle w:val="FootnoteReference"/>
          <w:vertAlign w:val="baseline"/>
        </w:rPr>
        <w:footnoteRef/>
      </w:r>
      <w:r w:rsidRPr="00CE5245">
        <w:t xml:space="preserve"> Western Region Sustainable Water Strategy, p58.</w:t>
      </w:r>
    </w:p>
  </w:footnote>
  <w:footnote w:id="26">
    <w:p w:rsidR="00C31A92" w:rsidRPr="00CE5245" w:rsidRDefault="00C31A92" w:rsidP="00CE5245">
      <w:pPr>
        <w:pStyle w:val="FootnoteText"/>
      </w:pPr>
      <w:r w:rsidRPr="00CE5245">
        <w:rPr>
          <w:rStyle w:val="FootnoteReference"/>
          <w:vertAlign w:val="baseline"/>
        </w:rPr>
        <w:footnoteRef/>
      </w:r>
      <w:r w:rsidRPr="00CE5245">
        <w:t xml:space="preserve"> Department of Sustainability and Environment, Soil Health Strategy: Protecting soil health for environmental values on public and private land, Victorian Government, July 2012</w:t>
      </w:r>
    </w:p>
  </w:footnote>
  <w:footnote w:id="27">
    <w:p w:rsidR="00C31A92" w:rsidRPr="00CE5245" w:rsidRDefault="00C31A92" w:rsidP="00CE5245">
      <w:pPr>
        <w:pStyle w:val="FootnoteText"/>
      </w:pPr>
      <w:r w:rsidRPr="00CE5245">
        <w:rPr>
          <w:rStyle w:val="FootnoteReference"/>
          <w:vertAlign w:val="baseline"/>
        </w:rPr>
        <w:footnoteRef/>
      </w:r>
      <w:r w:rsidRPr="00CE5245">
        <w:t xml:space="preserve"> 2009 Victorian Bushfires Royal Commission, </w:t>
      </w:r>
      <w:hyperlink r:id="rId2" w:history="1">
        <w:r w:rsidRPr="00980A17">
          <w:rPr>
            <w:rStyle w:val="Hyperlink"/>
          </w:rPr>
          <w:t>http://www.royalcommission.vic.gov.au/Commission-Reports/Final-Report</w:t>
        </w:r>
      </w:hyperlink>
      <w:r w:rsidRPr="00CE5245">
        <w:t xml:space="preserve"> </w:t>
      </w:r>
    </w:p>
  </w:footnote>
  <w:footnote w:id="28">
    <w:p w:rsidR="00C31A92" w:rsidRPr="00CE5245" w:rsidRDefault="00C31A92" w:rsidP="00CE5245">
      <w:pPr>
        <w:pStyle w:val="FootnoteText"/>
      </w:pPr>
      <w:r w:rsidRPr="00CE5245">
        <w:rPr>
          <w:rStyle w:val="FootnoteReference"/>
          <w:vertAlign w:val="baseline"/>
        </w:rPr>
        <w:footnoteRef/>
      </w:r>
      <w:r w:rsidRPr="00CE5245">
        <w:t xml:space="preserve"> </w:t>
      </w:r>
      <w:hyperlink r:id="rId3" w:history="1">
        <w:r w:rsidRPr="00F20FA0">
          <w:rPr>
            <w:rStyle w:val="Hyperlink"/>
          </w:rPr>
          <w:t>http://www.climatechange.vic.gov.au/regional-projections/north-central</w:t>
        </w:r>
      </w:hyperlink>
    </w:p>
  </w:footnote>
  <w:footnote w:id="29">
    <w:p w:rsidR="00C31A92" w:rsidRPr="00CE5245" w:rsidRDefault="00C31A92" w:rsidP="00CE5245">
      <w:pPr>
        <w:pStyle w:val="FootnoteText"/>
      </w:pPr>
      <w:r w:rsidRPr="00CE5245">
        <w:rPr>
          <w:rStyle w:val="FootnoteReference"/>
          <w:vertAlign w:val="baseline"/>
        </w:rPr>
        <w:footnoteRef/>
      </w:r>
      <w:r w:rsidRPr="00CE5245">
        <w:t xml:space="preserve"> </w:t>
      </w:r>
      <w:hyperlink r:id="rId4" w:history="1">
        <w:r w:rsidRPr="00F20FA0">
          <w:rPr>
            <w:rStyle w:val="Hyperlink"/>
            <w:rFonts w:eastAsia="MS P????"/>
          </w:rPr>
          <w:t>http://www.climatechange.vic.gov.au/what-is-climate-change</w:t>
        </w:r>
      </w:hyperlink>
      <w:r w:rsidRPr="00CE5245">
        <w:t xml:space="preserve"> </w:t>
      </w:r>
    </w:p>
  </w:footnote>
  <w:footnote w:id="30">
    <w:p w:rsidR="00C31A92" w:rsidRPr="00CE5245" w:rsidRDefault="00C31A92" w:rsidP="00CE5245">
      <w:pPr>
        <w:pStyle w:val="FootnoteText"/>
      </w:pPr>
      <w:r w:rsidRPr="00CE5245">
        <w:rPr>
          <w:rStyle w:val="FootnoteReference"/>
          <w:vertAlign w:val="baseline"/>
        </w:rPr>
        <w:footnoteRef/>
      </w:r>
      <w:r w:rsidRPr="00CE5245">
        <w:t xml:space="preserve"> </w:t>
      </w:r>
      <w:hyperlink r:id="rId5" w:history="1">
        <w:r w:rsidRPr="00F20FA0">
          <w:rPr>
            <w:rStyle w:val="Hyperlink"/>
          </w:rPr>
          <w:t>http://vro.dpi.vic.gov.au/dpi/vro/vrosite.nsf/pages/lwm_salinity_management_urban</w:t>
        </w:r>
      </w:hyperlink>
      <w:r w:rsidRPr="00CE5245">
        <w:t xml:space="preserve"> </w:t>
      </w:r>
    </w:p>
  </w:footnote>
  <w:footnote w:id="31">
    <w:p w:rsidR="00C31A92" w:rsidRPr="00CD4292" w:rsidRDefault="00C31A92" w:rsidP="00CD4292">
      <w:pPr>
        <w:pStyle w:val="FootnoteText"/>
      </w:pPr>
      <w:r w:rsidRPr="00CD4292">
        <w:rPr>
          <w:rStyle w:val="FootnoteReference"/>
          <w:vertAlign w:val="baseline"/>
        </w:rPr>
        <w:footnoteRef/>
      </w:r>
      <w:r w:rsidRPr="00CD4292">
        <w:t xml:space="preserve"> ASRIS - Australian Soil Resource Information System (2011) </w:t>
      </w:r>
      <w:hyperlink r:id="rId6" w:history="1">
        <w:r w:rsidRPr="00F20FA0">
          <w:rPr>
            <w:rStyle w:val="Hyperlink"/>
          </w:rPr>
          <w:t>http://www.asris.csiro.au</w:t>
        </w:r>
      </w:hyperlink>
    </w:p>
  </w:footnote>
  <w:footnote w:id="32">
    <w:p w:rsidR="00C31A92" w:rsidRPr="00CD4292" w:rsidRDefault="00C31A92" w:rsidP="00CD4292">
      <w:pPr>
        <w:pStyle w:val="FootnoteText"/>
      </w:pPr>
      <w:r w:rsidRPr="00CD4292">
        <w:rPr>
          <w:rStyle w:val="FootnoteReference"/>
          <w:vertAlign w:val="baseline"/>
        </w:rPr>
        <w:footnoteRef/>
      </w:r>
      <w:r w:rsidRPr="00CD4292">
        <w:t xml:space="preserve"> Across 51 Regional Victoria data points with 2010 data out of 62 Regional Victoria traffic data points</w:t>
      </w:r>
    </w:p>
  </w:footnote>
  <w:footnote w:id="33">
    <w:p w:rsidR="00C31A92" w:rsidRPr="0037462C" w:rsidRDefault="00C31A92" w:rsidP="002D65E9">
      <w:pPr>
        <w:pStyle w:val="FootnoteText"/>
      </w:pPr>
      <w:r w:rsidRPr="00754B4F">
        <w:rPr>
          <w:rStyle w:val="FootnoteReference"/>
          <w:rFonts w:cstheme="minorHAnsi"/>
          <w:vertAlign w:val="baseline"/>
        </w:rPr>
        <w:footnoteRef/>
      </w:r>
      <w:r w:rsidRPr="00754B4F">
        <w:t xml:space="preserve"> </w:t>
      </w:r>
      <w:proofErr w:type="spellStart"/>
      <w:r w:rsidRPr="0037462C">
        <w:t>Inbakaran</w:t>
      </w:r>
      <w:proofErr w:type="spellEnd"/>
      <w:r w:rsidRPr="0037462C">
        <w:t xml:space="preserve"> and Harwood, Journey to Work Patterns in Regional Victoria Analysis of Census Data 1996 to 2006</w:t>
      </w:r>
    </w:p>
  </w:footnote>
  <w:footnote w:id="34">
    <w:p w:rsidR="00C31A92" w:rsidRPr="00CD4292" w:rsidRDefault="00C31A92" w:rsidP="00CD4292">
      <w:pPr>
        <w:pStyle w:val="FootnoteText"/>
      </w:pPr>
      <w:r w:rsidRPr="00CD4292">
        <w:rPr>
          <w:rStyle w:val="FootnoteReference"/>
          <w:vertAlign w:val="baseline"/>
        </w:rPr>
        <w:footnoteRef/>
      </w:r>
      <w:r w:rsidRPr="00CD4292">
        <w:t xml:space="preserve"> Victorian Government, Getting Full Value: the Victorian Waste and Resource Recovery Policy, The Victorian Government Department of Sustainability and Environment, April 2013</w:t>
      </w:r>
    </w:p>
  </w:footnote>
  <w:footnote w:id="35">
    <w:p w:rsidR="00C31A92" w:rsidRPr="00CD4292" w:rsidRDefault="00C31A92" w:rsidP="00CD4292">
      <w:pPr>
        <w:pStyle w:val="FootnoteText"/>
      </w:pPr>
      <w:r w:rsidRPr="00CD4292">
        <w:rPr>
          <w:rStyle w:val="FootnoteReference"/>
          <w:vertAlign w:val="baseline"/>
        </w:rPr>
        <w:footnoteRef/>
      </w:r>
      <w:r w:rsidRPr="00CD4292">
        <w:t xml:space="preserve"> Macedon Ranges Shire 2007 Macedon Ranges Waste Management Strategy</w:t>
      </w:r>
    </w:p>
  </w:footnote>
  <w:footnote w:id="36">
    <w:p w:rsidR="00C31A92" w:rsidRPr="00CD4292" w:rsidRDefault="00C31A92" w:rsidP="00CD4292">
      <w:pPr>
        <w:pStyle w:val="FootnoteText"/>
      </w:pPr>
      <w:r w:rsidRPr="00CD4292">
        <w:rPr>
          <w:rStyle w:val="FootnoteReference"/>
          <w:vertAlign w:val="baseline"/>
        </w:rPr>
        <w:footnoteRef/>
      </w:r>
      <w:r w:rsidRPr="00CD4292">
        <w:t xml:space="preserve"> Mount Alexander Shire 2010 Waste Management Strategy 2010–2015, p.16</w:t>
      </w:r>
    </w:p>
  </w:footnote>
  <w:footnote w:id="37">
    <w:p w:rsidR="00C31A92" w:rsidRPr="00CD4292" w:rsidRDefault="00C31A92" w:rsidP="00CD4292">
      <w:pPr>
        <w:pStyle w:val="FootnoteText"/>
      </w:pPr>
      <w:r w:rsidRPr="00CD4292">
        <w:rPr>
          <w:rStyle w:val="FootnoteReference"/>
          <w:vertAlign w:val="baseline"/>
        </w:rPr>
        <w:footnoteRef/>
      </w:r>
      <w:r w:rsidRPr="00CD4292">
        <w:t xml:space="preserve"> </w:t>
      </w:r>
      <w:hyperlink r:id="rId7" w:history="1">
        <w:r w:rsidRPr="009B4C1F">
          <w:rPr>
            <w:rStyle w:val="Hyperlink"/>
          </w:rPr>
          <w:t>http://www.bendigo.vic.gov.au/News/Current_Projects/Waste_and_Resource_Management_Strategy</w:t>
        </w:r>
      </w:hyperlink>
    </w:p>
  </w:footnote>
  <w:footnote w:id="38">
    <w:p w:rsidR="00C31A92" w:rsidRPr="00CD4292" w:rsidRDefault="00C31A92" w:rsidP="00CD4292">
      <w:pPr>
        <w:pStyle w:val="FootnoteText"/>
      </w:pPr>
      <w:r w:rsidRPr="00CD4292">
        <w:rPr>
          <w:rStyle w:val="FootnoteReference"/>
          <w:vertAlign w:val="baseline"/>
        </w:rPr>
        <w:footnoteRef/>
      </w:r>
      <w:r w:rsidRPr="00CD4292">
        <w:t xml:space="preserve"> Bendigo Residential Development Strategy – Stage 1 Audit Report 2012</w:t>
      </w:r>
    </w:p>
  </w:footnote>
  <w:footnote w:id="39">
    <w:p w:rsidR="00C31A92" w:rsidRPr="00CD4292" w:rsidRDefault="00C31A92" w:rsidP="00CD4292">
      <w:pPr>
        <w:pStyle w:val="FootnoteText"/>
      </w:pPr>
      <w:r w:rsidRPr="00CD4292">
        <w:rPr>
          <w:rStyle w:val="FootnoteReference"/>
          <w:vertAlign w:val="baseline"/>
        </w:rPr>
        <w:footnoteRef/>
      </w:r>
      <w:r w:rsidRPr="00CD4292">
        <w:t xml:space="preserve"> Regional Development Victor</w:t>
      </w:r>
      <w:r>
        <w:t xml:space="preserve">ia 2012 unpublished analysis, page </w:t>
      </w:r>
      <w:r w:rsidRPr="00CD4292">
        <w:t>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92" w:rsidRDefault="00C31A92" w:rsidP="00A45E0B">
    <w:pPr>
      <w:pStyle w:val="Header"/>
    </w:pPr>
    <w:r>
      <w:rPr>
        <w:noProof/>
      </w:rPr>
      <w:drawing>
        <wp:anchor distT="0" distB="0" distL="114300" distR="114300" simplePos="0" relativeHeight="251659264" behindDoc="1" locked="0" layoutInCell="1" allowOverlap="1">
          <wp:simplePos x="0" y="0"/>
          <wp:positionH relativeFrom="column">
            <wp:posOffset>-662305</wp:posOffset>
          </wp:positionH>
          <wp:positionV relativeFrom="paragraph">
            <wp:posOffset>609600</wp:posOffset>
          </wp:positionV>
          <wp:extent cx="7058025" cy="1466850"/>
          <wp:effectExtent l="19050" t="0" r="9525" b="0"/>
          <wp:wrapTight wrapText="bothSides">
            <wp:wrapPolygon edited="0">
              <wp:start x="-58" y="0"/>
              <wp:lineTo x="-58" y="21319"/>
              <wp:lineTo x="21629" y="21319"/>
              <wp:lineTo x="21629" y="0"/>
              <wp:lineTo x="-58" y="0"/>
            </wp:wrapPolygon>
          </wp:wrapTight>
          <wp:docPr id="30" name="Picture 2" descr="C:\Users\rw78\Desktop\LoddonMalleeSouth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w78\Desktop\LoddonMalleeSouth_banner.jpg"/>
                  <pic:cNvPicPr>
                    <a:picLocks noChangeAspect="1" noChangeArrowheads="1"/>
                  </pic:cNvPicPr>
                </pic:nvPicPr>
                <pic:blipFill>
                  <a:blip r:embed="rId1"/>
                  <a:srcRect/>
                  <a:stretch>
                    <a:fillRect/>
                  </a:stretch>
                </pic:blipFill>
                <pic:spPr bwMode="auto">
                  <a:xfrm>
                    <a:off x="0" y="0"/>
                    <a:ext cx="7058025" cy="14668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92" w:rsidRPr="0073453E" w:rsidRDefault="00C31A92" w:rsidP="0073453E">
    <w:pPr>
      <w:pStyle w:val="Header"/>
      <w:rPr>
        <w:szCs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92" w:rsidRPr="00541E82" w:rsidRDefault="00C31A92" w:rsidP="00541E82">
    <w:pPr>
      <w:pStyle w:val="Header"/>
      <w:rPr>
        <w:szCs w:val="3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92" w:rsidRPr="00541E82" w:rsidRDefault="00C31A92" w:rsidP="002A5AB0">
    <w:pPr>
      <w:pStyle w:val="Header"/>
      <w:pBdr>
        <w:bottom w:val="single" w:sz="4" w:space="1" w:color="auto"/>
      </w:pBdr>
      <w:tabs>
        <w:tab w:val="right" w:pos="9072"/>
      </w:tabs>
      <w:spacing w:before="40" w:after="40" w:line="276" w:lineRule="auto"/>
      <w:jc w:val="center"/>
      <w:rPr>
        <w:rFonts w:cstheme="minorHAnsi"/>
        <w:szCs w:val="20"/>
      </w:rPr>
    </w:pPr>
    <w:r>
      <w:rPr>
        <w:rFonts w:cstheme="minorHAnsi"/>
        <w:szCs w:val="20"/>
      </w:rPr>
      <w:t>Loddon Mallee South</w:t>
    </w:r>
    <w:r w:rsidRPr="00541E82">
      <w:rPr>
        <w:rFonts w:cstheme="minorHAnsi"/>
        <w:szCs w:val="20"/>
      </w:rPr>
      <w:t xml:space="preserve"> Regional Growth Plan</w:t>
    </w:r>
  </w:p>
  <w:p w:rsidR="00C31A92" w:rsidRPr="00541E82" w:rsidRDefault="00C31A92" w:rsidP="002A5AB0">
    <w:pPr>
      <w:pStyle w:val="Header"/>
      <w:pBdr>
        <w:bottom w:val="single" w:sz="4" w:space="1" w:color="auto"/>
      </w:pBdr>
      <w:tabs>
        <w:tab w:val="right" w:pos="9072"/>
      </w:tabs>
      <w:spacing w:before="40" w:after="40" w:line="276" w:lineRule="auto"/>
      <w:jc w:val="center"/>
      <w:rPr>
        <w:rFonts w:cstheme="minorHAnsi"/>
        <w:b/>
        <w:szCs w:val="20"/>
      </w:rPr>
    </w:pPr>
    <w:r w:rsidRPr="00541E82">
      <w:rPr>
        <w:rFonts w:cstheme="minorHAnsi"/>
        <w:b/>
        <w:szCs w:val="20"/>
      </w:rPr>
      <w:t>Background Report</w:t>
    </w:r>
  </w:p>
  <w:p w:rsidR="00C31A92" w:rsidRPr="00541E82" w:rsidRDefault="00C31A92" w:rsidP="002963AE">
    <w:pPr>
      <w:pStyle w:val="Header"/>
      <w:spacing w:before="40" w:after="40"/>
      <w:rPr>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92" w:rsidRDefault="00C31A92" w:rsidP="0017297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92" w:rsidRDefault="00C31A92" w:rsidP="00172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E28C6E8"/>
    <w:lvl w:ilvl="0">
      <w:start w:val="1"/>
      <w:numFmt w:val="decimal"/>
      <w:pStyle w:val="ListNumber2"/>
      <w:lvlText w:val="%1."/>
      <w:lvlJc w:val="left"/>
      <w:pPr>
        <w:tabs>
          <w:tab w:val="num" w:pos="643"/>
        </w:tabs>
        <w:ind w:left="643" w:hanging="360"/>
      </w:pPr>
    </w:lvl>
  </w:abstractNum>
  <w:abstractNum w:abstractNumId="1">
    <w:nsid w:val="FFFFFF83"/>
    <w:multiLevelType w:val="singleLevel"/>
    <w:tmpl w:val="D84C6BFE"/>
    <w:lvl w:ilvl="0">
      <w:start w:val="1"/>
      <w:numFmt w:val="bullet"/>
      <w:pStyle w:val="ListBullet2"/>
      <w:lvlText w:val="o"/>
      <w:lvlJc w:val="left"/>
      <w:pPr>
        <w:ind w:left="814" w:hanging="360"/>
      </w:pPr>
      <w:rPr>
        <w:rFonts w:ascii="Courier New" w:hAnsi="Courier New" w:cs="Courier New" w:hint="default"/>
      </w:rPr>
    </w:lvl>
  </w:abstractNum>
  <w:abstractNum w:abstractNumId="2">
    <w:nsid w:val="FFFFFF88"/>
    <w:multiLevelType w:val="singleLevel"/>
    <w:tmpl w:val="4018531E"/>
    <w:lvl w:ilvl="0">
      <w:start w:val="1"/>
      <w:numFmt w:val="decimal"/>
      <w:pStyle w:val="ListNumber"/>
      <w:lvlText w:val="%1."/>
      <w:lvlJc w:val="left"/>
      <w:pPr>
        <w:tabs>
          <w:tab w:val="num" w:pos="360"/>
        </w:tabs>
        <w:ind w:left="360" w:hanging="360"/>
      </w:pPr>
    </w:lvl>
  </w:abstractNum>
  <w:abstractNum w:abstractNumId="3">
    <w:nsid w:val="FFFFFF89"/>
    <w:multiLevelType w:val="singleLevel"/>
    <w:tmpl w:val="6554C486"/>
    <w:lvl w:ilvl="0">
      <w:start w:val="1"/>
      <w:numFmt w:val="bullet"/>
      <w:pStyle w:val="ListBullet"/>
      <w:lvlText w:val=""/>
      <w:lvlJc w:val="left"/>
      <w:pPr>
        <w:ind w:left="360" w:hanging="360"/>
      </w:pPr>
      <w:rPr>
        <w:rFonts w:ascii="Wingdings" w:hAnsi="Wingdings" w:hint="default"/>
      </w:rPr>
    </w:lvl>
  </w:abstractNum>
  <w:abstractNum w:abstractNumId="4">
    <w:nsid w:val="02CD2940"/>
    <w:multiLevelType w:val="hybridMultilevel"/>
    <w:tmpl w:val="7C3C9FEA"/>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5">
    <w:nsid w:val="0624413B"/>
    <w:multiLevelType w:val="hybridMultilevel"/>
    <w:tmpl w:val="7CA0A6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715A21"/>
    <w:multiLevelType w:val="multilevel"/>
    <w:tmpl w:val="4CF48D10"/>
    <w:lvl w:ilvl="0">
      <w:start w:val="1"/>
      <w:numFmt w:val="decimal"/>
      <w:pStyle w:val="PM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7CF2F73"/>
    <w:multiLevelType w:val="hybridMultilevel"/>
    <w:tmpl w:val="FE06F9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9C503F7"/>
    <w:multiLevelType w:val="hybridMultilevel"/>
    <w:tmpl w:val="713462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C4C71C1"/>
    <w:multiLevelType w:val="hybridMultilevel"/>
    <w:tmpl w:val="9BCEA1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E8B2A1F"/>
    <w:multiLevelType w:val="hybridMultilevel"/>
    <w:tmpl w:val="4A46B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1F93E8F"/>
    <w:multiLevelType w:val="hybridMultilevel"/>
    <w:tmpl w:val="73028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2796584"/>
    <w:multiLevelType w:val="hybridMultilevel"/>
    <w:tmpl w:val="903E301A"/>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13">
    <w:nsid w:val="139A32D5"/>
    <w:multiLevelType w:val="hybridMultilevel"/>
    <w:tmpl w:val="9D30E068"/>
    <w:lvl w:ilvl="0" w:tplc="0C090003">
      <w:start w:val="1"/>
      <w:numFmt w:val="bullet"/>
      <w:lvlText w:val="o"/>
      <w:lvlJc w:val="left"/>
      <w:pPr>
        <w:ind w:left="678" w:hanging="360"/>
      </w:pPr>
      <w:rPr>
        <w:rFonts w:ascii="Courier New" w:hAnsi="Courier New" w:cs="Courier New" w:hint="default"/>
      </w:rPr>
    </w:lvl>
    <w:lvl w:ilvl="1" w:tplc="0C090019" w:tentative="1">
      <w:start w:val="1"/>
      <w:numFmt w:val="lowerLetter"/>
      <w:lvlText w:val="%2."/>
      <w:lvlJc w:val="left"/>
      <w:pPr>
        <w:ind w:left="1398" w:hanging="360"/>
      </w:pPr>
    </w:lvl>
    <w:lvl w:ilvl="2" w:tplc="0C09001B" w:tentative="1">
      <w:start w:val="1"/>
      <w:numFmt w:val="lowerRoman"/>
      <w:lvlText w:val="%3."/>
      <w:lvlJc w:val="right"/>
      <w:pPr>
        <w:ind w:left="2118" w:hanging="180"/>
      </w:pPr>
    </w:lvl>
    <w:lvl w:ilvl="3" w:tplc="0C09000F" w:tentative="1">
      <w:start w:val="1"/>
      <w:numFmt w:val="decimal"/>
      <w:lvlText w:val="%4."/>
      <w:lvlJc w:val="left"/>
      <w:pPr>
        <w:ind w:left="2838" w:hanging="360"/>
      </w:pPr>
    </w:lvl>
    <w:lvl w:ilvl="4" w:tplc="0C090019" w:tentative="1">
      <w:start w:val="1"/>
      <w:numFmt w:val="lowerLetter"/>
      <w:lvlText w:val="%5."/>
      <w:lvlJc w:val="left"/>
      <w:pPr>
        <w:ind w:left="3558" w:hanging="360"/>
      </w:pPr>
    </w:lvl>
    <w:lvl w:ilvl="5" w:tplc="0C09001B" w:tentative="1">
      <w:start w:val="1"/>
      <w:numFmt w:val="lowerRoman"/>
      <w:lvlText w:val="%6."/>
      <w:lvlJc w:val="right"/>
      <w:pPr>
        <w:ind w:left="4278" w:hanging="180"/>
      </w:pPr>
    </w:lvl>
    <w:lvl w:ilvl="6" w:tplc="0C09000F" w:tentative="1">
      <w:start w:val="1"/>
      <w:numFmt w:val="decimal"/>
      <w:lvlText w:val="%7."/>
      <w:lvlJc w:val="left"/>
      <w:pPr>
        <w:ind w:left="4998" w:hanging="360"/>
      </w:pPr>
    </w:lvl>
    <w:lvl w:ilvl="7" w:tplc="0C090019" w:tentative="1">
      <w:start w:val="1"/>
      <w:numFmt w:val="lowerLetter"/>
      <w:lvlText w:val="%8."/>
      <w:lvlJc w:val="left"/>
      <w:pPr>
        <w:ind w:left="5718" w:hanging="360"/>
      </w:pPr>
    </w:lvl>
    <w:lvl w:ilvl="8" w:tplc="0C09001B" w:tentative="1">
      <w:start w:val="1"/>
      <w:numFmt w:val="lowerRoman"/>
      <w:lvlText w:val="%9."/>
      <w:lvlJc w:val="right"/>
      <w:pPr>
        <w:ind w:left="6438" w:hanging="180"/>
      </w:pPr>
    </w:lvl>
  </w:abstractNum>
  <w:abstractNum w:abstractNumId="14">
    <w:nsid w:val="14664198"/>
    <w:multiLevelType w:val="hybridMultilevel"/>
    <w:tmpl w:val="4E22BD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69B65C5"/>
    <w:multiLevelType w:val="hybridMultilevel"/>
    <w:tmpl w:val="08A062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7AA7EAA"/>
    <w:multiLevelType w:val="multilevel"/>
    <w:tmpl w:val="9EDCE31A"/>
    <w:styleLink w:val="StyleBulleted"/>
    <w:lvl w:ilvl="0">
      <w:start w:val="1"/>
      <w:numFmt w:val="bullet"/>
      <w:lvlText w:val=""/>
      <w:lvlJc w:val="left"/>
      <w:pPr>
        <w:ind w:left="720" w:hanging="360"/>
      </w:pPr>
      <w:rPr>
        <w:rFonts w:ascii="Arial" w:hAnsi="Arial"/>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7">
    <w:nsid w:val="19DD7A5C"/>
    <w:multiLevelType w:val="hybridMultilevel"/>
    <w:tmpl w:val="F25EA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7A60E1"/>
    <w:multiLevelType w:val="multilevel"/>
    <w:tmpl w:val="58C4C7CA"/>
    <w:lvl w:ilvl="0">
      <w:start w:val="1"/>
      <w:numFmt w:val="decimal"/>
      <w:pStyle w:val="PMheading1"/>
      <w:lvlText w:val="%1"/>
      <w:lvlJc w:val="left"/>
      <w:pPr>
        <w:tabs>
          <w:tab w:val="num" w:pos="432"/>
        </w:tabs>
        <w:ind w:left="432" w:hanging="432"/>
      </w:pPr>
    </w:lvl>
    <w:lvl w:ilvl="1">
      <w:start w:val="1"/>
      <w:numFmt w:val="decimal"/>
      <w:pStyle w:val="RGPHeading2"/>
      <w:lvlText w:val="%1.%2"/>
      <w:lvlJc w:val="left"/>
      <w:pPr>
        <w:tabs>
          <w:tab w:val="num" w:pos="576"/>
        </w:tabs>
        <w:ind w:left="576"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B8566AF"/>
    <w:multiLevelType w:val="hybridMultilevel"/>
    <w:tmpl w:val="2496DD2A"/>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20">
    <w:nsid w:val="1E9742A8"/>
    <w:multiLevelType w:val="hybridMultilevel"/>
    <w:tmpl w:val="BCEAD3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F1A6945"/>
    <w:multiLevelType w:val="hybridMultilevel"/>
    <w:tmpl w:val="A0FC8F26"/>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22">
    <w:nsid w:val="1FBA6332"/>
    <w:multiLevelType w:val="hybridMultilevel"/>
    <w:tmpl w:val="91A60D96"/>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23">
    <w:nsid w:val="1FE262CE"/>
    <w:multiLevelType w:val="hybridMultilevel"/>
    <w:tmpl w:val="A5CC1D44"/>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24">
    <w:nsid w:val="26541B6C"/>
    <w:multiLevelType w:val="hybridMultilevel"/>
    <w:tmpl w:val="698EC3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6FB29D5"/>
    <w:multiLevelType w:val="hybridMultilevel"/>
    <w:tmpl w:val="19AE8D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B0C1EEC"/>
    <w:multiLevelType w:val="hybridMultilevel"/>
    <w:tmpl w:val="0B70103E"/>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27">
    <w:nsid w:val="2C3E7341"/>
    <w:multiLevelType w:val="hybridMultilevel"/>
    <w:tmpl w:val="A7F0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E64006B"/>
    <w:multiLevelType w:val="multilevel"/>
    <w:tmpl w:val="F706267A"/>
    <w:lvl w:ilvl="0">
      <w:start w:val="1"/>
      <w:numFmt w:val="decimal"/>
      <w:lvlText w:val="%1"/>
      <w:lvlJc w:val="left"/>
      <w:pPr>
        <w:tabs>
          <w:tab w:val="num" w:pos="432"/>
        </w:tabs>
        <w:ind w:left="432" w:hanging="432"/>
      </w:pPr>
      <w:rPr>
        <w:rFonts w:cs="Times New Roman" w:hint="default"/>
      </w:rPr>
    </w:lvl>
    <w:lvl w:ilvl="1">
      <w:start w:val="1"/>
      <w:numFmt w:val="decimal"/>
      <w:pStyle w:val="StyleHeading2Before12ptAfter3ptLinespacingMult"/>
      <w:lvlText w:val="%1.%2"/>
      <w:lvlJc w:val="left"/>
      <w:pPr>
        <w:tabs>
          <w:tab w:val="num" w:pos="576"/>
        </w:tabs>
        <w:ind w:left="576" w:hanging="576"/>
      </w:pPr>
      <w:rPr>
        <w:rFonts w:ascii="Trebuchet MS" w:hAnsi="Trebuchet MS" w:cs="Times New Roman" w:hint="default"/>
        <w:b w:val="0"/>
        <w:bCs w:val="0"/>
        <w:i w:val="0"/>
        <w:iCs w:val="0"/>
        <w:caps w:val="0"/>
        <w:strike w:val="0"/>
        <w:dstrike w:val="0"/>
        <w:vanish w:val="0"/>
        <w:color w:val="99CC00"/>
        <w:spacing w:val="0"/>
        <w:w w:val="100"/>
        <w:kern w:val="0"/>
        <w:position w:val="0"/>
        <w:sz w:val="20"/>
        <w:szCs w:val="2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2ECE3FE0"/>
    <w:multiLevelType w:val="hybridMultilevel"/>
    <w:tmpl w:val="5B4A82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FAA3C6F"/>
    <w:multiLevelType w:val="multilevel"/>
    <w:tmpl w:val="257EB1FE"/>
    <w:lvl w:ilvl="0">
      <w:start w:val="1"/>
      <w:numFmt w:val="decimal"/>
      <w:pStyle w:val="RGPheading1"/>
      <w:lvlText w:val="%1"/>
      <w:lvlJc w:val="left"/>
      <w:pPr>
        <w:tabs>
          <w:tab w:val="num" w:pos="432"/>
        </w:tabs>
        <w:ind w:left="432" w:hanging="432"/>
      </w:p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305449E7"/>
    <w:multiLevelType w:val="hybridMultilevel"/>
    <w:tmpl w:val="BEE278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0E048A1"/>
    <w:multiLevelType w:val="hybridMultilevel"/>
    <w:tmpl w:val="2E946090"/>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33">
    <w:nsid w:val="32691A63"/>
    <w:multiLevelType w:val="multilevel"/>
    <w:tmpl w:val="BF162C4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2138"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nsid w:val="331162FA"/>
    <w:multiLevelType w:val="hybridMultilevel"/>
    <w:tmpl w:val="B580A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48462DE"/>
    <w:multiLevelType w:val="hybridMultilevel"/>
    <w:tmpl w:val="693C840C"/>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36">
    <w:nsid w:val="349E3EDF"/>
    <w:multiLevelType w:val="hybridMultilevel"/>
    <w:tmpl w:val="65FCFC8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82D4B11"/>
    <w:multiLevelType w:val="hybridMultilevel"/>
    <w:tmpl w:val="AEF80962"/>
    <w:lvl w:ilvl="0" w:tplc="0C090001">
      <w:numFmt w:val="bullet"/>
      <w:pStyle w:val="BodyBullet"/>
      <w:lvlText w:val=""/>
      <w:lvlJc w:val="left"/>
      <w:pPr>
        <w:tabs>
          <w:tab w:val="num" w:pos="720"/>
        </w:tabs>
        <w:ind w:left="720" w:hanging="360"/>
      </w:pPr>
      <w:rPr>
        <w:rFonts w:ascii="Symbol" w:eastAsia="Times New Roman" w:hAnsi="Symbol" w:cs="Times New Roman"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397E5939"/>
    <w:multiLevelType w:val="hybridMultilevel"/>
    <w:tmpl w:val="4B8EF92E"/>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39">
    <w:nsid w:val="3AD00F6B"/>
    <w:multiLevelType w:val="hybridMultilevel"/>
    <w:tmpl w:val="4CC8E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BA1427C"/>
    <w:multiLevelType w:val="hybridMultilevel"/>
    <w:tmpl w:val="90D6C9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D651F18"/>
    <w:multiLevelType w:val="multilevel"/>
    <w:tmpl w:val="A238E12E"/>
    <w:lvl w:ilvl="0">
      <w:start w:val="1"/>
      <w:numFmt w:val="decimal"/>
      <w:lvlText w:val="%1"/>
      <w:lvlJc w:val="left"/>
      <w:pPr>
        <w:tabs>
          <w:tab w:val="num" w:pos="432"/>
        </w:tabs>
        <w:ind w:left="432" w:hanging="432"/>
      </w:pPr>
      <w:rPr>
        <w:rFonts w:cs="Times New Roman" w:hint="default"/>
      </w:rPr>
    </w:lvl>
    <w:lvl w:ilvl="1">
      <w:start w:val="1"/>
      <w:numFmt w:val="decimal"/>
      <w:pStyle w:val="StyleHeading2After6pt"/>
      <w:lvlText w:val="%1.%2"/>
      <w:lvlJc w:val="left"/>
      <w:pPr>
        <w:tabs>
          <w:tab w:val="num" w:pos="576"/>
        </w:tabs>
        <w:ind w:left="576" w:hanging="576"/>
      </w:pPr>
      <w:rPr>
        <w:rFonts w:ascii="Trebuchet MS" w:hAnsi="Trebuchet MS" w:cs="Times New Roman" w:hint="default"/>
        <w:b w:val="0"/>
        <w:bCs w:val="0"/>
        <w:i w:val="0"/>
        <w:iCs w:val="0"/>
        <w:caps w:val="0"/>
        <w:smallCaps w:val="0"/>
        <w:strike w:val="0"/>
        <w:dstrike w:val="0"/>
        <w:vanish w:val="0"/>
        <w:color w:val="99CC00"/>
        <w:spacing w:val="0"/>
        <w:w w:val="100"/>
        <w:kern w:val="0"/>
        <w:position w:val="0"/>
        <w:sz w:val="20"/>
        <w:szCs w:val="2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3D6A3CC6"/>
    <w:multiLevelType w:val="hybridMultilevel"/>
    <w:tmpl w:val="4CA855F8"/>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43">
    <w:nsid w:val="3EB31004"/>
    <w:multiLevelType w:val="hybridMultilevel"/>
    <w:tmpl w:val="97842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0DD2664"/>
    <w:multiLevelType w:val="hybridMultilevel"/>
    <w:tmpl w:val="28629430"/>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45">
    <w:nsid w:val="418A1B5E"/>
    <w:multiLevelType w:val="hybridMultilevel"/>
    <w:tmpl w:val="0A641FEC"/>
    <w:lvl w:ilvl="0" w:tplc="19E01AC4">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6F445F"/>
    <w:multiLevelType w:val="hybridMultilevel"/>
    <w:tmpl w:val="564ADB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6804E92"/>
    <w:multiLevelType w:val="hybridMultilevel"/>
    <w:tmpl w:val="EDEAC2F8"/>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48">
    <w:nsid w:val="49B313B6"/>
    <w:multiLevelType w:val="hybridMultilevel"/>
    <w:tmpl w:val="B3AEC1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D0D2CEC"/>
    <w:multiLevelType w:val="hybridMultilevel"/>
    <w:tmpl w:val="4D5056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E013C16"/>
    <w:multiLevelType w:val="hybridMultilevel"/>
    <w:tmpl w:val="D2B644D0"/>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51">
    <w:nsid w:val="4EB77B07"/>
    <w:multiLevelType w:val="hybridMultilevel"/>
    <w:tmpl w:val="3D1268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EC81AA5"/>
    <w:multiLevelType w:val="hybridMultilevel"/>
    <w:tmpl w:val="9E78FF12"/>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53">
    <w:nsid w:val="505E6B10"/>
    <w:multiLevelType w:val="hybridMultilevel"/>
    <w:tmpl w:val="0DBC2D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0836D2B"/>
    <w:multiLevelType w:val="hybridMultilevel"/>
    <w:tmpl w:val="98045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62931E3"/>
    <w:multiLevelType w:val="hybridMultilevel"/>
    <w:tmpl w:val="08AAB6EA"/>
    <w:lvl w:ilvl="0" w:tplc="8168DFF8">
      <w:start w:val="1"/>
      <w:numFmt w:val="bullet"/>
      <w:pStyle w:val="ListParagraphSummary"/>
      <w:lvlText w:val=""/>
      <w:lvlJc w:val="left"/>
      <w:pPr>
        <w:ind w:left="360" w:hanging="360"/>
      </w:pPr>
      <w:rPr>
        <w:rFonts w:ascii="Symbol" w:hAnsi="Symbol" w:hint="default"/>
        <w:sz w:val="20"/>
        <w:szCs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59CC25AC"/>
    <w:multiLevelType w:val="hybridMultilevel"/>
    <w:tmpl w:val="D6007444"/>
    <w:lvl w:ilvl="0" w:tplc="DBD2C3FA">
      <w:start w:val="1"/>
      <w:numFmt w:val="bullet"/>
      <w:pStyle w:val="ListParagraph"/>
      <w:lvlText w:val=""/>
      <w:lvlJc w:val="left"/>
      <w:pPr>
        <w:ind w:left="814"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nsid w:val="5CF32479"/>
    <w:multiLevelType w:val="hybridMultilevel"/>
    <w:tmpl w:val="0450D2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D3B6154"/>
    <w:multiLevelType w:val="hybridMultilevel"/>
    <w:tmpl w:val="485A2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ECE58AA"/>
    <w:multiLevelType w:val="hybridMultilevel"/>
    <w:tmpl w:val="7578224A"/>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60">
    <w:nsid w:val="68A43C55"/>
    <w:multiLevelType w:val="hybridMultilevel"/>
    <w:tmpl w:val="7A56BD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91C380B"/>
    <w:multiLevelType w:val="hybridMultilevel"/>
    <w:tmpl w:val="64C67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9FC2EB2"/>
    <w:multiLevelType w:val="hybridMultilevel"/>
    <w:tmpl w:val="623CF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E37149E"/>
    <w:multiLevelType w:val="hybridMultilevel"/>
    <w:tmpl w:val="EB326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27D0311"/>
    <w:multiLevelType w:val="hybridMultilevel"/>
    <w:tmpl w:val="83083170"/>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65">
    <w:nsid w:val="72E17EB2"/>
    <w:multiLevelType w:val="hybridMultilevel"/>
    <w:tmpl w:val="B6EAB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4663093"/>
    <w:multiLevelType w:val="hybridMultilevel"/>
    <w:tmpl w:val="761684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4D31029"/>
    <w:multiLevelType w:val="multilevel"/>
    <w:tmpl w:val="50F4FD0A"/>
    <w:lvl w:ilvl="0">
      <w:start w:val="1"/>
      <w:numFmt w:val="bullet"/>
      <w:pStyle w:val="Bullet1"/>
      <w:lvlText w:val="■"/>
      <w:lvlJc w:val="left"/>
      <w:pPr>
        <w:tabs>
          <w:tab w:val="num" w:pos="567"/>
        </w:tabs>
        <w:ind w:left="567" w:hanging="567"/>
      </w:pPr>
      <w:rPr>
        <w:rFonts w:ascii="Arial" w:hAnsi="Arial" w:cs="Times New Roman" w:hint="default"/>
        <w:color w:val="931638"/>
        <w:sz w:val="28"/>
      </w:rPr>
    </w:lvl>
    <w:lvl w:ilvl="1">
      <w:start w:val="1"/>
      <w:numFmt w:val="bullet"/>
      <w:lvlRestart w:val="0"/>
      <w:pStyle w:val="Bullet2"/>
      <w:lvlText w:val=""/>
      <w:lvlJc w:val="left"/>
      <w:pPr>
        <w:tabs>
          <w:tab w:val="num" w:pos="1134"/>
        </w:tabs>
        <w:ind w:left="1134" w:hanging="567"/>
      </w:pPr>
      <w:rPr>
        <w:rFonts w:ascii="Wingdings 3" w:hAnsi="Wingdings 3" w:hint="default"/>
        <w:b/>
        <w:i w:val="0"/>
        <w:color w:val="931638"/>
        <w:sz w:val="24"/>
      </w:rPr>
    </w:lvl>
    <w:lvl w:ilvl="2">
      <w:start w:val="1"/>
      <w:numFmt w:val="bullet"/>
      <w:pStyle w:val="Bullet3"/>
      <w:lvlText w:val="-"/>
      <w:lvlJc w:val="left"/>
      <w:pPr>
        <w:tabs>
          <w:tab w:val="num" w:pos="1701"/>
        </w:tabs>
        <w:ind w:left="1701" w:hanging="567"/>
      </w:pPr>
      <w:rPr>
        <w:rFonts w:ascii="Arial" w:hAnsi="Arial" w:cs="Times New Roman" w:hint="default"/>
        <w:color w:val="931638"/>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769C085D"/>
    <w:multiLevelType w:val="multilevel"/>
    <w:tmpl w:val="6E2C0A56"/>
    <w:lvl w:ilvl="0">
      <w:start w:val="1"/>
      <w:numFmt w:val="decimal"/>
      <w:pStyle w:val="PM10"/>
      <w:lvlText w:val="%1"/>
      <w:lvlJc w:val="left"/>
      <w:pPr>
        <w:tabs>
          <w:tab w:val="num" w:pos="1130"/>
        </w:tabs>
        <w:ind w:left="1130" w:hanging="432"/>
      </w:pPr>
    </w:lvl>
    <w:lvl w:ilvl="1">
      <w:start w:val="1"/>
      <w:numFmt w:val="decimal"/>
      <w:lvlText w:val="%1.%2"/>
      <w:lvlJc w:val="left"/>
      <w:pPr>
        <w:tabs>
          <w:tab w:val="num" w:pos="1274"/>
        </w:tabs>
        <w:ind w:left="1274" w:hanging="576"/>
      </w:pPr>
    </w:lvl>
    <w:lvl w:ilvl="2">
      <w:start w:val="1"/>
      <w:numFmt w:val="decimal"/>
      <w:lvlText w:val="%1.%2.%3"/>
      <w:lvlJc w:val="left"/>
      <w:pPr>
        <w:tabs>
          <w:tab w:val="num" w:pos="1418"/>
        </w:tabs>
        <w:ind w:left="1418" w:hanging="720"/>
      </w:pPr>
    </w:lvl>
    <w:lvl w:ilvl="3">
      <w:start w:val="1"/>
      <w:numFmt w:val="decimal"/>
      <w:lvlText w:val="%1.%2.%3.%4"/>
      <w:lvlJc w:val="left"/>
      <w:pPr>
        <w:tabs>
          <w:tab w:val="num" w:pos="1562"/>
        </w:tabs>
        <w:ind w:left="1562" w:hanging="864"/>
      </w:pPr>
    </w:lvl>
    <w:lvl w:ilvl="4">
      <w:start w:val="1"/>
      <w:numFmt w:val="decimal"/>
      <w:lvlText w:val="%1.%2.%3.%4.%5"/>
      <w:lvlJc w:val="left"/>
      <w:pPr>
        <w:tabs>
          <w:tab w:val="num" w:pos="1706"/>
        </w:tabs>
        <w:ind w:left="1706" w:hanging="1008"/>
      </w:pPr>
    </w:lvl>
    <w:lvl w:ilvl="5">
      <w:start w:val="1"/>
      <w:numFmt w:val="decimal"/>
      <w:lvlText w:val="%1.%2.%3.%4.%5.%6"/>
      <w:lvlJc w:val="left"/>
      <w:pPr>
        <w:tabs>
          <w:tab w:val="num" w:pos="1850"/>
        </w:tabs>
        <w:ind w:left="1850" w:hanging="1152"/>
      </w:pPr>
    </w:lvl>
    <w:lvl w:ilvl="6">
      <w:start w:val="1"/>
      <w:numFmt w:val="decimal"/>
      <w:lvlText w:val="%1.%2.%3.%4.%5.%6.%7"/>
      <w:lvlJc w:val="left"/>
      <w:pPr>
        <w:tabs>
          <w:tab w:val="num" w:pos="1994"/>
        </w:tabs>
        <w:ind w:left="1994" w:hanging="1296"/>
      </w:pPr>
    </w:lvl>
    <w:lvl w:ilvl="7">
      <w:start w:val="1"/>
      <w:numFmt w:val="decimal"/>
      <w:lvlText w:val="%1.%2.%3.%4.%5.%6.%7.%8"/>
      <w:lvlJc w:val="left"/>
      <w:pPr>
        <w:tabs>
          <w:tab w:val="num" w:pos="2138"/>
        </w:tabs>
        <w:ind w:left="2138" w:hanging="1440"/>
      </w:pPr>
    </w:lvl>
    <w:lvl w:ilvl="8">
      <w:start w:val="1"/>
      <w:numFmt w:val="decimal"/>
      <w:lvlText w:val="%1.%2.%3.%4.%5.%6.%7.%8.%9"/>
      <w:lvlJc w:val="left"/>
      <w:pPr>
        <w:tabs>
          <w:tab w:val="num" w:pos="2282"/>
        </w:tabs>
        <w:ind w:left="2282" w:hanging="1584"/>
      </w:pPr>
    </w:lvl>
  </w:abstractNum>
  <w:abstractNum w:abstractNumId="69">
    <w:nsid w:val="7B374098"/>
    <w:multiLevelType w:val="multilevel"/>
    <w:tmpl w:val="8662EC32"/>
    <w:lvl w:ilvl="0">
      <w:start w:val="1"/>
      <w:numFmt w:val="decimal"/>
      <w:lvlText w:val="%1"/>
      <w:lvlJc w:val="left"/>
      <w:pPr>
        <w:tabs>
          <w:tab w:val="num" w:pos="432"/>
        </w:tabs>
        <w:ind w:left="432" w:hanging="432"/>
      </w:pPr>
      <w:rPr>
        <w:rFonts w:cs="Times New Roman" w:hint="default"/>
      </w:rPr>
    </w:lvl>
    <w:lvl w:ilvl="1">
      <w:start w:val="1"/>
      <w:numFmt w:val="decimal"/>
      <w:pStyle w:val="StyleHeading2LatinArialBefore12ptAfter3ptLine"/>
      <w:lvlText w:val="%1.%2"/>
      <w:lvlJc w:val="left"/>
      <w:pPr>
        <w:tabs>
          <w:tab w:val="num" w:pos="576"/>
        </w:tabs>
        <w:ind w:left="576" w:hanging="576"/>
      </w:pPr>
      <w:rPr>
        <w:rFonts w:ascii="Trebuchet MS" w:hAnsi="Trebuchet MS" w:cs="Times New Roman" w:hint="default"/>
        <w:b w:val="0"/>
        <w:bCs w:val="0"/>
        <w:i w:val="0"/>
        <w:iCs w:val="0"/>
        <w:caps w:val="0"/>
        <w:strike w:val="0"/>
        <w:dstrike w:val="0"/>
        <w:vanish w:val="0"/>
        <w:color w:val="99CC00"/>
        <w:spacing w:val="0"/>
        <w:w w:val="100"/>
        <w:kern w:val="0"/>
        <w:position w:val="0"/>
        <w:sz w:val="20"/>
        <w:szCs w:val="2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0">
    <w:nsid w:val="7C0063C2"/>
    <w:multiLevelType w:val="hybridMultilevel"/>
    <w:tmpl w:val="A2BC7806"/>
    <w:lvl w:ilvl="0" w:tplc="47D062A2">
      <w:start w:val="1"/>
      <w:numFmt w:val="decimal"/>
      <w:pStyle w:val="Parah0number"/>
      <w:lvlText w:val="%1."/>
      <w:lvlJc w:val="left"/>
      <w:pPr>
        <w:tabs>
          <w:tab w:val="num" w:pos="357"/>
        </w:tabs>
        <w:ind w:left="357" w:hanging="357"/>
      </w:pPr>
      <w:rPr>
        <w:rFonts w:cs="Times New Roman"/>
      </w:rPr>
    </w:lvl>
    <w:lvl w:ilvl="1" w:tplc="6AB2C8C0">
      <w:start w:val="1"/>
      <w:numFmt w:val="lowerLetter"/>
      <w:lvlText w:val="%2."/>
      <w:lvlJc w:val="left"/>
      <w:pPr>
        <w:tabs>
          <w:tab w:val="num" w:pos="1440"/>
        </w:tabs>
        <w:ind w:left="1440" w:hanging="360"/>
      </w:pPr>
      <w:rPr>
        <w:rFonts w:cs="Times New Roman"/>
      </w:rPr>
    </w:lvl>
    <w:lvl w:ilvl="2" w:tplc="E0D27DE0">
      <w:start w:val="1"/>
      <w:numFmt w:val="lowerRoman"/>
      <w:lvlText w:val="%3."/>
      <w:lvlJc w:val="right"/>
      <w:pPr>
        <w:tabs>
          <w:tab w:val="num" w:pos="2160"/>
        </w:tabs>
        <w:ind w:left="2160" w:hanging="180"/>
      </w:pPr>
      <w:rPr>
        <w:rFonts w:cs="Times New Roman"/>
      </w:rPr>
    </w:lvl>
    <w:lvl w:ilvl="3" w:tplc="5BA08748">
      <w:start w:val="1"/>
      <w:numFmt w:val="decimal"/>
      <w:lvlText w:val="%4."/>
      <w:lvlJc w:val="left"/>
      <w:pPr>
        <w:tabs>
          <w:tab w:val="num" w:pos="2880"/>
        </w:tabs>
        <w:ind w:left="2880" w:hanging="360"/>
      </w:pPr>
      <w:rPr>
        <w:rFonts w:cs="Times New Roman"/>
      </w:rPr>
    </w:lvl>
    <w:lvl w:ilvl="4" w:tplc="5D52AB9E">
      <w:start w:val="1"/>
      <w:numFmt w:val="lowerLetter"/>
      <w:lvlText w:val="%5."/>
      <w:lvlJc w:val="left"/>
      <w:pPr>
        <w:tabs>
          <w:tab w:val="num" w:pos="3600"/>
        </w:tabs>
        <w:ind w:left="3600" w:hanging="360"/>
      </w:pPr>
      <w:rPr>
        <w:rFonts w:cs="Times New Roman"/>
      </w:rPr>
    </w:lvl>
    <w:lvl w:ilvl="5" w:tplc="52108FBC">
      <w:start w:val="1"/>
      <w:numFmt w:val="lowerRoman"/>
      <w:lvlText w:val="%6."/>
      <w:lvlJc w:val="right"/>
      <w:pPr>
        <w:tabs>
          <w:tab w:val="num" w:pos="4320"/>
        </w:tabs>
        <w:ind w:left="4320" w:hanging="180"/>
      </w:pPr>
      <w:rPr>
        <w:rFonts w:cs="Times New Roman"/>
      </w:rPr>
    </w:lvl>
    <w:lvl w:ilvl="6" w:tplc="BFB4D332">
      <w:start w:val="1"/>
      <w:numFmt w:val="decimal"/>
      <w:lvlText w:val="%7."/>
      <w:lvlJc w:val="left"/>
      <w:pPr>
        <w:tabs>
          <w:tab w:val="num" w:pos="5040"/>
        </w:tabs>
        <w:ind w:left="5040" w:hanging="360"/>
      </w:pPr>
      <w:rPr>
        <w:rFonts w:cs="Times New Roman"/>
      </w:rPr>
    </w:lvl>
    <w:lvl w:ilvl="7" w:tplc="D154FDCA">
      <w:start w:val="1"/>
      <w:numFmt w:val="lowerLetter"/>
      <w:lvlText w:val="%8."/>
      <w:lvlJc w:val="left"/>
      <w:pPr>
        <w:tabs>
          <w:tab w:val="num" w:pos="5760"/>
        </w:tabs>
        <w:ind w:left="5760" w:hanging="360"/>
      </w:pPr>
      <w:rPr>
        <w:rFonts w:cs="Times New Roman"/>
      </w:rPr>
    </w:lvl>
    <w:lvl w:ilvl="8" w:tplc="DE4EE96E">
      <w:start w:val="1"/>
      <w:numFmt w:val="lowerRoman"/>
      <w:lvlText w:val="%9."/>
      <w:lvlJc w:val="right"/>
      <w:pPr>
        <w:tabs>
          <w:tab w:val="num" w:pos="6480"/>
        </w:tabs>
        <w:ind w:left="6480" w:hanging="180"/>
      </w:pPr>
      <w:rPr>
        <w:rFonts w:cs="Times New Roman"/>
      </w:rPr>
    </w:lvl>
  </w:abstractNum>
  <w:abstractNum w:abstractNumId="71">
    <w:nsid w:val="7C505909"/>
    <w:multiLevelType w:val="hybridMultilevel"/>
    <w:tmpl w:val="D4E851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C9C481D"/>
    <w:multiLevelType w:val="hybridMultilevel"/>
    <w:tmpl w:val="AEB048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D78447B"/>
    <w:multiLevelType w:val="hybridMultilevel"/>
    <w:tmpl w:val="D1E82EAA"/>
    <w:lvl w:ilvl="0" w:tplc="0C090003">
      <w:start w:val="1"/>
      <w:numFmt w:val="bullet"/>
      <w:lvlText w:val="o"/>
      <w:lvlJc w:val="left"/>
      <w:pPr>
        <w:ind w:left="678" w:hanging="360"/>
      </w:pPr>
      <w:rPr>
        <w:rFonts w:ascii="Courier New" w:hAnsi="Courier New" w:cs="Courier New"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74">
    <w:nsid w:val="7E0E2032"/>
    <w:multiLevelType w:val="hybridMultilevel"/>
    <w:tmpl w:val="03E6E5C2"/>
    <w:lvl w:ilvl="0" w:tplc="585C241E">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7F070C7C"/>
    <w:multiLevelType w:val="multilevel"/>
    <w:tmpl w:val="B150F492"/>
    <w:lvl w:ilvl="0">
      <w:start w:val="5"/>
      <w:numFmt w:val="decimal"/>
      <w:pStyle w:val="Subsubheading"/>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pStyle w:val="Subsubheading"/>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30"/>
  </w:num>
  <w:num w:numId="2">
    <w:abstractNumId w:val="6"/>
  </w:num>
  <w:num w:numId="3">
    <w:abstractNumId w:val="68"/>
  </w:num>
  <w:num w:numId="4">
    <w:abstractNumId w:val="37"/>
  </w:num>
  <w:num w:numId="5">
    <w:abstractNumId w:val="16"/>
  </w:num>
  <w:num w:numId="6">
    <w:abstractNumId w:val="18"/>
  </w:num>
  <w:num w:numId="7">
    <w:abstractNumId w:val="41"/>
  </w:num>
  <w:num w:numId="8">
    <w:abstractNumId w:val="28"/>
  </w:num>
  <w:num w:numId="9">
    <w:abstractNumId w:val="69"/>
  </w:num>
  <w:num w:numId="10">
    <w:abstractNumId w:val="55"/>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num>
  <w:num w:numId="14">
    <w:abstractNumId w:val="74"/>
  </w:num>
  <w:num w:numId="15">
    <w:abstractNumId w:val="33"/>
  </w:num>
  <w:num w:numId="16">
    <w:abstractNumId w:val="0"/>
  </w:num>
  <w:num w:numId="17">
    <w:abstractNumId w:val="2"/>
  </w:num>
  <w:num w:numId="18">
    <w:abstractNumId w:val="56"/>
  </w:num>
  <w:num w:numId="19">
    <w:abstractNumId w:val="3"/>
  </w:num>
  <w:num w:numId="20">
    <w:abstractNumId w:val="1"/>
  </w:num>
  <w:num w:numId="21">
    <w:abstractNumId w:val="2"/>
    <w:lvlOverride w:ilvl="0">
      <w:startOverride w:val="1"/>
    </w:lvlOverride>
  </w:num>
  <w:num w:numId="22">
    <w:abstractNumId w:val="75"/>
  </w:num>
  <w:num w:numId="23">
    <w:abstractNumId w:val="27"/>
  </w:num>
  <w:num w:numId="24">
    <w:abstractNumId w:val="62"/>
  </w:num>
  <w:num w:numId="25">
    <w:abstractNumId w:val="58"/>
  </w:num>
  <w:num w:numId="26">
    <w:abstractNumId w:val="34"/>
  </w:num>
  <w:num w:numId="27">
    <w:abstractNumId w:val="65"/>
  </w:num>
  <w:num w:numId="28">
    <w:abstractNumId w:val="7"/>
  </w:num>
  <w:num w:numId="29">
    <w:abstractNumId w:val="8"/>
  </w:num>
  <w:num w:numId="30">
    <w:abstractNumId w:val="14"/>
  </w:num>
  <w:num w:numId="31">
    <w:abstractNumId w:val="51"/>
  </w:num>
  <w:num w:numId="32">
    <w:abstractNumId w:val="46"/>
  </w:num>
  <w:num w:numId="33">
    <w:abstractNumId w:val="31"/>
  </w:num>
  <w:num w:numId="34">
    <w:abstractNumId w:val="61"/>
  </w:num>
  <w:num w:numId="35">
    <w:abstractNumId w:val="57"/>
  </w:num>
  <w:num w:numId="36">
    <w:abstractNumId w:val="36"/>
  </w:num>
  <w:num w:numId="37">
    <w:abstractNumId w:val="60"/>
  </w:num>
  <w:num w:numId="38">
    <w:abstractNumId w:val="39"/>
  </w:num>
  <w:num w:numId="39">
    <w:abstractNumId w:val="66"/>
  </w:num>
  <w:num w:numId="40">
    <w:abstractNumId w:val="5"/>
  </w:num>
  <w:num w:numId="41">
    <w:abstractNumId w:val="24"/>
  </w:num>
  <w:num w:numId="42">
    <w:abstractNumId w:val="53"/>
  </w:num>
  <w:num w:numId="43">
    <w:abstractNumId w:val="20"/>
  </w:num>
  <w:num w:numId="44">
    <w:abstractNumId w:val="15"/>
  </w:num>
  <w:num w:numId="45">
    <w:abstractNumId w:val="10"/>
  </w:num>
  <w:num w:numId="46">
    <w:abstractNumId w:val="17"/>
  </w:num>
  <w:num w:numId="47">
    <w:abstractNumId w:val="11"/>
  </w:num>
  <w:num w:numId="48">
    <w:abstractNumId w:val="49"/>
  </w:num>
  <w:num w:numId="49">
    <w:abstractNumId w:val="63"/>
  </w:num>
  <w:num w:numId="50">
    <w:abstractNumId w:val="54"/>
  </w:num>
  <w:num w:numId="51">
    <w:abstractNumId w:val="43"/>
  </w:num>
  <w:num w:numId="52">
    <w:abstractNumId w:val="72"/>
  </w:num>
  <w:num w:numId="53">
    <w:abstractNumId w:val="48"/>
  </w:num>
  <w:num w:numId="54">
    <w:abstractNumId w:val="40"/>
  </w:num>
  <w:num w:numId="55">
    <w:abstractNumId w:val="25"/>
  </w:num>
  <w:num w:numId="56">
    <w:abstractNumId w:val="9"/>
  </w:num>
  <w:num w:numId="57">
    <w:abstractNumId w:val="50"/>
  </w:num>
  <w:num w:numId="58">
    <w:abstractNumId w:val="21"/>
  </w:num>
  <w:num w:numId="59">
    <w:abstractNumId w:val="42"/>
  </w:num>
  <w:num w:numId="60">
    <w:abstractNumId w:val="71"/>
  </w:num>
  <w:num w:numId="61">
    <w:abstractNumId w:val="22"/>
  </w:num>
  <w:num w:numId="62">
    <w:abstractNumId w:val="32"/>
  </w:num>
  <w:num w:numId="63">
    <w:abstractNumId w:val="47"/>
  </w:num>
  <w:num w:numId="64">
    <w:abstractNumId w:val="19"/>
  </w:num>
  <w:num w:numId="65">
    <w:abstractNumId w:val="38"/>
  </w:num>
  <w:num w:numId="66">
    <w:abstractNumId w:val="26"/>
  </w:num>
  <w:num w:numId="67">
    <w:abstractNumId w:val="64"/>
  </w:num>
  <w:num w:numId="68">
    <w:abstractNumId w:val="59"/>
  </w:num>
  <w:num w:numId="69">
    <w:abstractNumId w:val="52"/>
  </w:num>
  <w:num w:numId="70">
    <w:abstractNumId w:val="13"/>
  </w:num>
  <w:num w:numId="71">
    <w:abstractNumId w:val="23"/>
  </w:num>
  <w:num w:numId="72">
    <w:abstractNumId w:val="44"/>
  </w:num>
  <w:num w:numId="73">
    <w:abstractNumId w:val="29"/>
  </w:num>
  <w:num w:numId="74">
    <w:abstractNumId w:val="12"/>
  </w:num>
  <w:num w:numId="75">
    <w:abstractNumId w:val="35"/>
  </w:num>
  <w:num w:numId="76">
    <w:abstractNumId w:val="73"/>
  </w:num>
  <w:num w:numId="77">
    <w:abstractNumId w:val="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00"/>
  <w:displayHorizontalDrawingGridEvery w:val="2"/>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4F9"/>
    <w:rsid w:val="00000998"/>
    <w:rsid w:val="00002536"/>
    <w:rsid w:val="00003200"/>
    <w:rsid w:val="00004D9B"/>
    <w:rsid w:val="0000597E"/>
    <w:rsid w:val="000061EE"/>
    <w:rsid w:val="000065A4"/>
    <w:rsid w:val="00006E90"/>
    <w:rsid w:val="000100E3"/>
    <w:rsid w:val="00010456"/>
    <w:rsid w:val="0001048F"/>
    <w:rsid w:val="00010915"/>
    <w:rsid w:val="00010FB4"/>
    <w:rsid w:val="00011566"/>
    <w:rsid w:val="000129EA"/>
    <w:rsid w:val="00014032"/>
    <w:rsid w:val="000140ED"/>
    <w:rsid w:val="0001586D"/>
    <w:rsid w:val="00015B5A"/>
    <w:rsid w:val="00015CB1"/>
    <w:rsid w:val="000165D7"/>
    <w:rsid w:val="00016E2B"/>
    <w:rsid w:val="00017F99"/>
    <w:rsid w:val="00021415"/>
    <w:rsid w:val="00021F4F"/>
    <w:rsid w:val="00022201"/>
    <w:rsid w:val="0002228D"/>
    <w:rsid w:val="00022524"/>
    <w:rsid w:val="0002252D"/>
    <w:rsid w:val="0002457F"/>
    <w:rsid w:val="00025247"/>
    <w:rsid w:val="000270BB"/>
    <w:rsid w:val="00027D3A"/>
    <w:rsid w:val="000307F3"/>
    <w:rsid w:val="0003090D"/>
    <w:rsid w:val="00031274"/>
    <w:rsid w:val="00033884"/>
    <w:rsid w:val="00033DA9"/>
    <w:rsid w:val="000341FD"/>
    <w:rsid w:val="0003438D"/>
    <w:rsid w:val="00034BC1"/>
    <w:rsid w:val="00034E5C"/>
    <w:rsid w:val="00035BA4"/>
    <w:rsid w:val="00036E09"/>
    <w:rsid w:val="000371FB"/>
    <w:rsid w:val="00037A55"/>
    <w:rsid w:val="00037E07"/>
    <w:rsid w:val="00040BEF"/>
    <w:rsid w:val="0004273C"/>
    <w:rsid w:val="000429F4"/>
    <w:rsid w:val="0004529E"/>
    <w:rsid w:val="0004632C"/>
    <w:rsid w:val="00047946"/>
    <w:rsid w:val="00047BCD"/>
    <w:rsid w:val="00050349"/>
    <w:rsid w:val="0005048C"/>
    <w:rsid w:val="000524AD"/>
    <w:rsid w:val="00052593"/>
    <w:rsid w:val="00052C97"/>
    <w:rsid w:val="00053055"/>
    <w:rsid w:val="00055C17"/>
    <w:rsid w:val="00055C55"/>
    <w:rsid w:val="00057951"/>
    <w:rsid w:val="00057E27"/>
    <w:rsid w:val="000602DD"/>
    <w:rsid w:val="0006041E"/>
    <w:rsid w:val="00061CEF"/>
    <w:rsid w:val="0006248C"/>
    <w:rsid w:val="00063739"/>
    <w:rsid w:val="00063B8F"/>
    <w:rsid w:val="000644B1"/>
    <w:rsid w:val="0006461C"/>
    <w:rsid w:val="000658DF"/>
    <w:rsid w:val="00065FAD"/>
    <w:rsid w:val="00067141"/>
    <w:rsid w:val="0007142F"/>
    <w:rsid w:val="00071C50"/>
    <w:rsid w:val="00071E51"/>
    <w:rsid w:val="0007269E"/>
    <w:rsid w:val="00074B63"/>
    <w:rsid w:val="00076CE9"/>
    <w:rsid w:val="0007786A"/>
    <w:rsid w:val="000778AD"/>
    <w:rsid w:val="00080644"/>
    <w:rsid w:val="00080686"/>
    <w:rsid w:val="000809E3"/>
    <w:rsid w:val="00080CE7"/>
    <w:rsid w:val="0008129A"/>
    <w:rsid w:val="00081BE6"/>
    <w:rsid w:val="00082ECE"/>
    <w:rsid w:val="0008364F"/>
    <w:rsid w:val="00084518"/>
    <w:rsid w:val="00084FB9"/>
    <w:rsid w:val="00086C94"/>
    <w:rsid w:val="00087306"/>
    <w:rsid w:val="0009103B"/>
    <w:rsid w:val="00093159"/>
    <w:rsid w:val="000949C4"/>
    <w:rsid w:val="00095013"/>
    <w:rsid w:val="00095A59"/>
    <w:rsid w:val="00096C90"/>
    <w:rsid w:val="00097F36"/>
    <w:rsid w:val="000A0044"/>
    <w:rsid w:val="000A0522"/>
    <w:rsid w:val="000A2012"/>
    <w:rsid w:val="000A28FC"/>
    <w:rsid w:val="000A3651"/>
    <w:rsid w:val="000A4184"/>
    <w:rsid w:val="000A573C"/>
    <w:rsid w:val="000A5EB4"/>
    <w:rsid w:val="000A66A7"/>
    <w:rsid w:val="000A6C77"/>
    <w:rsid w:val="000B281C"/>
    <w:rsid w:val="000B2B59"/>
    <w:rsid w:val="000B2DC9"/>
    <w:rsid w:val="000B3200"/>
    <w:rsid w:val="000B3AF3"/>
    <w:rsid w:val="000B3CBF"/>
    <w:rsid w:val="000B4309"/>
    <w:rsid w:val="000B438B"/>
    <w:rsid w:val="000B4E9C"/>
    <w:rsid w:val="000B4F02"/>
    <w:rsid w:val="000B533A"/>
    <w:rsid w:val="000B61AE"/>
    <w:rsid w:val="000B61B9"/>
    <w:rsid w:val="000B621D"/>
    <w:rsid w:val="000B655A"/>
    <w:rsid w:val="000B75EA"/>
    <w:rsid w:val="000C029C"/>
    <w:rsid w:val="000C0D70"/>
    <w:rsid w:val="000C162E"/>
    <w:rsid w:val="000C19C5"/>
    <w:rsid w:val="000C1A08"/>
    <w:rsid w:val="000C1B67"/>
    <w:rsid w:val="000C44DC"/>
    <w:rsid w:val="000C51F9"/>
    <w:rsid w:val="000C5319"/>
    <w:rsid w:val="000C5D32"/>
    <w:rsid w:val="000C60A1"/>
    <w:rsid w:val="000C6757"/>
    <w:rsid w:val="000C7930"/>
    <w:rsid w:val="000D1A14"/>
    <w:rsid w:val="000D20EB"/>
    <w:rsid w:val="000D22C3"/>
    <w:rsid w:val="000D2EEF"/>
    <w:rsid w:val="000D34B2"/>
    <w:rsid w:val="000D392D"/>
    <w:rsid w:val="000D47A1"/>
    <w:rsid w:val="000D5811"/>
    <w:rsid w:val="000D668B"/>
    <w:rsid w:val="000D766B"/>
    <w:rsid w:val="000D796F"/>
    <w:rsid w:val="000E08E3"/>
    <w:rsid w:val="000E0A22"/>
    <w:rsid w:val="000E0BA5"/>
    <w:rsid w:val="000E135C"/>
    <w:rsid w:val="000E1691"/>
    <w:rsid w:val="000E1AF7"/>
    <w:rsid w:val="000E2D40"/>
    <w:rsid w:val="000E2F7F"/>
    <w:rsid w:val="000E3679"/>
    <w:rsid w:val="000E57CA"/>
    <w:rsid w:val="000E68C0"/>
    <w:rsid w:val="000E6F61"/>
    <w:rsid w:val="000F0174"/>
    <w:rsid w:val="000F0CB7"/>
    <w:rsid w:val="000F0ED9"/>
    <w:rsid w:val="000F197D"/>
    <w:rsid w:val="000F1FDB"/>
    <w:rsid w:val="000F297C"/>
    <w:rsid w:val="000F2DB8"/>
    <w:rsid w:val="000F2E77"/>
    <w:rsid w:val="000F2F59"/>
    <w:rsid w:val="000F3A4B"/>
    <w:rsid w:val="000F4687"/>
    <w:rsid w:val="000F51FE"/>
    <w:rsid w:val="000F5DCB"/>
    <w:rsid w:val="000F628B"/>
    <w:rsid w:val="000F6353"/>
    <w:rsid w:val="000F694B"/>
    <w:rsid w:val="000F748C"/>
    <w:rsid w:val="000F7BC1"/>
    <w:rsid w:val="001003BE"/>
    <w:rsid w:val="00101EBB"/>
    <w:rsid w:val="001020D4"/>
    <w:rsid w:val="001036DC"/>
    <w:rsid w:val="0010373B"/>
    <w:rsid w:val="00103DF1"/>
    <w:rsid w:val="00104FC1"/>
    <w:rsid w:val="001051EB"/>
    <w:rsid w:val="001053FC"/>
    <w:rsid w:val="00105523"/>
    <w:rsid w:val="001059B7"/>
    <w:rsid w:val="00111500"/>
    <w:rsid w:val="00111BD5"/>
    <w:rsid w:val="00111EE5"/>
    <w:rsid w:val="0011220E"/>
    <w:rsid w:val="0011237F"/>
    <w:rsid w:val="001127A4"/>
    <w:rsid w:val="00113707"/>
    <w:rsid w:val="00113C8D"/>
    <w:rsid w:val="00114088"/>
    <w:rsid w:val="00114512"/>
    <w:rsid w:val="00114A56"/>
    <w:rsid w:val="001155D5"/>
    <w:rsid w:val="00116BD2"/>
    <w:rsid w:val="00116CF4"/>
    <w:rsid w:val="00117850"/>
    <w:rsid w:val="00120256"/>
    <w:rsid w:val="001205EF"/>
    <w:rsid w:val="0012215C"/>
    <w:rsid w:val="00123965"/>
    <w:rsid w:val="00123D84"/>
    <w:rsid w:val="00124162"/>
    <w:rsid w:val="001242A3"/>
    <w:rsid w:val="00125818"/>
    <w:rsid w:val="00125FA9"/>
    <w:rsid w:val="001261E1"/>
    <w:rsid w:val="0012752D"/>
    <w:rsid w:val="001309E4"/>
    <w:rsid w:val="00131908"/>
    <w:rsid w:val="001331AF"/>
    <w:rsid w:val="0013372B"/>
    <w:rsid w:val="00133813"/>
    <w:rsid w:val="00134714"/>
    <w:rsid w:val="00134732"/>
    <w:rsid w:val="00134839"/>
    <w:rsid w:val="00135FB1"/>
    <w:rsid w:val="00136C51"/>
    <w:rsid w:val="001401EA"/>
    <w:rsid w:val="001405C4"/>
    <w:rsid w:val="00140FBA"/>
    <w:rsid w:val="001421D7"/>
    <w:rsid w:val="0014221F"/>
    <w:rsid w:val="00143428"/>
    <w:rsid w:val="00143B6F"/>
    <w:rsid w:val="001445D6"/>
    <w:rsid w:val="00144690"/>
    <w:rsid w:val="001447CD"/>
    <w:rsid w:val="00146692"/>
    <w:rsid w:val="001466F4"/>
    <w:rsid w:val="001475ED"/>
    <w:rsid w:val="00147B38"/>
    <w:rsid w:val="00147DC1"/>
    <w:rsid w:val="00147DC4"/>
    <w:rsid w:val="0015045A"/>
    <w:rsid w:val="00151F46"/>
    <w:rsid w:val="0015325D"/>
    <w:rsid w:val="0015423D"/>
    <w:rsid w:val="00154289"/>
    <w:rsid w:val="001544EC"/>
    <w:rsid w:val="0015453F"/>
    <w:rsid w:val="00154847"/>
    <w:rsid w:val="00157E7D"/>
    <w:rsid w:val="00161C38"/>
    <w:rsid w:val="00161C55"/>
    <w:rsid w:val="0016211F"/>
    <w:rsid w:val="001622FC"/>
    <w:rsid w:val="00162534"/>
    <w:rsid w:val="00162AE6"/>
    <w:rsid w:val="00162CA6"/>
    <w:rsid w:val="001631CE"/>
    <w:rsid w:val="001639DD"/>
    <w:rsid w:val="00164318"/>
    <w:rsid w:val="00165B6B"/>
    <w:rsid w:val="001660F7"/>
    <w:rsid w:val="00166AC9"/>
    <w:rsid w:val="00166F7F"/>
    <w:rsid w:val="001670A2"/>
    <w:rsid w:val="001701F8"/>
    <w:rsid w:val="00170470"/>
    <w:rsid w:val="00170B84"/>
    <w:rsid w:val="00170F24"/>
    <w:rsid w:val="00171079"/>
    <w:rsid w:val="001722A6"/>
    <w:rsid w:val="0017297A"/>
    <w:rsid w:val="00174B8F"/>
    <w:rsid w:val="00174E16"/>
    <w:rsid w:val="0017530C"/>
    <w:rsid w:val="00175F4C"/>
    <w:rsid w:val="00176486"/>
    <w:rsid w:val="00176645"/>
    <w:rsid w:val="00176891"/>
    <w:rsid w:val="00176B8E"/>
    <w:rsid w:val="001771C3"/>
    <w:rsid w:val="001771DD"/>
    <w:rsid w:val="001775C9"/>
    <w:rsid w:val="00177920"/>
    <w:rsid w:val="00177A2C"/>
    <w:rsid w:val="00180792"/>
    <w:rsid w:val="0018201B"/>
    <w:rsid w:val="00182D52"/>
    <w:rsid w:val="00183364"/>
    <w:rsid w:val="00183543"/>
    <w:rsid w:val="00184171"/>
    <w:rsid w:val="00185BB2"/>
    <w:rsid w:val="00185D49"/>
    <w:rsid w:val="001868CD"/>
    <w:rsid w:val="001876D1"/>
    <w:rsid w:val="00187811"/>
    <w:rsid w:val="00190C6C"/>
    <w:rsid w:val="00191773"/>
    <w:rsid w:val="001934FE"/>
    <w:rsid w:val="001949EA"/>
    <w:rsid w:val="00195192"/>
    <w:rsid w:val="001975C6"/>
    <w:rsid w:val="001A0C60"/>
    <w:rsid w:val="001A1E0E"/>
    <w:rsid w:val="001A22D1"/>
    <w:rsid w:val="001A3DBF"/>
    <w:rsid w:val="001A5399"/>
    <w:rsid w:val="001A585B"/>
    <w:rsid w:val="001A6596"/>
    <w:rsid w:val="001A78A4"/>
    <w:rsid w:val="001A7C85"/>
    <w:rsid w:val="001A7E55"/>
    <w:rsid w:val="001B0B57"/>
    <w:rsid w:val="001B0F39"/>
    <w:rsid w:val="001B2771"/>
    <w:rsid w:val="001B325A"/>
    <w:rsid w:val="001B3FF7"/>
    <w:rsid w:val="001B459D"/>
    <w:rsid w:val="001B4FC6"/>
    <w:rsid w:val="001B5552"/>
    <w:rsid w:val="001B623E"/>
    <w:rsid w:val="001B6334"/>
    <w:rsid w:val="001C112E"/>
    <w:rsid w:val="001C1286"/>
    <w:rsid w:val="001C15C3"/>
    <w:rsid w:val="001C28F2"/>
    <w:rsid w:val="001C48FE"/>
    <w:rsid w:val="001C4F01"/>
    <w:rsid w:val="001C5C42"/>
    <w:rsid w:val="001C5CBA"/>
    <w:rsid w:val="001D11D1"/>
    <w:rsid w:val="001D1975"/>
    <w:rsid w:val="001D1CF6"/>
    <w:rsid w:val="001D1D83"/>
    <w:rsid w:val="001D1EFE"/>
    <w:rsid w:val="001D3133"/>
    <w:rsid w:val="001D3377"/>
    <w:rsid w:val="001D34A2"/>
    <w:rsid w:val="001D5B80"/>
    <w:rsid w:val="001D64D0"/>
    <w:rsid w:val="001D65B0"/>
    <w:rsid w:val="001D6EF7"/>
    <w:rsid w:val="001D78A7"/>
    <w:rsid w:val="001D7BA5"/>
    <w:rsid w:val="001E1F8A"/>
    <w:rsid w:val="001E233E"/>
    <w:rsid w:val="001E328D"/>
    <w:rsid w:val="001E3301"/>
    <w:rsid w:val="001E388A"/>
    <w:rsid w:val="001E3EE9"/>
    <w:rsid w:val="001E4060"/>
    <w:rsid w:val="001E5408"/>
    <w:rsid w:val="001E55B0"/>
    <w:rsid w:val="001E6C39"/>
    <w:rsid w:val="001E79E5"/>
    <w:rsid w:val="001F1DA5"/>
    <w:rsid w:val="001F2433"/>
    <w:rsid w:val="001F32CB"/>
    <w:rsid w:val="001F38B1"/>
    <w:rsid w:val="001F546B"/>
    <w:rsid w:val="001F5E04"/>
    <w:rsid w:val="001F7FF1"/>
    <w:rsid w:val="00200DF9"/>
    <w:rsid w:val="00200FDD"/>
    <w:rsid w:val="002020CF"/>
    <w:rsid w:val="002021C2"/>
    <w:rsid w:val="002031B3"/>
    <w:rsid w:val="00203A6D"/>
    <w:rsid w:val="002040A9"/>
    <w:rsid w:val="00204ED9"/>
    <w:rsid w:val="00205050"/>
    <w:rsid w:val="002057E2"/>
    <w:rsid w:val="002059A2"/>
    <w:rsid w:val="00206B29"/>
    <w:rsid w:val="002074C4"/>
    <w:rsid w:val="00211BD9"/>
    <w:rsid w:val="002124CB"/>
    <w:rsid w:val="002124E4"/>
    <w:rsid w:val="00212D9E"/>
    <w:rsid w:val="002131A5"/>
    <w:rsid w:val="002139D0"/>
    <w:rsid w:val="00213E05"/>
    <w:rsid w:val="00215186"/>
    <w:rsid w:val="0021529C"/>
    <w:rsid w:val="002154EE"/>
    <w:rsid w:val="00215F36"/>
    <w:rsid w:val="00216501"/>
    <w:rsid w:val="0021693A"/>
    <w:rsid w:val="00216CA1"/>
    <w:rsid w:val="00216FA6"/>
    <w:rsid w:val="0022027F"/>
    <w:rsid w:val="00220B18"/>
    <w:rsid w:val="00221119"/>
    <w:rsid w:val="002216A1"/>
    <w:rsid w:val="00221E66"/>
    <w:rsid w:val="002230EB"/>
    <w:rsid w:val="00223460"/>
    <w:rsid w:val="002239A5"/>
    <w:rsid w:val="002252D4"/>
    <w:rsid w:val="00225A58"/>
    <w:rsid w:val="00225D10"/>
    <w:rsid w:val="00225E79"/>
    <w:rsid w:val="002260EA"/>
    <w:rsid w:val="00226BB1"/>
    <w:rsid w:val="00226F84"/>
    <w:rsid w:val="00227036"/>
    <w:rsid w:val="00231273"/>
    <w:rsid w:val="0023136A"/>
    <w:rsid w:val="0023177F"/>
    <w:rsid w:val="002319EC"/>
    <w:rsid w:val="00231B2C"/>
    <w:rsid w:val="00231C63"/>
    <w:rsid w:val="002338ED"/>
    <w:rsid w:val="00233AA1"/>
    <w:rsid w:val="00234869"/>
    <w:rsid w:val="00234E16"/>
    <w:rsid w:val="0023520F"/>
    <w:rsid w:val="0023676C"/>
    <w:rsid w:val="0024049D"/>
    <w:rsid w:val="00240710"/>
    <w:rsid w:val="002407BF"/>
    <w:rsid w:val="00241AFA"/>
    <w:rsid w:val="00242652"/>
    <w:rsid w:val="00242E43"/>
    <w:rsid w:val="00244423"/>
    <w:rsid w:val="00245A06"/>
    <w:rsid w:val="00245F76"/>
    <w:rsid w:val="00245FC1"/>
    <w:rsid w:val="002460D1"/>
    <w:rsid w:val="00246AD4"/>
    <w:rsid w:val="0024766C"/>
    <w:rsid w:val="00247830"/>
    <w:rsid w:val="00247BA8"/>
    <w:rsid w:val="00247BE7"/>
    <w:rsid w:val="00250500"/>
    <w:rsid w:val="002543C6"/>
    <w:rsid w:val="00254AAD"/>
    <w:rsid w:val="00254F83"/>
    <w:rsid w:val="00257B2B"/>
    <w:rsid w:val="002604F8"/>
    <w:rsid w:val="00260937"/>
    <w:rsid w:val="00261EFC"/>
    <w:rsid w:val="002626FA"/>
    <w:rsid w:val="002631DE"/>
    <w:rsid w:val="002638C4"/>
    <w:rsid w:val="00263F07"/>
    <w:rsid w:val="00264B9D"/>
    <w:rsid w:val="0026595A"/>
    <w:rsid w:val="00266198"/>
    <w:rsid w:val="00266E34"/>
    <w:rsid w:val="00267112"/>
    <w:rsid w:val="002673FA"/>
    <w:rsid w:val="00267D13"/>
    <w:rsid w:val="002704E8"/>
    <w:rsid w:val="0027142F"/>
    <w:rsid w:val="0027157D"/>
    <w:rsid w:val="00271AFC"/>
    <w:rsid w:val="002726A9"/>
    <w:rsid w:val="00272D31"/>
    <w:rsid w:val="00273FF9"/>
    <w:rsid w:val="002740D8"/>
    <w:rsid w:val="002748E1"/>
    <w:rsid w:val="0027523F"/>
    <w:rsid w:val="0027564A"/>
    <w:rsid w:val="00276450"/>
    <w:rsid w:val="002772C0"/>
    <w:rsid w:val="00277820"/>
    <w:rsid w:val="00277D5F"/>
    <w:rsid w:val="00281E4D"/>
    <w:rsid w:val="002823B0"/>
    <w:rsid w:val="00283D39"/>
    <w:rsid w:val="0028534E"/>
    <w:rsid w:val="002868DC"/>
    <w:rsid w:val="00290A72"/>
    <w:rsid w:val="00290FC3"/>
    <w:rsid w:val="00291474"/>
    <w:rsid w:val="00291BA8"/>
    <w:rsid w:val="00292720"/>
    <w:rsid w:val="00293406"/>
    <w:rsid w:val="00294CFD"/>
    <w:rsid w:val="00295A26"/>
    <w:rsid w:val="002963AE"/>
    <w:rsid w:val="002974CE"/>
    <w:rsid w:val="00297B19"/>
    <w:rsid w:val="00297C20"/>
    <w:rsid w:val="002A05F2"/>
    <w:rsid w:val="002A15AD"/>
    <w:rsid w:val="002A1BF2"/>
    <w:rsid w:val="002A1C76"/>
    <w:rsid w:val="002A1E15"/>
    <w:rsid w:val="002A1FA6"/>
    <w:rsid w:val="002A24A9"/>
    <w:rsid w:val="002A2A25"/>
    <w:rsid w:val="002A2DEF"/>
    <w:rsid w:val="002A4A2A"/>
    <w:rsid w:val="002A4F41"/>
    <w:rsid w:val="002A51FC"/>
    <w:rsid w:val="002A5248"/>
    <w:rsid w:val="002A534A"/>
    <w:rsid w:val="002A5549"/>
    <w:rsid w:val="002A5AB0"/>
    <w:rsid w:val="002A7AF7"/>
    <w:rsid w:val="002B1F67"/>
    <w:rsid w:val="002B21E7"/>
    <w:rsid w:val="002B2FB8"/>
    <w:rsid w:val="002B3691"/>
    <w:rsid w:val="002B475A"/>
    <w:rsid w:val="002B5B0C"/>
    <w:rsid w:val="002B6A3E"/>
    <w:rsid w:val="002B7A58"/>
    <w:rsid w:val="002C1145"/>
    <w:rsid w:val="002C14D7"/>
    <w:rsid w:val="002C1DFB"/>
    <w:rsid w:val="002C24E3"/>
    <w:rsid w:val="002C2FA4"/>
    <w:rsid w:val="002C3E6D"/>
    <w:rsid w:val="002C499E"/>
    <w:rsid w:val="002C51CD"/>
    <w:rsid w:val="002C5ABC"/>
    <w:rsid w:val="002C6DCB"/>
    <w:rsid w:val="002D0603"/>
    <w:rsid w:val="002D0A23"/>
    <w:rsid w:val="002D0DE8"/>
    <w:rsid w:val="002D0F85"/>
    <w:rsid w:val="002D17FC"/>
    <w:rsid w:val="002D188B"/>
    <w:rsid w:val="002D1F3A"/>
    <w:rsid w:val="002D3403"/>
    <w:rsid w:val="002D3E90"/>
    <w:rsid w:val="002D42B3"/>
    <w:rsid w:val="002D44DF"/>
    <w:rsid w:val="002D552D"/>
    <w:rsid w:val="002D5D1C"/>
    <w:rsid w:val="002D65E9"/>
    <w:rsid w:val="002D6C3E"/>
    <w:rsid w:val="002E049A"/>
    <w:rsid w:val="002E0D36"/>
    <w:rsid w:val="002E13D6"/>
    <w:rsid w:val="002E13EF"/>
    <w:rsid w:val="002E1621"/>
    <w:rsid w:val="002E1861"/>
    <w:rsid w:val="002E5291"/>
    <w:rsid w:val="002E5A85"/>
    <w:rsid w:val="002E60C6"/>
    <w:rsid w:val="002E60CF"/>
    <w:rsid w:val="002E64FC"/>
    <w:rsid w:val="002E69AE"/>
    <w:rsid w:val="002E6A64"/>
    <w:rsid w:val="002E6E82"/>
    <w:rsid w:val="002F0FCC"/>
    <w:rsid w:val="002F203C"/>
    <w:rsid w:val="002F2186"/>
    <w:rsid w:val="002F2904"/>
    <w:rsid w:val="002F38EC"/>
    <w:rsid w:val="002F3C3F"/>
    <w:rsid w:val="002F3D5E"/>
    <w:rsid w:val="002F3DF2"/>
    <w:rsid w:val="002F4125"/>
    <w:rsid w:val="002F6151"/>
    <w:rsid w:val="00300038"/>
    <w:rsid w:val="00300EA2"/>
    <w:rsid w:val="003021B6"/>
    <w:rsid w:val="00302FE7"/>
    <w:rsid w:val="0030307E"/>
    <w:rsid w:val="0030315F"/>
    <w:rsid w:val="00303EFA"/>
    <w:rsid w:val="00304751"/>
    <w:rsid w:val="00306781"/>
    <w:rsid w:val="00306DFE"/>
    <w:rsid w:val="00307782"/>
    <w:rsid w:val="003100A0"/>
    <w:rsid w:val="0031056F"/>
    <w:rsid w:val="00312DBC"/>
    <w:rsid w:val="00312FEA"/>
    <w:rsid w:val="0031326D"/>
    <w:rsid w:val="003135D3"/>
    <w:rsid w:val="00313E62"/>
    <w:rsid w:val="00315588"/>
    <w:rsid w:val="00315CB4"/>
    <w:rsid w:val="0031713A"/>
    <w:rsid w:val="00317DD7"/>
    <w:rsid w:val="003203D1"/>
    <w:rsid w:val="00320F46"/>
    <w:rsid w:val="00321361"/>
    <w:rsid w:val="0032152D"/>
    <w:rsid w:val="00321E3E"/>
    <w:rsid w:val="00322A59"/>
    <w:rsid w:val="00322D6B"/>
    <w:rsid w:val="003233C6"/>
    <w:rsid w:val="00323B1A"/>
    <w:rsid w:val="00323B99"/>
    <w:rsid w:val="00323F07"/>
    <w:rsid w:val="00324362"/>
    <w:rsid w:val="003246EF"/>
    <w:rsid w:val="003248AA"/>
    <w:rsid w:val="00324A41"/>
    <w:rsid w:val="003268B4"/>
    <w:rsid w:val="003275DE"/>
    <w:rsid w:val="00327797"/>
    <w:rsid w:val="003278B8"/>
    <w:rsid w:val="00327FEA"/>
    <w:rsid w:val="00330027"/>
    <w:rsid w:val="00330CFD"/>
    <w:rsid w:val="00330E63"/>
    <w:rsid w:val="00331523"/>
    <w:rsid w:val="00332D2E"/>
    <w:rsid w:val="003330E4"/>
    <w:rsid w:val="00333173"/>
    <w:rsid w:val="00333274"/>
    <w:rsid w:val="003332C0"/>
    <w:rsid w:val="003332F9"/>
    <w:rsid w:val="00333806"/>
    <w:rsid w:val="00335A31"/>
    <w:rsid w:val="00335D0B"/>
    <w:rsid w:val="003365C0"/>
    <w:rsid w:val="00337461"/>
    <w:rsid w:val="00340A19"/>
    <w:rsid w:val="00340BF6"/>
    <w:rsid w:val="00340C09"/>
    <w:rsid w:val="00342C7B"/>
    <w:rsid w:val="00342F74"/>
    <w:rsid w:val="00343291"/>
    <w:rsid w:val="003442A1"/>
    <w:rsid w:val="0034456C"/>
    <w:rsid w:val="00344AF9"/>
    <w:rsid w:val="0034512F"/>
    <w:rsid w:val="00350BCD"/>
    <w:rsid w:val="003514B1"/>
    <w:rsid w:val="0035173F"/>
    <w:rsid w:val="00354CE8"/>
    <w:rsid w:val="00356612"/>
    <w:rsid w:val="00357E62"/>
    <w:rsid w:val="00360CF3"/>
    <w:rsid w:val="0036152D"/>
    <w:rsid w:val="00361651"/>
    <w:rsid w:val="00362945"/>
    <w:rsid w:val="00362A33"/>
    <w:rsid w:val="00362D7E"/>
    <w:rsid w:val="003638FD"/>
    <w:rsid w:val="00364049"/>
    <w:rsid w:val="0036610C"/>
    <w:rsid w:val="0036752B"/>
    <w:rsid w:val="00370181"/>
    <w:rsid w:val="00371EFF"/>
    <w:rsid w:val="003725C7"/>
    <w:rsid w:val="0037372F"/>
    <w:rsid w:val="003737AA"/>
    <w:rsid w:val="00374422"/>
    <w:rsid w:val="0037462C"/>
    <w:rsid w:val="003753D6"/>
    <w:rsid w:val="003756EF"/>
    <w:rsid w:val="00376140"/>
    <w:rsid w:val="00376ADD"/>
    <w:rsid w:val="00376E7B"/>
    <w:rsid w:val="00377F5C"/>
    <w:rsid w:val="003807F9"/>
    <w:rsid w:val="00380F88"/>
    <w:rsid w:val="003810A3"/>
    <w:rsid w:val="00382044"/>
    <w:rsid w:val="00382236"/>
    <w:rsid w:val="00384AB6"/>
    <w:rsid w:val="00385917"/>
    <w:rsid w:val="00387A25"/>
    <w:rsid w:val="00387F09"/>
    <w:rsid w:val="003902FA"/>
    <w:rsid w:val="003907DD"/>
    <w:rsid w:val="0039180F"/>
    <w:rsid w:val="003925C4"/>
    <w:rsid w:val="00393F85"/>
    <w:rsid w:val="00394437"/>
    <w:rsid w:val="00395367"/>
    <w:rsid w:val="00396C26"/>
    <w:rsid w:val="00396E06"/>
    <w:rsid w:val="003970DE"/>
    <w:rsid w:val="003A1C59"/>
    <w:rsid w:val="003A3FA5"/>
    <w:rsid w:val="003A65EB"/>
    <w:rsid w:val="003A688A"/>
    <w:rsid w:val="003B0D68"/>
    <w:rsid w:val="003B196F"/>
    <w:rsid w:val="003B4A41"/>
    <w:rsid w:val="003B4B2B"/>
    <w:rsid w:val="003B4BD1"/>
    <w:rsid w:val="003B50BB"/>
    <w:rsid w:val="003B5B7E"/>
    <w:rsid w:val="003B6E58"/>
    <w:rsid w:val="003C0C26"/>
    <w:rsid w:val="003C2125"/>
    <w:rsid w:val="003C23E6"/>
    <w:rsid w:val="003C2F61"/>
    <w:rsid w:val="003C30A4"/>
    <w:rsid w:val="003C3552"/>
    <w:rsid w:val="003C3D3A"/>
    <w:rsid w:val="003C3E92"/>
    <w:rsid w:val="003C4D9A"/>
    <w:rsid w:val="003C5369"/>
    <w:rsid w:val="003C554C"/>
    <w:rsid w:val="003C5738"/>
    <w:rsid w:val="003C58C6"/>
    <w:rsid w:val="003C5B57"/>
    <w:rsid w:val="003C66B7"/>
    <w:rsid w:val="003C6D43"/>
    <w:rsid w:val="003C7347"/>
    <w:rsid w:val="003D070F"/>
    <w:rsid w:val="003D071C"/>
    <w:rsid w:val="003D1080"/>
    <w:rsid w:val="003D19E3"/>
    <w:rsid w:val="003D2658"/>
    <w:rsid w:val="003D3883"/>
    <w:rsid w:val="003D3915"/>
    <w:rsid w:val="003D4211"/>
    <w:rsid w:val="003D43B9"/>
    <w:rsid w:val="003D5FE0"/>
    <w:rsid w:val="003E03AE"/>
    <w:rsid w:val="003E106D"/>
    <w:rsid w:val="003E20F5"/>
    <w:rsid w:val="003E282D"/>
    <w:rsid w:val="003E39DA"/>
    <w:rsid w:val="003E4B90"/>
    <w:rsid w:val="003E5DB4"/>
    <w:rsid w:val="003E6A60"/>
    <w:rsid w:val="003F135D"/>
    <w:rsid w:val="003F17DF"/>
    <w:rsid w:val="003F2260"/>
    <w:rsid w:val="003F2E9B"/>
    <w:rsid w:val="003F3303"/>
    <w:rsid w:val="003F3CF2"/>
    <w:rsid w:val="00400243"/>
    <w:rsid w:val="00400A8D"/>
    <w:rsid w:val="004011AF"/>
    <w:rsid w:val="00401D00"/>
    <w:rsid w:val="004024C7"/>
    <w:rsid w:val="004026BE"/>
    <w:rsid w:val="00404D01"/>
    <w:rsid w:val="00405417"/>
    <w:rsid w:val="00407D03"/>
    <w:rsid w:val="00407F73"/>
    <w:rsid w:val="004102C7"/>
    <w:rsid w:val="00410E8C"/>
    <w:rsid w:val="00411370"/>
    <w:rsid w:val="00411702"/>
    <w:rsid w:val="00411773"/>
    <w:rsid w:val="00411FF4"/>
    <w:rsid w:val="00412A27"/>
    <w:rsid w:val="00412F11"/>
    <w:rsid w:val="00413B14"/>
    <w:rsid w:val="0041458E"/>
    <w:rsid w:val="00414BD0"/>
    <w:rsid w:val="00415744"/>
    <w:rsid w:val="00415BA8"/>
    <w:rsid w:val="004173A8"/>
    <w:rsid w:val="004175A0"/>
    <w:rsid w:val="004205BA"/>
    <w:rsid w:val="0042342C"/>
    <w:rsid w:val="00423921"/>
    <w:rsid w:val="0042397E"/>
    <w:rsid w:val="00423EC9"/>
    <w:rsid w:val="004248CC"/>
    <w:rsid w:val="00424EE5"/>
    <w:rsid w:val="004254ED"/>
    <w:rsid w:val="00425DEB"/>
    <w:rsid w:val="00426426"/>
    <w:rsid w:val="004275B7"/>
    <w:rsid w:val="00427DC5"/>
    <w:rsid w:val="00430121"/>
    <w:rsid w:val="0043023D"/>
    <w:rsid w:val="00430A94"/>
    <w:rsid w:val="004314B2"/>
    <w:rsid w:val="0043160F"/>
    <w:rsid w:val="00431B83"/>
    <w:rsid w:val="00432444"/>
    <w:rsid w:val="00432D45"/>
    <w:rsid w:val="00433823"/>
    <w:rsid w:val="004360C5"/>
    <w:rsid w:val="00436236"/>
    <w:rsid w:val="004362F8"/>
    <w:rsid w:val="004369E1"/>
    <w:rsid w:val="00436B05"/>
    <w:rsid w:val="00436E6B"/>
    <w:rsid w:val="0043702A"/>
    <w:rsid w:val="00437EDB"/>
    <w:rsid w:val="00441C9F"/>
    <w:rsid w:val="00444749"/>
    <w:rsid w:val="00444C60"/>
    <w:rsid w:val="00445164"/>
    <w:rsid w:val="00445837"/>
    <w:rsid w:val="00445B67"/>
    <w:rsid w:val="00445EA3"/>
    <w:rsid w:val="00446FA2"/>
    <w:rsid w:val="004475D5"/>
    <w:rsid w:val="0045073C"/>
    <w:rsid w:val="00450CDD"/>
    <w:rsid w:val="00452191"/>
    <w:rsid w:val="00452910"/>
    <w:rsid w:val="00453077"/>
    <w:rsid w:val="00454252"/>
    <w:rsid w:val="004543FF"/>
    <w:rsid w:val="00454D30"/>
    <w:rsid w:val="00455CCB"/>
    <w:rsid w:val="00457220"/>
    <w:rsid w:val="0046067D"/>
    <w:rsid w:val="004615D2"/>
    <w:rsid w:val="00462121"/>
    <w:rsid w:val="00463342"/>
    <w:rsid w:val="0046416B"/>
    <w:rsid w:val="004662D9"/>
    <w:rsid w:val="00466521"/>
    <w:rsid w:val="00467153"/>
    <w:rsid w:val="00467B2B"/>
    <w:rsid w:val="004707F4"/>
    <w:rsid w:val="00470E32"/>
    <w:rsid w:val="004717F0"/>
    <w:rsid w:val="00471F09"/>
    <w:rsid w:val="004727B9"/>
    <w:rsid w:val="004729B1"/>
    <w:rsid w:val="00472FCA"/>
    <w:rsid w:val="00473417"/>
    <w:rsid w:val="0047486F"/>
    <w:rsid w:val="00474A8C"/>
    <w:rsid w:val="00474C27"/>
    <w:rsid w:val="00475834"/>
    <w:rsid w:val="00475C72"/>
    <w:rsid w:val="00475D0D"/>
    <w:rsid w:val="0047690A"/>
    <w:rsid w:val="004779F3"/>
    <w:rsid w:val="0048056A"/>
    <w:rsid w:val="00481225"/>
    <w:rsid w:val="00481699"/>
    <w:rsid w:val="00481B01"/>
    <w:rsid w:val="004823A3"/>
    <w:rsid w:val="00482BF4"/>
    <w:rsid w:val="0048331D"/>
    <w:rsid w:val="00484259"/>
    <w:rsid w:val="00484CC0"/>
    <w:rsid w:val="00485F4F"/>
    <w:rsid w:val="00486BC6"/>
    <w:rsid w:val="00486E95"/>
    <w:rsid w:val="00486F1A"/>
    <w:rsid w:val="00486FD0"/>
    <w:rsid w:val="00487768"/>
    <w:rsid w:val="00490673"/>
    <w:rsid w:val="00490F0A"/>
    <w:rsid w:val="004912FB"/>
    <w:rsid w:val="00492F4E"/>
    <w:rsid w:val="004941CD"/>
    <w:rsid w:val="004941DA"/>
    <w:rsid w:val="00494A5B"/>
    <w:rsid w:val="00495019"/>
    <w:rsid w:val="00496238"/>
    <w:rsid w:val="00496242"/>
    <w:rsid w:val="00496E0D"/>
    <w:rsid w:val="00497264"/>
    <w:rsid w:val="004A00D6"/>
    <w:rsid w:val="004A10BA"/>
    <w:rsid w:val="004A174F"/>
    <w:rsid w:val="004A18E3"/>
    <w:rsid w:val="004A1CC7"/>
    <w:rsid w:val="004A1FF9"/>
    <w:rsid w:val="004A2863"/>
    <w:rsid w:val="004A305E"/>
    <w:rsid w:val="004A4B38"/>
    <w:rsid w:val="004A5075"/>
    <w:rsid w:val="004A6607"/>
    <w:rsid w:val="004A6B35"/>
    <w:rsid w:val="004A7ED6"/>
    <w:rsid w:val="004B128F"/>
    <w:rsid w:val="004B22BE"/>
    <w:rsid w:val="004B2661"/>
    <w:rsid w:val="004B32E0"/>
    <w:rsid w:val="004B4391"/>
    <w:rsid w:val="004B4815"/>
    <w:rsid w:val="004B4EDF"/>
    <w:rsid w:val="004B5A13"/>
    <w:rsid w:val="004B6FFA"/>
    <w:rsid w:val="004B7308"/>
    <w:rsid w:val="004B7D43"/>
    <w:rsid w:val="004C15E7"/>
    <w:rsid w:val="004C284D"/>
    <w:rsid w:val="004C33AE"/>
    <w:rsid w:val="004C3B29"/>
    <w:rsid w:val="004C4B86"/>
    <w:rsid w:val="004C5102"/>
    <w:rsid w:val="004C5519"/>
    <w:rsid w:val="004C637F"/>
    <w:rsid w:val="004C6514"/>
    <w:rsid w:val="004C6C6A"/>
    <w:rsid w:val="004D0171"/>
    <w:rsid w:val="004D123B"/>
    <w:rsid w:val="004D195E"/>
    <w:rsid w:val="004D1EA5"/>
    <w:rsid w:val="004D2CB1"/>
    <w:rsid w:val="004D32F7"/>
    <w:rsid w:val="004D424D"/>
    <w:rsid w:val="004D452C"/>
    <w:rsid w:val="004D5DD1"/>
    <w:rsid w:val="004D6540"/>
    <w:rsid w:val="004D6DF4"/>
    <w:rsid w:val="004D70B7"/>
    <w:rsid w:val="004D7490"/>
    <w:rsid w:val="004D7A40"/>
    <w:rsid w:val="004E348F"/>
    <w:rsid w:val="004E37AD"/>
    <w:rsid w:val="004E39C2"/>
    <w:rsid w:val="004E6378"/>
    <w:rsid w:val="004F0131"/>
    <w:rsid w:val="004F01A7"/>
    <w:rsid w:val="004F06A6"/>
    <w:rsid w:val="004F0BD9"/>
    <w:rsid w:val="004F0EDC"/>
    <w:rsid w:val="004F1B04"/>
    <w:rsid w:val="004F1D60"/>
    <w:rsid w:val="004F2121"/>
    <w:rsid w:val="004F23D6"/>
    <w:rsid w:val="004F2F7F"/>
    <w:rsid w:val="004F47F2"/>
    <w:rsid w:val="004F4F01"/>
    <w:rsid w:val="004F686C"/>
    <w:rsid w:val="004F68C5"/>
    <w:rsid w:val="004F6F80"/>
    <w:rsid w:val="004F705A"/>
    <w:rsid w:val="004F7161"/>
    <w:rsid w:val="004F7897"/>
    <w:rsid w:val="004F79AF"/>
    <w:rsid w:val="004F7CF1"/>
    <w:rsid w:val="004F7D18"/>
    <w:rsid w:val="0050105D"/>
    <w:rsid w:val="005014A1"/>
    <w:rsid w:val="0050330D"/>
    <w:rsid w:val="0050348B"/>
    <w:rsid w:val="00505321"/>
    <w:rsid w:val="0050537D"/>
    <w:rsid w:val="005053AA"/>
    <w:rsid w:val="005058F8"/>
    <w:rsid w:val="00506A32"/>
    <w:rsid w:val="00506E34"/>
    <w:rsid w:val="0050731B"/>
    <w:rsid w:val="00507D87"/>
    <w:rsid w:val="00510921"/>
    <w:rsid w:val="0051166E"/>
    <w:rsid w:val="0051171F"/>
    <w:rsid w:val="005119C6"/>
    <w:rsid w:val="00512872"/>
    <w:rsid w:val="00513446"/>
    <w:rsid w:val="005137B7"/>
    <w:rsid w:val="00514B73"/>
    <w:rsid w:val="00515355"/>
    <w:rsid w:val="005160E6"/>
    <w:rsid w:val="0051772F"/>
    <w:rsid w:val="00517D42"/>
    <w:rsid w:val="005209B1"/>
    <w:rsid w:val="00520F34"/>
    <w:rsid w:val="005217A8"/>
    <w:rsid w:val="00521B7C"/>
    <w:rsid w:val="00522756"/>
    <w:rsid w:val="00523480"/>
    <w:rsid w:val="005234FE"/>
    <w:rsid w:val="00523C87"/>
    <w:rsid w:val="00524D59"/>
    <w:rsid w:val="005250AC"/>
    <w:rsid w:val="00526B81"/>
    <w:rsid w:val="00527453"/>
    <w:rsid w:val="00531120"/>
    <w:rsid w:val="00531419"/>
    <w:rsid w:val="00531E02"/>
    <w:rsid w:val="00531FEB"/>
    <w:rsid w:val="00532526"/>
    <w:rsid w:val="00532779"/>
    <w:rsid w:val="005327EA"/>
    <w:rsid w:val="00532BCA"/>
    <w:rsid w:val="00532E48"/>
    <w:rsid w:val="00534C44"/>
    <w:rsid w:val="0053631A"/>
    <w:rsid w:val="00541219"/>
    <w:rsid w:val="00541266"/>
    <w:rsid w:val="00541E82"/>
    <w:rsid w:val="005423E9"/>
    <w:rsid w:val="00542F51"/>
    <w:rsid w:val="005441FE"/>
    <w:rsid w:val="00544205"/>
    <w:rsid w:val="00544B06"/>
    <w:rsid w:val="00545A62"/>
    <w:rsid w:val="00546134"/>
    <w:rsid w:val="00546BEA"/>
    <w:rsid w:val="005471D6"/>
    <w:rsid w:val="00547235"/>
    <w:rsid w:val="005473FA"/>
    <w:rsid w:val="005505D2"/>
    <w:rsid w:val="00550ABB"/>
    <w:rsid w:val="00552A49"/>
    <w:rsid w:val="00552E87"/>
    <w:rsid w:val="00555B3C"/>
    <w:rsid w:val="005565D1"/>
    <w:rsid w:val="00556674"/>
    <w:rsid w:val="00560DDF"/>
    <w:rsid w:val="0056187E"/>
    <w:rsid w:val="005619D9"/>
    <w:rsid w:val="005624C2"/>
    <w:rsid w:val="00562792"/>
    <w:rsid w:val="00564975"/>
    <w:rsid w:val="0056525F"/>
    <w:rsid w:val="00565611"/>
    <w:rsid w:val="0056756F"/>
    <w:rsid w:val="005678DB"/>
    <w:rsid w:val="00567AEE"/>
    <w:rsid w:val="00570C1F"/>
    <w:rsid w:val="00571624"/>
    <w:rsid w:val="00571EF6"/>
    <w:rsid w:val="00571F65"/>
    <w:rsid w:val="00572E19"/>
    <w:rsid w:val="00572FCD"/>
    <w:rsid w:val="00575195"/>
    <w:rsid w:val="005767C8"/>
    <w:rsid w:val="0057706F"/>
    <w:rsid w:val="005776EC"/>
    <w:rsid w:val="00580729"/>
    <w:rsid w:val="00581B46"/>
    <w:rsid w:val="0058206E"/>
    <w:rsid w:val="005825F5"/>
    <w:rsid w:val="00583484"/>
    <w:rsid w:val="00583D6E"/>
    <w:rsid w:val="005842BF"/>
    <w:rsid w:val="00584DB5"/>
    <w:rsid w:val="005876DC"/>
    <w:rsid w:val="00590093"/>
    <w:rsid w:val="0059031B"/>
    <w:rsid w:val="00590A54"/>
    <w:rsid w:val="005914FA"/>
    <w:rsid w:val="00592820"/>
    <w:rsid w:val="005930BE"/>
    <w:rsid w:val="00594B2C"/>
    <w:rsid w:val="005A0265"/>
    <w:rsid w:val="005A04EF"/>
    <w:rsid w:val="005A093F"/>
    <w:rsid w:val="005A1BC8"/>
    <w:rsid w:val="005A35FB"/>
    <w:rsid w:val="005A3D63"/>
    <w:rsid w:val="005A40D6"/>
    <w:rsid w:val="005A574E"/>
    <w:rsid w:val="005A589A"/>
    <w:rsid w:val="005A6275"/>
    <w:rsid w:val="005A681C"/>
    <w:rsid w:val="005A72A4"/>
    <w:rsid w:val="005A7511"/>
    <w:rsid w:val="005A773F"/>
    <w:rsid w:val="005A7DA1"/>
    <w:rsid w:val="005B049F"/>
    <w:rsid w:val="005B04B2"/>
    <w:rsid w:val="005B06C4"/>
    <w:rsid w:val="005B0CEB"/>
    <w:rsid w:val="005B1B70"/>
    <w:rsid w:val="005B29E9"/>
    <w:rsid w:val="005B2CDF"/>
    <w:rsid w:val="005B4F62"/>
    <w:rsid w:val="005B51E8"/>
    <w:rsid w:val="005B66B2"/>
    <w:rsid w:val="005B72FB"/>
    <w:rsid w:val="005B7468"/>
    <w:rsid w:val="005C018E"/>
    <w:rsid w:val="005C1546"/>
    <w:rsid w:val="005C1B08"/>
    <w:rsid w:val="005C1D4B"/>
    <w:rsid w:val="005C1DB3"/>
    <w:rsid w:val="005C21FC"/>
    <w:rsid w:val="005C2E93"/>
    <w:rsid w:val="005C4808"/>
    <w:rsid w:val="005C5008"/>
    <w:rsid w:val="005C55E7"/>
    <w:rsid w:val="005C5A37"/>
    <w:rsid w:val="005C6208"/>
    <w:rsid w:val="005C67E6"/>
    <w:rsid w:val="005D20A0"/>
    <w:rsid w:val="005D25BE"/>
    <w:rsid w:val="005D39FD"/>
    <w:rsid w:val="005D4215"/>
    <w:rsid w:val="005D4D74"/>
    <w:rsid w:val="005D4DE2"/>
    <w:rsid w:val="005D5EA0"/>
    <w:rsid w:val="005D6F39"/>
    <w:rsid w:val="005D7B01"/>
    <w:rsid w:val="005E01DE"/>
    <w:rsid w:val="005E04FD"/>
    <w:rsid w:val="005E1EE5"/>
    <w:rsid w:val="005E260B"/>
    <w:rsid w:val="005E3071"/>
    <w:rsid w:val="005E4A3A"/>
    <w:rsid w:val="005E62E0"/>
    <w:rsid w:val="005E6C34"/>
    <w:rsid w:val="005E6F51"/>
    <w:rsid w:val="005E7C3F"/>
    <w:rsid w:val="005F144B"/>
    <w:rsid w:val="005F1B9C"/>
    <w:rsid w:val="005F21E6"/>
    <w:rsid w:val="005F2D35"/>
    <w:rsid w:val="005F2F78"/>
    <w:rsid w:val="005F3095"/>
    <w:rsid w:val="005F31FE"/>
    <w:rsid w:val="005F3ECA"/>
    <w:rsid w:val="005F4664"/>
    <w:rsid w:val="005F5FDC"/>
    <w:rsid w:val="005F759A"/>
    <w:rsid w:val="0060097A"/>
    <w:rsid w:val="00602AF5"/>
    <w:rsid w:val="0060410D"/>
    <w:rsid w:val="0060609D"/>
    <w:rsid w:val="00606566"/>
    <w:rsid w:val="00606C95"/>
    <w:rsid w:val="00606D6A"/>
    <w:rsid w:val="006128AE"/>
    <w:rsid w:val="00614635"/>
    <w:rsid w:val="006154DF"/>
    <w:rsid w:val="00616E12"/>
    <w:rsid w:val="006171B4"/>
    <w:rsid w:val="00617984"/>
    <w:rsid w:val="0062030D"/>
    <w:rsid w:val="00620955"/>
    <w:rsid w:val="006219C9"/>
    <w:rsid w:val="00621C14"/>
    <w:rsid w:val="0062261A"/>
    <w:rsid w:val="0062446E"/>
    <w:rsid w:val="0062730F"/>
    <w:rsid w:val="00627D0D"/>
    <w:rsid w:val="006300B3"/>
    <w:rsid w:val="00630207"/>
    <w:rsid w:val="00630F12"/>
    <w:rsid w:val="0063207F"/>
    <w:rsid w:val="00633755"/>
    <w:rsid w:val="006339A8"/>
    <w:rsid w:val="00633D9F"/>
    <w:rsid w:val="0063490C"/>
    <w:rsid w:val="00634A1A"/>
    <w:rsid w:val="0063594A"/>
    <w:rsid w:val="00635FFF"/>
    <w:rsid w:val="00636260"/>
    <w:rsid w:val="00636316"/>
    <w:rsid w:val="0063794C"/>
    <w:rsid w:val="00640099"/>
    <w:rsid w:val="006401A5"/>
    <w:rsid w:val="00640880"/>
    <w:rsid w:val="00641483"/>
    <w:rsid w:val="00641A17"/>
    <w:rsid w:val="006424FF"/>
    <w:rsid w:val="006429C9"/>
    <w:rsid w:val="00643D3D"/>
    <w:rsid w:val="00644DCD"/>
    <w:rsid w:val="00644E24"/>
    <w:rsid w:val="006452DD"/>
    <w:rsid w:val="00645E4D"/>
    <w:rsid w:val="0064676B"/>
    <w:rsid w:val="006467B3"/>
    <w:rsid w:val="00646DFC"/>
    <w:rsid w:val="00647515"/>
    <w:rsid w:val="006503B4"/>
    <w:rsid w:val="00651B22"/>
    <w:rsid w:val="00651C8D"/>
    <w:rsid w:val="00651D26"/>
    <w:rsid w:val="006528B6"/>
    <w:rsid w:val="00653A23"/>
    <w:rsid w:val="00653A2E"/>
    <w:rsid w:val="00653CEA"/>
    <w:rsid w:val="00654CD7"/>
    <w:rsid w:val="00655244"/>
    <w:rsid w:val="00656AE4"/>
    <w:rsid w:val="006574FB"/>
    <w:rsid w:val="00660EBD"/>
    <w:rsid w:val="0066151D"/>
    <w:rsid w:val="0066264C"/>
    <w:rsid w:val="00662A9B"/>
    <w:rsid w:val="0066369B"/>
    <w:rsid w:val="00663F7F"/>
    <w:rsid w:val="00664453"/>
    <w:rsid w:val="00664C31"/>
    <w:rsid w:val="00664C5C"/>
    <w:rsid w:val="00667310"/>
    <w:rsid w:val="00667AF0"/>
    <w:rsid w:val="00667B48"/>
    <w:rsid w:val="00667E5A"/>
    <w:rsid w:val="0067059B"/>
    <w:rsid w:val="00671684"/>
    <w:rsid w:val="00672324"/>
    <w:rsid w:val="00672394"/>
    <w:rsid w:val="00673730"/>
    <w:rsid w:val="00673A2B"/>
    <w:rsid w:val="0067420E"/>
    <w:rsid w:val="0067454C"/>
    <w:rsid w:val="006755F9"/>
    <w:rsid w:val="00677573"/>
    <w:rsid w:val="006808FD"/>
    <w:rsid w:val="00680CF1"/>
    <w:rsid w:val="00680EEE"/>
    <w:rsid w:val="00682B43"/>
    <w:rsid w:val="00682BCA"/>
    <w:rsid w:val="00682F37"/>
    <w:rsid w:val="00683004"/>
    <w:rsid w:val="00683019"/>
    <w:rsid w:val="0068382F"/>
    <w:rsid w:val="0068589C"/>
    <w:rsid w:val="00685DC9"/>
    <w:rsid w:val="00687503"/>
    <w:rsid w:val="0068766D"/>
    <w:rsid w:val="00691665"/>
    <w:rsid w:val="006916FA"/>
    <w:rsid w:val="00693626"/>
    <w:rsid w:val="00693E0E"/>
    <w:rsid w:val="00695CF7"/>
    <w:rsid w:val="00696B23"/>
    <w:rsid w:val="00697BC7"/>
    <w:rsid w:val="00697F9A"/>
    <w:rsid w:val="006A0255"/>
    <w:rsid w:val="006A2A3F"/>
    <w:rsid w:val="006A2EEF"/>
    <w:rsid w:val="006A642F"/>
    <w:rsid w:val="006A7CA7"/>
    <w:rsid w:val="006A7FA6"/>
    <w:rsid w:val="006B0131"/>
    <w:rsid w:val="006B0ACA"/>
    <w:rsid w:val="006B12B6"/>
    <w:rsid w:val="006B1419"/>
    <w:rsid w:val="006B1C8E"/>
    <w:rsid w:val="006B1F73"/>
    <w:rsid w:val="006B1F78"/>
    <w:rsid w:val="006B62DD"/>
    <w:rsid w:val="006B6C6E"/>
    <w:rsid w:val="006B6E8D"/>
    <w:rsid w:val="006B6FCD"/>
    <w:rsid w:val="006C0FEB"/>
    <w:rsid w:val="006C180A"/>
    <w:rsid w:val="006C181D"/>
    <w:rsid w:val="006C1DB5"/>
    <w:rsid w:val="006C3B26"/>
    <w:rsid w:val="006C3F0B"/>
    <w:rsid w:val="006C4496"/>
    <w:rsid w:val="006C4F4D"/>
    <w:rsid w:val="006C58C9"/>
    <w:rsid w:val="006C5977"/>
    <w:rsid w:val="006C5C65"/>
    <w:rsid w:val="006C7AFB"/>
    <w:rsid w:val="006C7D69"/>
    <w:rsid w:val="006D0951"/>
    <w:rsid w:val="006D0A46"/>
    <w:rsid w:val="006D11A6"/>
    <w:rsid w:val="006D39FA"/>
    <w:rsid w:val="006D5438"/>
    <w:rsid w:val="006D6217"/>
    <w:rsid w:val="006D6283"/>
    <w:rsid w:val="006D646A"/>
    <w:rsid w:val="006D75F9"/>
    <w:rsid w:val="006E00A0"/>
    <w:rsid w:val="006E1D1D"/>
    <w:rsid w:val="006E2775"/>
    <w:rsid w:val="006E44E5"/>
    <w:rsid w:val="006E4C14"/>
    <w:rsid w:val="006E4E4E"/>
    <w:rsid w:val="006E6843"/>
    <w:rsid w:val="006E6F2C"/>
    <w:rsid w:val="006E73A8"/>
    <w:rsid w:val="006E75DA"/>
    <w:rsid w:val="006E78DB"/>
    <w:rsid w:val="006E78F8"/>
    <w:rsid w:val="006E7D2A"/>
    <w:rsid w:val="006E7E28"/>
    <w:rsid w:val="006E7F04"/>
    <w:rsid w:val="006F2440"/>
    <w:rsid w:val="006F2F91"/>
    <w:rsid w:val="006F3379"/>
    <w:rsid w:val="006F35E0"/>
    <w:rsid w:val="006F36BB"/>
    <w:rsid w:val="006F38E9"/>
    <w:rsid w:val="006F5001"/>
    <w:rsid w:val="006F5245"/>
    <w:rsid w:val="006F557E"/>
    <w:rsid w:val="006F6A3A"/>
    <w:rsid w:val="006F6F69"/>
    <w:rsid w:val="006F7625"/>
    <w:rsid w:val="007008BE"/>
    <w:rsid w:val="00700E0C"/>
    <w:rsid w:val="007015FB"/>
    <w:rsid w:val="00702AFB"/>
    <w:rsid w:val="007049A8"/>
    <w:rsid w:val="007060C5"/>
    <w:rsid w:val="007062A1"/>
    <w:rsid w:val="00706F2B"/>
    <w:rsid w:val="007074C4"/>
    <w:rsid w:val="00707F28"/>
    <w:rsid w:val="00710486"/>
    <w:rsid w:val="00710D2D"/>
    <w:rsid w:val="007122D6"/>
    <w:rsid w:val="00712E37"/>
    <w:rsid w:val="00713DE3"/>
    <w:rsid w:val="007143F9"/>
    <w:rsid w:val="00716866"/>
    <w:rsid w:val="00717CA2"/>
    <w:rsid w:val="007200DE"/>
    <w:rsid w:val="007203E6"/>
    <w:rsid w:val="00720616"/>
    <w:rsid w:val="007212D5"/>
    <w:rsid w:val="00721633"/>
    <w:rsid w:val="00721D9D"/>
    <w:rsid w:val="0072300D"/>
    <w:rsid w:val="007230E3"/>
    <w:rsid w:val="00723A76"/>
    <w:rsid w:val="00724C5C"/>
    <w:rsid w:val="00724E21"/>
    <w:rsid w:val="0072565B"/>
    <w:rsid w:val="00725756"/>
    <w:rsid w:val="00726531"/>
    <w:rsid w:val="00726583"/>
    <w:rsid w:val="00726619"/>
    <w:rsid w:val="00727402"/>
    <w:rsid w:val="00730204"/>
    <w:rsid w:val="0073211F"/>
    <w:rsid w:val="0073313A"/>
    <w:rsid w:val="00733C95"/>
    <w:rsid w:val="00733D32"/>
    <w:rsid w:val="0073453E"/>
    <w:rsid w:val="007346E7"/>
    <w:rsid w:val="00734EDF"/>
    <w:rsid w:val="007354C9"/>
    <w:rsid w:val="00735702"/>
    <w:rsid w:val="00735F1C"/>
    <w:rsid w:val="00736703"/>
    <w:rsid w:val="007367E6"/>
    <w:rsid w:val="00736C73"/>
    <w:rsid w:val="00736CA9"/>
    <w:rsid w:val="0073795A"/>
    <w:rsid w:val="00737DC1"/>
    <w:rsid w:val="00737E71"/>
    <w:rsid w:val="00740346"/>
    <w:rsid w:val="00740597"/>
    <w:rsid w:val="00740D6D"/>
    <w:rsid w:val="00741151"/>
    <w:rsid w:val="00742F43"/>
    <w:rsid w:val="00743BCD"/>
    <w:rsid w:val="00743D6C"/>
    <w:rsid w:val="00744B04"/>
    <w:rsid w:val="00745DF5"/>
    <w:rsid w:val="00746F0F"/>
    <w:rsid w:val="0074706D"/>
    <w:rsid w:val="0074741A"/>
    <w:rsid w:val="00747CB5"/>
    <w:rsid w:val="007512D1"/>
    <w:rsid w:val="00752242"/>
    <w:rsid w:val="00754467"/>
    <w:rsid w:val="00754B4F"/>
    <w:rsid w:val="00754EEF"/>
    <w:rsid w:val="00757BDC"/>
    <w:rsid w:val="00757E41"/>
    <w:rsid w:val="007604E6"/>
    <w:rsid w:val="00760E7F"/>
    <w:rsid w:val="00761F5B"/>
    <w:rsid w:val="0076200B"/>
    <w:rsid w:val="0076268B"/>
    <w:rsid w:val="007626F8"/>
    <w:rsid w:val="00763570"/>
    <w:rsid w:val="00763B16"/>
    <w:rsid w:val="00764108"/>
    <w:rsid w:val="0076478E"/>
    <w:rsid w:val="00767D63"/>
    <w:rsid w:val="00767EBE"/>
    <w:rsid w:val="00767FD6"/>
    <w:rsid w:val="0077000C"/>
    <w:rsid w:val="0077086B"/>
    <w:rsid w:val="00770AFF"/>
    <w:rsid w:val="00770D82"/>
    <w:rsid w:val="007710FB"/>
    <w:rsid w:val="00771522"/>
    <w:rsid w:val="00771832"/>
    <w:rsid w:val="0077231E"/>
    <w:rsid w:val="007725D2"/>
    <w:rsid w:val="007726BD"/>
    <w:rsid w:val="00772D25"/>
    <w:rsid w:val="007735BF"/>
    <w:rsid w:val="0077383A"/>
    <w:rsid w:val="00773F36"/>
    <w:rsid w:val="00773F7B"/>
    <w:rsid w:val="007747E5"/>
    <w:rsid w:val="00774E5A"/>
    <w:rsid w:val="007763EC"/>
    <w:rsid w:val="007766F7"/>
    <w:rsid w:val="00776E6D"/>
    <w:rsid w:val="007772C4"/>
    <w:rsid w:val="00777A65"/>
    <w:rsid w:val="00780966"/>
    <w:rsid w:val="00780C1D"/>
    <w:rsid w:val="00780E13"/>
    <w:rsid w:val="00780EFB"/>
    <w:rsid w:val="007813A2"/>
    <w:rsid w:val="007815B8"/>
    <w:rsid w:val="00782223"/>
    <w:rsid w:val="00782AB0"/>
    <w:rsid w:val="007842C9"/>
    <w:rsid w:val="00784FF6"/>
    <w:rsid w:val="00786CB8"/>
    <w:rsid w:val="007878DA"/>
    <w:rsid w:val="00787C46"/>
    <w:rsid w:val="0079021A"/>
    <w:rsid w:val="007903D0"/>
    <w:rsid w:val="00790C00"/>
    <w:rsid w:val="00790DD2"/>
    <w:rsid w:val="00790FE9"/>
    <w:rsid w:val="00792310"/>
    <w:rsid w:val="00792760"/>
    <w:rsid w:val="00793756"/>
    <w:rsid w:val="00793E7E"/>
    <w:rsid w:val="00795A6C"/>
    <w:rsid w:val="00796DCF"/>
    <w:rsid w:val="007A01AD"/>
    <w:rsid w:val="007A0286"/>
    <w:rsid w:val="007A05F0"/>
    <w:rsid w:val="007A200C"/>
    <w:rsid w:val="007A25AA"/>
    <w:rsid w:val="007A36F2"/>
    <w:rsid w:val="007A46C1"/>
    <w:rsid w:val="007A4C3D"/>
    <w:rsid w:val="007A4EC0"/>
    <w:rsid w:val="007A6612"/>
    <w:rsid w:val="007A67C9"/>
    <w:rsid w:val="007A686F"/>
    <w:rsid w:val="007A6F7B"/>
    <w:rsid w:val="007B07C8"/>
    <w:rsid w:val="007B1CB4"/>
    <w:rsid w:val="007B42DB"/>
    <w:rsid w:val="007B4352"/>
    <w:rsid w:val="007B4845"/>
    <w:rsid w:val="007B52D4"/>
    <w:rsid w:val="007B53E1"/>
    <w:rsid w:val="007B5790"/>
    <w:rsid w:val="007B739E"/>
    <w:rsid w:val="007C012D"/>
    <w:rsid w:val="007C0258"/>
    <w:rsid w:val="007C0AE6"/>
    <w:rsid w:val="007C2687"/>
    <w:rsid w:val="007C3439"/>
    <w:rsid w:val="007C421D"/>
    <w:rsid w:val="007C506A"/>
    <w:rsid w:val="007C51D2"/>
    <w:rsid w:val="007C5534"/>
    <w:rsid w:val="007C60DE"/>
    <w:rsid w:val="007C68E1"/>
    <w:rsid w:val="007C6CA0"/>
    <w:rsid w:val="007C78C8"/>
    <w:rsid w:val="007C7A61"/>
    <w:rsid w:val="007D0089"/>
    <w:rsid w:val="007D01BC"/>
    <w:rsid w:val="007D0795"/>
    <w:rsid w:val="007D16E1"/>
    <w:rsid w:val="007D1F4D"/>
    <w:rsid w:val="007D3F64"/>
    <w:rsid w:val="007D46CD"/>
    <w:rsid w:val="007D57FE"/>
    <w:rsid w:val="007D60E6"/>
    <w:rsid w:val="007D631F"/>
    <w:rsid w:val="007D6894"/>
    <w:rsid w:val="007D6F85"/>
    <w:rsid w:val="007D6F99"/>
    <w:rsid w:val="007E0CA3"/>
    <w:rsid w:val="007E0F43"/>
    <w:rsid w:val="007E19AF"/>
    <w:rsid w:val="007E2069"/>
    <w:rsid w:val="007E24D0"/>
    <w:rsid w:val="007E2F30"/>
    <w:rsid w:val="007E627B"/>
    <w:rsid w:val="007E751B"/>
    <w:rsid w:val="007E7A27"/>
    <w:rsid w:val="007F19A3"/>
    <w:rsid w:val="007F23CB"/>
    <w:rsid w:val="007F241B"/>
    <w:rsid w:val="007F2960"/>
    <w:rsid w:val="007F3294"/>
    <w:rsid w:val="007F4A47"/>
    <w:rsid w:val="007F66A1"/>
    <w:rsid w:val="007F6F87"/>
    <w:rsid w:val="007F716A"/>
    <w:rsid w:val="00800492"/>
    <w:rsid w:val="008005F5"/>
    <w:rsid w:val="00802879"/>
    <w:rsid w:val="008029B2"/>
    <w:rsid w:val="00804A4C"/>
    <w:rsid w:val="008061B1"/>
    <w:rsid w:val="00806E83"/>
    <w:rsid w:val="0080738A"/>
    <w:rsid w:val="00807582"/>
    <w:rsid w:val="0081178F"/>
    <w:rsid w:val="0081197B"/>
    <w:rsid w:val="00812047"/>
    <w:rsid w:val="0081304B"/>
    <w:rsid w:val="008134AD"/>
    <w:rsid w:val="00813825"/>
    <w:rsid w:val="00813CAD"/>
    <w:rsid w:val="00813FAE"/>
    <w:rsid w:val="008147EB"/>
    <w:rsid w:val="0081557E"/>
    <w:rsid w:val="00815C31"/>
    <w:rsid w:val="0081645F"/>
    <w:rsid w:val="008166D3"/>
    <w:rsid w:val="008174FE"/>
    <w:rsid w:val="00817DF4"/>
    <w:rsid w:val="00820D11"/>
    <w:rsid w:val="00820E2A"/>
    <w:rsid w:val="00821871"/>
    <w:rsid w:val="00821F83"/>
    <w:rsid w:val="008256C3"/>
    <w:rsid w:val="00827296"/>
    <w:rsid w:val="00830673"/>
    <w:rsid w:val="0083326F"/>
    <w:rsid w:val="00833868"/>
    <w:rsid w:val="00834368"/>
    <w:rsid w:val="0083560A"/>
    <w:rsid w:val="00836AD0"/>
    <w:rsid w:val="00837A08"/>
    <w:rsid w:val="00837C57"/>
    <w:rsid w:val="0084022D"/>
    <w:rsid w:val="008405C2"/>
    <w:rsid w:val="008418DE"/>
    <w:rsid w:val="008425F7"/>
    <w:rsid w:val="00843ED6"/>
    <w:rsid w:val="00843EF9"/>
    <w:rsid w:val="00843F24"/>
    <w:rsid w:val="00844547"/>
    <w:rsid w:val="00844A14"/>
    <w:rsid w:val="00845CD6"/>
    <w:rsid w:val="008464EE"/>
    <w:rsid w:val="00846A3A"/>
    <w:rsid w:val="00847350"/>
    <w:rsid w:val="00847C2D"/>
    <w:rsid w:val="00850547"/>
    <w:rsid w:val="00850C0C"/>
    <w:rsid w:val="008516CC"/>
    <w:rsid w:val="00851F41"/>
    <w:rsid w:val="00853B49"/>
    <w:rsid w:val="008562D4"/>
    <w:rsid w:val="008574D0"/>
    <w:rsid w:val="008576D5"/>
    <w:rsid w:val="008579C5"/>
    <w:rsid w:val="00857D3D"/>
    <w:rsid w:val="00857F01"/>
    <w:rsid w:val="00860E4A"/>
    <w:rsid w:val="00861E57"/>
    <w:rsid w:val="00862EE0"/>
    <w:rsid w:val="00863922"/>
    <w:rsid w:val="00863F05"/>
    <w:rsid w:val="00865219"/>
    <w:rsid w:val="00866958"/>
    <w:rsid w:val="00866E05"/>
    <w:rsid w:val="008675B8"/>
    <w:rsid w:val="008705DD"/>
    <w:rsid w:val="0087075B"/>
    <w:rsid w:val="00870D71"/>
    <w:rsid w:val="00871DED"/>
    <w:rsid w:val="00871E7A"/>
    <w:rsid w:val="00872D21"/>
    <w:rsid w:val="00874DAA"/>
    <w:rsid w:val="00875730"/>
    <w:rsid w:val="00875A20"/>
    <w:rsid w:val="00875F83"/>
    <w:rsid w:val="00876AF0"/>
    <w:rsid w:val="00877697"/>
    <w:rsid w:val="00877B4A"/>
    <w:rsid w:val="00877CB8"/>
    <w:rsid w:val="0088035D"/>
    <w:rsid w:val="008818CB"/>
    <w:rsid w:val="00881AAB"/>
    <w:rsid w:val="00882AB6"/>
    <w:rsid w:val="00883BC7"/>
    <w:rsid w:val="00884A9A"/>
    <w:rsid w:val="0088511E"/>
    <w:rsid w:val="008852E0"/>
    <w:rsid w:val="008854EF"/>
    <w:rsid w:val="00885AB6"/>
    <w:rsid w:val="00885D02"/>
    <w:rsid w:val="008867EF"/>
    <w:rsid w:val="00886AB4"/>
    <w:rsid w:val="008873B4"/>
    <w:rsid w:val="00887453"/>
    <w:rsid w:val="00890E4D"/>
    <w:rsid w:val="00891DB0"/>
    <w:rsid w:val="00892022"/>
    <w:rsid w:val="00892497"/>
    <w:rsid w:val="00893C2B"/>
    <w:rsid w:val="00893E8B"/>
    <w:rsid w:val="00894B31"/>
    <w:rsid w:val="008950CC"/>
    <w:rsid w:val="0089567C"/>
    <w:rsid w:val="008970FD"/>
    <w:rsid w:val="00897103"/>
    <w:rsid w:val="008973E2"/>
    <w:rsid w:val="00897AA3"/>
    <w:rsid w:val="008A0032"/>
    <w:rsid w:val="008A1A29"/>
    <w:rsid w:val="008A1E7A"/>
    <w:rsid w:val="008A1EF0"/>
    <w:rsid w:val="008A2A6C"/>
    <w:rsid w:val="008A32C5"/>
    <w:rsid w:val="008A39BB"/>
    <w:rsid w:val="008A3C7F"/>
    <w:rsid w:val="008A4467"/>
    <w:rsid w:val="008A4527"/>
    <w:rsid w:val="008A45B2"/>
    <w:rsid w:val="008A46C7"/>
    <w:rsid w:val="008A4754"/>
    <w:rsid w:val="008A4BC9"/>
    <w:rsid w:val="008A52B8"/>
    <w:rsid w:val="008A6CF8"/>
    <w:rsid w:val="008A6DA8"/>
    <w:rsid w:val="008A6EFF"/>
    <w:rsid w:val="008A6F5B"/>
    <w:rsid w:val="008B0129"/>
    <w:rsid w:val="008B0247"/>
    <w:rsid w:val="008B0807"/>
    <w:rsid w:val="008B0923"/>
    <w:rsid w:val="008B1445"/>
    <w:rsid w:val="008B1662"/>
    <w:rsid w:val="008B2118"/>
    <w:rsid w:val="008B2A77"/>
    <w:rsid w:val="008B2B87"/>
    <w:rsid w:val="008B314F"/>
    <w:rsid w:val="008B4B61"/>
    <w:rsid w:val="008B4C0B"/>
    <w:rsid w:val="008B6D22"/>
    <w:rsid w:val="008C0AFC"/>
    <w:rsid w:val="008C2B10"/>
    <w:rsid w:val="008C2D14"/>
    <w:rsid w:val="008C43A2"/>
    <w:rsid w:val="008C4A76"/>
    <w:rsid w:val="008C5456"/>
    <w:rsid w:val="008C56A6"/>
    <w:rsid w:val="008C58DB"/>
    <w:rsid w:val="008C6E41"/>
    <w:rsid w:val="008D021C"/>
    <w:rsid w:val="008D07C6"/>
    <w:rsid w:val="008D0A01"/>
    <w:rsid w:val="008D11E6"/>
    <w:rsid w:val="008D1783"/>
    <w:rsid w:val="008D1A3E"/>
    <w:rsid w:val="008D2A49"/>
    <w:rsid w:val="008D2E36"/>
    <w:rsid w:val="008D32A3"/>
    <w:rsid w:val="008D37E7"/>
    <w:rsid w:val="008D3CC7"/>
    <w:rsid w:val="008D3DD9"/>
    <w:rsid w:val="008D757B"/>
    <w:rsid w:val="008D7B91"/>
    <w:rsid w:val="008E0139"/>
    <w:rsid w:val="008E037E"/>
    <w:rsid w:val="008E0FF7"/>
    <w:rsid w:val="008E1A32"/>
    <w:rsid w:val="008E1E02"/>
    <w:rsid w:val="008E25FC"/>
    <w:rsid w:val="008E2621"/>
    <w:rsid w:val="008E2C61"/>
    <w:rsid w:val="008E4390"/>
    <w:rsid w:val="008E4514"/>
    <w:rsid w:val="008E4CBD"/>
    <w:rsid w:val="008E5C08"/>
    <w:rsid w:val="008E634F"/>
    <w:rsid w:val="008E675B"/>
    <w:rsid w:val="008E705F"/>
    <w:rsid w:val="008E746A"/>
    <w:rsid w:val="008F0503"/>
    <w:rsid w:val="008F06B4"/>
    <w:rsid w:val="008F0920"/>
    <w:rsid w:val="008F0D71"/>
    <w:rsid w:val="008F29CC"/>
    <w:rsid w:val="008F29F3"/>
    <w:rsid w:val="008F2FB0"/>
    <w:rsid w:val="008F42D3"/>
    <w:rsid w:val="008F4331"/>
    <w:rsid w:val="008F466E"/>
    <w:rsid w:val="008F4D9B"/>
    <w:rsid w:val="008F61CA"/>
    <w:rsid w:val="008F6243"/>
    <w:rsid w:val="008F6C83"/>
    <w:rsid w:val="008F6F6B"/>
    <w:rsid w:val="008F74D2"/>
    <w:rsid w:val="009003AC"/>
    <w:rsid w:val="00901450"/>
    <w:rsid w:val="00901615"/>
    <w:rsid w:val="00901953"/>
    <w:rsid w:val="00901CB7"/>
    <w:rsid w:val="009035F7"/>
    <w:rsid w:val="00903654"/>
    <w:rsid w:val="009053FD"/>
    <w:rsid w:val="00905868"/>
    <w:rsid w:val="009059EA"/>
    <w:rsid w:val="00907D9E"/>
    <w:rsid w:val="00910D3F"/>
    <w:rsid w:val="009115E5"/>
    <w:rsid w:val="00911B7F"/>
    <w:rsid w:val="00911ED8"/>
    <w:rsid w:val="00914754"/>
    <w:rsid w:val="009158BD"/>
    <w:rsid w:val="00915B58"/>
    <w:rsid w:val="0091793A"/>
    <w:rsid w:val="00920196"/>
    <w:rsid w:val="00921136"/>
    <w:rsid w:val="00923E91"/>
    <w:rsid w:val="00924565"/>
    <w:rsid w:val="00924695"/>
    <w:rsid w:val="00926412"/>
    <w:rsid w:val="0092669D"/>
    <w:rsid w:val="009266F9"/>
    <w:rsid w:val="00926A21"/>
    <w:rsid w:val="00926CC0"/>
    <w:rsid w:val="00926FEF"/>
    <w:rsid w:val="00930C8E"/>
    <w:rsid w:val="0093107A"/>
    <w:rsid w:val="00931FD4"/>
    <w:rsid w:val="0093249C"/>
    <w:rsid w:val="00932D62"/>
    <w:rsid w:val="00933CD1"/>
    <w:rsid w:val="00933DEE"/>
    <w:rsid w:val="0093457E"/>
    <w:rsid w:val="009345F2"/>
    <w:rsid w:val="00934637"/>
    <w:rsid w:val="009346D4"/>
    <w:rsid w:val="0093518F"/>
    <w:rsid w:val="00935DC7"/>
    <w:rsid w:val="00936198"/>
    <w:rsid w:val="00936422"/>
    <w:rsid w:val="00937B91"/>
    <w:rsid w:val="00940AA5"/>
    <w:rsid w:val="00941106"/>
    <w:rsid w:val="00941E7A"/>
    <w:rsid w:val="009423ED"/>
    <w:rsid w:val="00944157"/>
    <w:rsid w:val="00945362"/>
    <w:rsid w:val="00947355"/>
    <w:rsid w:val="00947370"/>
    <w:rsid w:val="009508D0"/>
    <w:rsid w:val="009533DE"/>
    <w:rsid w:val="00955DC8"/>
    <w:rsid w:val="00956B78"/>
    <w:rsid w:val="00957761"/>
    <w:rsid w:val="009606E4"/>
    <w:rsid w:val="00961D75"/>
    <w:rsid w:val="009622E0"/>
    <w:rsid w:val="00964C1D"/>
    <w:rsid w:val="00965D29"/>
    <w:rsid w:val="0096614C"/>
    <w:rsid w:val="009705C5"/>
    <w:rsid w:val="009710F6"/>
    <w:rsid w:val="00971572"/>
    <w:rsid w:val="00972DCF"/>
    <w:rsid w:val="00974410"/>
    <w:rsid w:val="009761E4"/>
    <w:rsid w:val="0097724B"/>
    <w:rsid w:val="00977BFF"/>
    <w:rsid w:val="0098029A"/>
    <w:rsid w:val="00980486"/>
    <w:rsid w:val="009804F5"/>
    <w:rsid w:val="00980A17"/>
    <w:rsid w:val="00982178"/>
    <w:rsid w:val="009856D0"/>
    <w:rsid w:val="0098691E"/>
    <w:rsid w:val="00986A5F"/>
    <w:rsid w:val="00987B5F"/>
    <w:rsid w:val="00990361"/>
    <w:rsid w:val="00990BEB"/>
    <w:rsid w:val="009913C2"/>
    <w:rsid w:val="00992DEE"/>
    <w:rsid w:val="00992F31"/>
    <w:rsid w:val="00993642"/>
    <w:rsid w:val="009938DD"/>
    <w:rsid w:val="00993977"/>
    <w:rsid w:val="00993A22"/>
    <w:rsid w:val="00994D92"/>
    <w:rsid w:val="0099584C"/>
    <w:rsid w:val="0099659F"/>
    <w:rsid w:val="00996FAE"/>
    <w:rsid w:val="00997A0C"/>
    <w:rsid w:val="00997C90"/>
    <w:rsid w:val="009A1223"/>
    <w:rsid w:val="009A1548"/>
    <w:rsid w:val="009A209E"/>
    <w:rsid w:val="009A20C9"/>
    <w:rsid w:val="009A26A2"/>
    <w:rsid w:val="009A27B2"/>
    <w:rsid w:val="009A3287"/>
    <w:rsid w:val="009A3B09"/>
    <w:rsid w:val="009A4FF1"/>
    <w:rsid w:val="009A5470"/>
    <w:rsid w:val="009A68EF"/>
    <w:rsid w:val="009A79BA"/>
    <w:rsid w:val="009B155F"/>
    <w:rsid w:val="009B2118"/>
    <w:rsid w:val="009B21F2"/>
    <w:rsid w:val="009B24A2"/>
    <w:rsid w:val="009B2539"/>
    <w:rsid w:val="009B254B"/>
    <w:rsid w:val="009B3C5C"/>
    <w:rsid w:val="009B3C86"/>
    <w:rsid w:val="009B4C1F"/>
    <w:rsid w:val="009B6FFA"/>
    <w:rsid w:val="009B79D1"/>
    <w:rsid w:val="009C0C67"/>
    <w:rsid w:val="009C2266"/>
    <w:rsid w:val="009C27FB"/>
    <w:rsid w:val="009C2D45"/>
    <w:rsid w:val="009C36BD"/>
    <w:rsid w:val="009C4447"/>
    <w:rsid w:val="009C4C29"/>
    <w:rsid w:val="009C4D3A"/>
    <w:rsid w:val="009C5000"/>
    <w:rsid w:val="009C5579"/>
    <w:rsid w:val="009C5E7B"/>
    <w:rsid w:val="009C6A9D"/>
    <w:rsid w:val="009C7031"/>
    <w:rsid w:val="009C7912"/>
    <w:rsid w:val="009D1A6E"/>
    <w:rsid w:val="009D2F3C"/>
    <w:rsid w:val="009D5C7F"/>
    <w:rsid w:val="009D6ED7"/>
    <w:rsid w:val="009D7284"/>
    <w:rsid w:val="009D7336"/>
    <w:rsid w:val="009D74AD"/>
    <w:rsid w:val="009D760B"/>
    <w:rsid w:val="009E01FA"/>
    <w:rsid w:val="009E0E97"/>
    <w:rsid w:val="009E1360"/>
    <w:rsid w:val="009E21D6"/>
    <w:rsid w:val="009E232C"/>
    <w:rsid w:val="009E304F"/>
    <w:rsid w:val="009E33BA"/>
    <w:rsid w:val="009E3E4B"/>
    <w:rsid w:val="009E4765"/>
    <w:rsid w:val="009E47AF"/>
    <w:rsid w:val="009E685C"/>
    <w:rsid w:val="009E6AEA"/>
    <w:rsid w:val="009E7D1C"/>
    <w:rsid w:val="009F0983"/>
    <w:rsid w:val="009F1164"/>
    <w:rsid w:val="009F1AC2"/>
    <w:rsid w:val="009F1C4F"/>
    <w:rsid w:val="009F23ED"/>
    <w:rsid w:val="009F2C4F"/>
    <w:rsid w:val="009F2FB3"/>
    <w:rsid w:val="009F3025"/>
    <w:rsid w:val="009F31C2"/>
    <w:rsid w:val="009F3590"/>
    <w:rsid w:val="009F3652"/>
    <w:rsid w:val="009F3C58"/>
    <w:rsid w:val="009F581F"/>
    <w:rsid w:val="009F5AE5"/>
    <w:rsid w:val="009F6214"/>
    <w:rsid w:val="009F6843"/>
    <w:rsid w:val="00A00930"/>
    <w:rsid w:val="00A00AD6"/>
    <w:rsid w:val="00A01040"/>
    <w:rsid w:val="00A01498"/>
    <w:rsid w:val="00A015AB"/>
    <w:rsid w:val="00A034E1"/>
    <w:rsid w:val="00A044A9"/>
    <w:rsid w:val="00A04A13"/>
    <w:rsid w:val="00A05D0A"/>
    <w:rsid w:val="00A05EE7"/>
    <w:rsid w:val="00A073F7"/>
    <w:rsid w:val="00A10880"/>
    <w:rsid w:val="00A108AE"/>
    <w:rsid w:val="00A129AF"/>
    <w:rsid w:val="00A12EA3"/>
    <w:rsid w:val="00A1347A"/>
    <w:rsid w:val="00A13A3D"/>
    <w:rsid w:val="00A156FE"/>
    <w:rsid w:val="00A15FFE"/>
    <w:rsid w:val="00A166AA"/>
    <w:rsid w:val="00A1690F"/>
    <w:rsid w:val="00A20229"/>
    <w:rsid w:val="00A20C4A"/>
    <w:rsid w:val="00A22C47"/>
    <w:rsid w:val="00A23509"/>
    <w:rsid w:val="00A2380A"/>
    <w:rsid w:val="00A24300"/>
    <w:rsid w:val="00A2442B"/>
    <w:rsid w:val="00A24AE5"/>
    <w:rsid w:val="00A25A85"/>
    <w:rsid w:val="00A25D59"/>
    <w:rsid w:val="00A26E98"/>
    <w:rsid w:val="00A27B50"/>
    <w:rsid w:val="00A27BCF"/>
    <w:rsid w:val="00A27D1D"/>
    <w:rsid w:val="00A30C9A"/>
    <w:rsid w:val="00A316A6"/>
    <w:rsid w:val="00A31A60"/>
    <w:rsid w:val="00A31F4C"/>
    <w:rsid w:val="00A32B03"/>
    <w:rsid w:val="00A32BCD"/>
    <w:rsid w:val="00A33BC6"/>
    <w:rsid w:val="00A366CB"/>
    <w:rsid w:val="00A411E7"/>
    <w:rsid w:val="00A41368"/>
    <w:rsid w:val="00A41AAE"/>
    <w:rsid w:val="00A42D9E"/>
    <w:rsid w:val="00A42F8D"/>
    <w:rsid w:val="00A4324A"/>
    <w:rsid w:val="00A43B7F"/>
    <w:rsid w:val="00A43F60"/>
    <w:rsid w:val="00A45E0B"/>
    <w:rsid w:val="00A467C4"/>
    <w:rsid w:val="00A46B0A"/>
    <w:rsid w:val="00A46FD2"/>
    <w:rsid w:val="00A502E6"/>
    <w:rsid w:val="00A5161F"/>
    <w:rsid w:val="00A516A1"/>
    <w:rsid w:val="00A52AE0"/>
    <w:rsid w:val="00A53202"/>
    <w:rsid w:val="00A53BEB"/>
    <w:rsid w:val="00A53E7E"/>
    <w:rsid w:val="00A544FD"/>
    <w:rsid w:val="00A54655"/>
    <w:rsid w:val="00A555C6"/>
    <w:rsid w:val="00A55DD4"/>
    <w:rsid w:val="00A55F0A"/>
    <w:rsid w:val="00A55F34"/>
    <w:rsid w:val="00A56408"/>
    <w:rsid w:val="00A566EB"/>
    <w:rsid w:val="00A56D4D"/>
    <w:rsid w:val="00A56E85"/>
    <w:rsid w:val="00A56EB0"/>
    <w:rsid w:val="00A57D20"/>
    <w:rsid w:val="00A6052F"/>
    <w:rsid w:val="00A60BE6"/>
    <w:rsid w:val="00A611D0"/>
    <w:rsid w:val="00A6140B"/>
    <w:rsid w:val="00A61727"/>
    <w:rsid w:val="00A6221D"/>
    <w:rsid w:val="00A632B6"/>
    <w:rsid w:val="00A64FB2"/>
    <w:rsid w:val="00A654CB"/>
    <w:rsid w:val="00A65B16"/>
    <w:rsid w:val="00A65EEF"/>
    <w:rsid w:val="00A662F0"/>
    <w:rsid w:val="00A70D72"/>
    <w:rsid w:val="00A710F0"/>
    <w:rsid w:val="00A71359"/>
    <w:rsid w:val="00A7144E"/>
    <w:rsid w:val="00A716BE"/>
    <w:rsid w:val="00A7287B"/>
    <w:rsid w:val="00A7457D"/>
    <w:rsid w:val="00A74EEF"/>
    <w:rsid w:val="00A75929"/>
    <w:rsid w:val="00A768C1"/>
    <w:rsid w:val="00A77223"/>
    <w:rsid w:val="00A80F80"/>
    <w:rsid w:val="00A81896"/>
    <w:rsid w:val="00A8327C"/>
    <w:rsid w:val="00A8347C"/>
    <w:rsid w:val="00A8355C"/>
    <w:rsid w:val="00A83F2F"/>
    <w:rsid w:val="00A84019"/>
    <w:rsid w:val="00A8471D"/>
    <w:rsid w:val="00A847A6"/>
    <w:rsid w:val="00A8642F"/>
    <w:rsid w:val="00A86AF8"/>
    <w:rsid w:val="00A86E1B"/>
    <w:rsid w:val="00A872C6"/>
    <w:rsid w:val="00A873B8"/>
    <w:rsid w:val="00A87841"/>
    <w:rsid w:val="00A87FD6"/>
    <w:rsid w:val="00A90179"/>
    <w:rsid w:val="00A90523"/>
    <w:rsid w:val="00A90619"/>
    <w:rsid w:val="00A90E58"/>
    <w:rsid w:val="00A91D0D"/>
    <w:rsid w:val="00A929C8"/>
    <w:rsid w:val="00A92EDB"/>
    <w:rsid w:val="00A93595"/>
    <w:rsid w:val="00A936F0"/>
    <w:rsid w:val="00A94D5C"/>
    <w:rsid w:val="00A95469"/>
    <w:rsid w:val="00A958D2"/>
    <w:rsid w:val="00A95A01"/>
    <w:rsid w:val="00A97026"/>
    <w:rsid w:val="00A97590"/>
    <w:rsid w:val="00A97806"/>
    <w:rsid w:val="00A97BF3"/>
    <w:rsid w:val="00A97F88"/>
    <w:rsid w:val="00AA00FE"/>
    <w:rsid w:val="00AA1C4E"/>
    <w:rsid w:val="00AA21DB"/>
    <w:rsid w:val="00AA2230"/>
    <w:rsid w:val="00AA2969"/>
    <w:rsid w:val="00AA413A"/>
    <w:rsid w:val="00AA580C"/>
    <w:rsid w:val="00AA6398"/>
    <w:rsid w:val="00AA68AC"/>
    <w:rsid w:val="00AA7AA1"/>
    <w:rsid w:val="00AA7C88"/>
    <w:rsid w:val="00AB014E"/>
    <w:rsid w:val="00AB0549"/>
    <w:rsid w:val="00AB0AA1"/>
    <w:rsid w:val="00AB0D7C"/>
    <w:rsid w:val="00AB1BB3"/>
    <w:rsid w:val="00AB260E"/>
    <w:rsid w:val="00AB29C8"/>
    <w:rsid w:val="00AB30A8"/>
    <w:rsid w:val="00AB3A98"/>
    <w:rsid w:val="00AB3BEB"/>
    <w:rsid w:val="00AB3E54"/>
    <w:rsid w:val="00AB64E5"/>
    <w:rsid w:val="00AB7071"/>
    <w:rsid w:val="00AB7C87"/>
    <w:rsid w:val="00AC0319"/>
    <w:rsid w:val="00AC082C"/>
    <w:rsid w:val="00AC2FE2"/>
    <w:rsid w:val="00AC3522"/>
    <w:rsid w:val="00AC41BF"/>
    <w:rsid w:val="00AC41E7"/>
    <w:rsid w:val="00AC49EA"/>
    <w:rsid w:val="00AC5019"/>
    <w:rsid w:val="00AC501A"/>
    <w:rsid w:val="00AC52CD"/>
    <w:rsid w:val="00AC589D"/>
    <w:rsid w:val="00AC60AF"/>
    <w:rsid w:val="00AC61E5"/>
    <w:rsid w:val="00AC6948"/>
    <w:rsid w:val="00AC7AEC"/>
    <w:rsid w:val="00AD00B8"/>
    <w:rsid w:val="00AD0B55"/>
    <w:rsid w:val="00AD0DE3"/>
    <w:rsid w:val="00AD0EAA"/>
    <w:rsid w:val="00AD11A4"/>
    <w:rsid w:val="00AD2992"/>
    <w:rsid w:val="00AD31F5"/>
    <w:rsid w:val="00AD3867"/>
    <w:rsid w:val="00AD3CE5"/>
    <w:rsid w:val="00AD3EAA"/>
    <w:rsid w:val="00AD5E3E"/>
    <w:rsid w:val="00AE1327"/>
    <w:rsid w:val="00AE3E73"/>
    <w:rsid w:val="00AE4122"/>
    <w:rsid w:val="00AE4464"/>
    <w:rsid w:val="00AE528B"/>
    <w:rsid w:val="00AE604F"/>
    <w:rsid w:val="00AE6218"/>
    <w:rsid w:val="00AE690A"/>
    <w:rsid w:val="00AE71CE"/>
    <w:rsid w:val="00AE7D17"/>
    <w:rsid w:val="00AF005D"/>
    <w:rsid w:val="00AF207A"/>
    <w:rsid w:val="00AF24A4"/>
    <w:rsid w:val="00AF2520"/>
    <w:rsid w:val="00AF32CB"/>
    <w:rsid w:val="00AF3694"/>
    <w:rsid w:val="00AF370F"/>
    <w:rsid w:val="00AF4377"/>
    <w:rsid w:val="00AF472E"/>
    <w:rsid w:val="00AF4865"/>
    <w:rsid w:val="00AF4D16"/>
    <w:rsid w:val="00AF4F72"/>
    <w:rsid w:val="00AF516B"/>
    <w:rsid w:val="00AF523D"/>
    <w:rsid w:val="00AF5671"/>
    <w:rsid w:val="00AF690C"/>
    <w:rsid w:val="00AF70AD"/>
    <w:rsid w:val="00AF75DF"/>
    <w:rsid w:val="00B00EDA"/>
    <w:rsid w:val="00B01248"/>
    <w:rsid w:val="00B01656"/>
    <w:rsid w:val="00B029B3"/>
    <w:rsid w:val="00B03AF9"/>
    <w:rsid w:val="00B03E1C"/>
    <w:rsid w:val="00B04227"/>
    <w:rsid w:val="00B05954"/>
    <w:rsid w:val="00B05B5E"/>
    <w:rsid w:val="00B05E61"/>
    <w:rsid w:val="00B06913"/>
    <w:rsid w:val="00B079AE"/>
    <w:rsid w:val="00B07ED8"/>
    <w:rsid w:val="00B10D94"/>
    <w:rsid w:val="00B14874"/>
    <w:rsid w:val="00B16BAB"/>
    <w:rsid w:val="00B16DF7"/>
    <w:rsid w:val="00B17C92"/>
    <w:rsid w:val="00B17D15"/>
    <w:rsid w:val="00B20C55"/>
    <w:rsid w:val="00B21144"/>
    <w:rsid w:val="00B21B2A"/>
    <w:rsid w:val="00B21BE2"/>
    <w:rsid w:val="00B21F49"/>
    <w:rsid w:val="00B24409"/>
    <w:rsid w:val="00B25633"/>
    <w:rsid w:val="00B25BF2"/>
    <w:rsid w:val="00B25C9C"/>
    <w:rsid w:val="00B27065"/>
    <w:rsid w:val="00B27F70"/>
    <w:rsid w:val="00B3029B"/>
    <w:rsid w:val="00B30443"/>
    <w:rsid w:val="00B313AC"/>
    <w:rsid w:val="00B316EF"/>
    <w:rsid w:val="00B319DF"/>
    <w:rsid w:val="00B31B71"/>
    <w:rsid w:val="00B33548"/>
    <w:rsid w:val="00B3472C"/>
    <w:rsid w:val="00B351D9"/>
    <w:rsid w:val="00B3530A"/>
    <w:rsid w:val="00B35F86"/>
    <w:rsid w:val="00B36332"/>
    <w:rsid w:val="00B365EA"/>
    <w:rsid w:val="00B377D0"/>
    <w:rsid w:val="00B409DC"/>
    <w:rsid w:val="00B411F0"/>
    <w:rsid w:val="00B4181E"/>
    <w:rsid w:val="00B44462"/>
    <w:rsid w:val="00B446D9"/>
    <w:rsid w:val="00B447B1"/>
    <w:rsid w:val="00B44DF1"/>
    <w:rsid w:val="00B45573"/>
    <w:rsid w:val="00B45A0D"/>
    <w:rsid w:val="00B45AD6"/>
    <w:rsid w:val="00B45BF4"/>
    <w:rsid w:val="00B4631A"/>
    <w:rsid w:val="00B47687"/>
    <w:rsid w:val="00B50CAA"/>
    <w:rsid w:val="00B5101B"/>
    <w:rsid w:val="00B51683"/>
    <w:rsid w:val="00B52C7D"/>
    <w:rsid w:val="00B52F18"/>
    <w:rsid w:val="00B5345F"/>
    <w:rsid w:val="00B544ED"/>
    <w:rsid w:val="00B54BB2"/>
    <w:rsid w:val="00B551F8"/>
    <w:rsid w:val="00B55A96"/>
    <w:rsid w:val="00B56E24"/>
    <w:rsid w:val="00B60408"/>
    <w:rsid w:val="00B60757"/>
    <w:rsid w:val="00B608F3"/>
    <w:rsid w:val="00B60F19"/>
    <w:rsid w:val="00B61B8D"/>
    <w:rsid w:val="00B61DBB"/>
    <w:rsid w:val="00B63B66"/>
    <w:rsid w:val="00B63E12"/>
    <w:rsid w:val="00B64582"/>
    <w:rsid w:val="00B7008C"/>
    <w:rsid w:val="00B700D9"/>
    <w:rsid w:val="00B70375"/>
    <w:rsid w:val="00B7109B"/>
    <w:rsid w:val="00B71ACF"/>
    <w:rsid w:val="00B723B6"/>
    <w:rsid w:val="00B72B39"/>
    <w:rsid w:val="00B72EC7"/>
    <w:rsid w:val="00B72EC8"/>
    <w:rsid w:val="00B7445A"/>
    <w:rsid w:val="00B74923"/>
    <w:rsid w:val="00B74C34"/>
    <w:rsid w:val="00B74D65"/>
    <w:rsid w:val="00B7512E"/>
    <w:rsid w:val="00B776F4"/>
    <w:rsid w:val="00B8090E"/>
    <w:rsid w:val="00B80DB8"/>
    <w:rsid w:val="00B80FD3"/>
    <w:rsid w:val="00B81BD2"/>
    <w:rsid w:val="00B86A8F"/>
    <w:rsid w:val="00B86D6E"/>
    <w:rsid w:val="00B86F4E"/>
    <w:rsid w:val="00B87055"/>
    <w:rsid w:val="00B87575"/>
    <w:rsid w:val="00B901A0"/>
    <w:rsid w:val="00B9045E"/>
    <w:rsid w:val="00B90DC6"/>
    <w:rsid w:val="00B91EB9"/>
    <w:rsid w:val="00B91F24"/>
    <w:rsid w:val="00B92F58"/>
    <w:rsid w:val="00B934F3"/>
    <w:rsid w:val="00B93A7E"/>
    <w:rsid w:val="00B967A0"/>
    <w:rsid w:val="00B97D72"/>
    <w:rsid w:val="00BA087A"/>
    <w:rsid w:val="00BA1408"/>
    <w:rsid w:val="00BA1ED6"/>
    <w:rsid w:val="00BA2499"/>
    <w:rsid w:val="00BA2817"/>
    <w:rsid w:val="00BA2B1D"/>
    <w:rsid w:val="00BA2D96"/>
    <w:rsid w:val="00BA3081"/>
    <w:rsid w:val="00BA3EC7"/>
    <w:rsid w:val="00BA3FF9"/>
    <w:rsid w:val="00BA4391"/>
    <w:rsid w:val="00BA4705"/>
    <w:rsid w:val="00BA5879"/>
    <w:rsid w:val="00BA5994"/>
    <w:rsid w:val="00BA7282"/>
    <w:rsid w:val="00BB05BC"/>
    <w:rsid w:val="00BB068B"/>
    <w:rsid w:val="00BB15CC"/>
    <w:rsid w:val="00BB27A0"/>
    <w:rsid w:val="00BB2E99"/>
    <w:rsid w:val="00BB311C"/>
    <w:rsid w:val="00BB412E"/>
    <w:rsid w:val="00BB5FBC"/>
    <w:rsid w:val="00BB6CA8"/>
    <w:rsid w:val="00BC0A61"/>
    <w:rsid w:val="00BC3889"/>
    <w:rsid w:val="00BC4465"/>
    <w:rsid w:val="00BC5EFA"/>
    <w:rsid w:val="00BC6235"/>
    <w:rsid w:val="00BC7985"/>
    <w:rsid w:val="00BC7B26"/>
    <w:rsid w:val="00BD004A"/>
    <w:rsid w:val="00BD072D"/>
    <w:rsid w:val="00BD2119"/>
    <w:rsid w:val="00BD2AD4"/>
    <w:rsid w:val="00BD2F26"/>
    <w:rsid w:val="00BD3AF5"/>
    <w:rsid w:val="00BD58E7"/>
    <w:rsid w:val="00BD5B22"/>
    <w:rsid w:val="00BD614F"/>
    <w:rsid w:val="00BE07C7"/>
    <w:rsid w:val="00BE158A"/>
    <w:rsid w:val="00BE1A3E"/>
    <w:rsid w:val="00BE282B"/>
    <w:rsid w:val="00BE3CE6"/>
    <w:rsid w:val="00BE4CE7"/>
    <w:rsid w:val="00BE4D4D"/>
    <w:rsid w:val="00BE51AE"/>
    <w:rsid w:val="00BE5B7C"/>
    <w:rsid w:val="00BE5CAD"/>
    <w:rsid w:val="00BE63AA"/>
    <w:rsid w:val="00BE6A59"/>
    <w:rsid w:val="00BE6C14"/>
    <w:rsid w:val="00BE7D25"/>
    <w:rsid w:val="00BE7EA3"/>
    <w:rsid w:val="00BF0519"/>
    <w:rsid w:val="00BF1280"/>
    <w:rsid w:val="00BF20B1"/>
    <w:rsid w:val="00BF2A66"/>
    <w:rsid w:val="00BF3468"/>
    <w:rsid w:val="00BF35CA"/>
    <w:rsid w:val="00BF4B0E"/>
    <w:rsid w:val="00BF545B"/>
    <w:rsid w:val="00BF6082"/>
    <w:rsid w:val="00BF6128"/>
    <w:rsid w:val="00BF6131"/>
    <w:rsid w:val="00BF7D9F"/>
    <w:rsid w:val="00C00197"/>
    <w:rsid w:val="00C009D9"/>
    <w:rsid w:val="00C021DA"/>
    <w:rsid w:val="00C04E54"/>
    <w:rsid w:val="00C066C8"/>
    <w:rsid w:val="00C06879"/>
    <w:rsid w:val="00C072B0"/>
    <w:rsid w:val="00C073D0"/>
    <w:rsid w:val="00C0784E"/>
    <w:rsid w:val="00C10FDA"/>
    <w:rsid w:val="00C1202B"/>
    <w:rsid w:val="00C12AE6"/>
    <w:rsid w:val="00C13163"/>
    <w:rsid w:val="00C137BD"/>
    <w:rsid w:val="00C138F8"/>
    <w:rsid w:val="00C14C8F"/>
    <w:rsid w:val="00C15865"/>
    <w:rsid w:val="00C15F03"/>
    <w:rsid w:val="00C160CB"/>
    <w:rsid w:val="00C168F2"/>
    <w:rsid w:val="00C16918"/>
    <w:rsid w:val="00C16C58"/>
    <w:rsid w:val="00C1701D"/>
    <w:rsid w:val="00C17BCC"/>
    <w:rsid w:val="00C20304"/>
    <w:rsid w:val="00C204F8"/>
    <w:rsid w:val="00C2120F"/>
    <w:rsid w:val="00C2187A"/>
    <w:rsid w:val="00C2194C"/>
    <w:rsid w:val="00C223CA"/>
    <w:rsid w:val="00C22A5D"/>
    <w:rsid w:val="00C2302F"/>
    <w:rsid w:val="00C23766"/>
    <w:rsid w:val="00C24C52"/>
    <w:rsid w:val="00C263F9"/>
    <w:rsid w:val="00C26425"/>
    <w:rsid w:val="00C30649"/>
    <w:rsid w:val="00C314BC"/>
    <w:rsid w:val="00C3169A"/>
    <w:rsid w:val="00C31A92"/>
    <w:rsid w:val="00C32583"/>
    <w:rsid w:val="00C32B06"/>
    <w:rsid w:val="00C34D91"/>
    <w:rsid w:val="00C36734"/>
    <w:rsid w:val="00C36C54"/>
    <w:rsid w:val="00C37827"/>
    <w:rsid w:val="00C37C45"/>
    <w:rsid w:val="00C4072A"/>
    <w:rsid w:val="00C4253C"/>
    <w:rsid w:val="00C42CEA"/>
    <w:rsid w:val="00C42E3C"/>
    <w:rsid w:val="00C44BC8"/>
    <w:rsid w:val="00C44CD4"/>
    <w:rsid w:val="00C457C1"/>
    <w:rsid w:val="00C46102"/>
    <w:rsid w:val="00C4618D"/>
    <w:rsid w:val="00C467C0"/>
    <w:rsid w:val="00C472AB"/>
    <w:rsid w:val="00C50132"/>
    <w:rsid w:val="00C50610"/>
    <w:rsid w:val="00C5067B"/>
    <w:rsid w:val="00C5168D"/>
    <w:rsid w:val="00C51F39"/>
    <w:rsid w:val="00C53AC1"/>
    <w:rsid w:val="00C5461A"/>
    <w:rsid w:val="00C546F4"/>
    <w:rsid w:val="00C54AA9"/>
    <w:rsid w:val="00C5513B"/>
    <w:rsid w:val="00C55C30"/>
    <w:rsid w:val="00C5610D"/>
    <w:rsid w:val="00C56576"/>
    <w:rsid w:val="00C5663E"/>
    <w:rsid w:val="00C5699F"/>
    <w:rsid w:val="00C56D8B"/>
    <w:rsid w:val="00C57C1D"/>
    <w:rsid w:val="00C6315D"/>
    <w:rsid w:val="00C63878"/>
    <w:rsid w:val="00C65ABF"/>
    <w:rsid w:val="00C65CBA"/>
    <w:rsid w:val="00C65F9F"/>
    <w:rsid w:val="00C676C3"/>
    <w:rsid w:val="00C719ED"/>
    <w:rsid w:val="00C7298D"/>
    <w:rsid w:val="00C72E67"/>
    <w:rsid w:val="00C73CC6"/>
    <w:rsid w:val="00C7429C"/>
    <w:rsid w:val="00C7482E"/>
    <w:rsid w:val="00C74EAA"/>
    <w:rsid w:val="00C751CD"/>
    <w:rsid w:val="00C75703"/>
    <w:rsid w:val="00C75B01"/>
    <w:rsid w:val="00C75C2F"/>
    <w:rsid w:val="00C77525"/>
    <w:rsid w:val="00C8169C"/>
    <w:rsid w:val="00C82DCC"/>
    <w:rsid w:val="00C82FD9"/>
    <w:rsid w:val="00C835AF"/>
    <w:rsid w:val="00C83B59"/>
    <w:rsid w:val="00C84172"/>
    <w:rsid w:val="00C85263"/>
    <w:rsid w:val="00C863D4"/>
    <w:rsid w:val="00C86728"/>
    <w:rsid w:val="00C86781"/>
    <w:rsid w:val="00C86AFF"/>
    <w:rsid w:val="00C874C9"/>
    <w:rsid w:val="00C8752A"/>
    <w:rsid w:val="00C875B7"/>
    <w:rsid w:val="00C87AB5"/>
    <w:rsid w:val="00C90627"/>
    <w:rsid w:val="00C90E3B"/>
    <w:rsid w:val="00C91176"/>
    <w:rsid w:val="00C919F1"/>
    <w:rsid w:val="00C92845"/>
    <w:rsid w:val="00C929A3"/>
    <w:rsid w:val="00C92EF4"/>
    <w:rsid w:val="00C931F7"/>
    <w:rsid w:val="00C93A07"/>
    <w:rsid w:val="00C940B8"/>
    <w:rsid w:val="00C94AE3"/>
    <w:rsid w:val="00C9559B"/>
    <w:rsid w:val="00C95603"/>
    <w:rsid w:val="00C963F2"/>
    <w:rsid w:val="00C967D9"/>
    <w:rsid w:val="00C969C9"/>
    <w:rsid w:val="00C9727F"/>
    <w:rsid w:val="00C97C17"/>
    <w:rsid w:val="00CA0250"/>
    <w:rsid w:val="00CA1149"/>
    <w:rsid w:val="00CA15D4"/>
    <w:rsid w:val="00CA1A9A"/>
    <w:rsid w:val="00CA37F2"/>
    <w:rsid w:val="00CA3BAE"/>
    <w:rsid w:val="00CA3BF9"/>
    <w:rsid w:val="00CA4022"/>
    <w:rsid w:val="00CA4482"/>
    <w:rsid w:val="00CA538C"/>
    <w:rsid w:val="00CA5793"/>
    <w:rsid w:val="00CA582A"/>
    <w:rsid w:val="00CA7338"/>
    <w:rsid w:val="00CA78AA"/>
    <w:rsid w:val="00CB0517"/>
    <w:rsid w:val="00CB08D4"/>
    <w:rsid w:val="00CB1E0D"/>
    <w:rsid w:val="00CB2C4C"/>
    <w:rsid w:val="00CB2E8E"/>
    <w:rsid w:val="00CB3259"/>
    <w:rsid w:val="00CB3735"/>
    <w:rsid w:val="00CB44D9"/>
    <w:rsid w:val="00CB4D2B"/>
    <w:rsid w:val="00CB6959"/>
    <w:rsid w:val="00CB75F3"/>
    <w:rsid w:val="00CB7D8B"/>
    <w:rsid w:val="00CB7E63"/>
    <w:rsid w:val="00CC0797"/>
    <w:rsid w:val="00CC0B6D"/>
    <w:rsid w:val="00CC17CA"/>
    <w:rsid w:val="00CC2A6C"/>
    <w:rsid w:val="00CC6DB0"/>
    <w:rsid w:val="00CC712D"/>
    <w:rsid w:val="00CD0579"/>
    <w:rsid w:val="00CD0A36"/>
    <w:rsid w:val="00CD149E"/>
    <w:rsid w:val="00CD219C"/>
    <w:rsid w:val="00CD280E"/>
    <w:rsid w:val="00CD325F"/>
    <w:rsid w:val="00CD32AB"/>
    <w:rsid w:val="00CD377B"/>
    <w:rsid w:val="00CD3EC2"/>
    <w:rsid w:val="00CD4292"/>
    <w:rsid w:val="00CD4500"/>
    <w:rsid w:val="00CD453B"/>
    <w:rsid w:val="00CD46B2"/>
    <w:rsid w:val="00CD5188"/>
    <w:rsid w:val="00CD53CF"/>
    <w:rsid w:val="00CD57A5"/>
    <w:rsid w:val="00CD63EF"/>
    <w:rsid w:val="00CD6798"/>
    <w:rsid w:val="00CD7168"/>
    <w:rsid w:val="00CD747F"/>
    <w:rsid w:val="00CD7CAB"/>
    <w:rsid w:val="00CD7FF5"/>
    <w:rsid w:val="00CE0DBA"/>
    <w:rsid w:val="00CE1B9D"/>
    <w:rsid w:val="00CE2166"/>
    <w:rsid w:val="00CE2E84"/>
    <w:rsid w:val="00CE30C7"/>
    <w:rsid w:val="00CE37C2"/>
    <w:rsid w:val="00CE4099"/>
    <w:rsid w:val="00CE43DB"/>
    <w:rsid w:val="00CE47BF"/>
    <w:rsid w:val="00CE4D68"/>
    <w:rsid w:val="00CE4DAE"/>
    <w:rsid w:val="00CE5245"/>
    <w:rsid w:val="00CE7680"/>
    <w:rsid w:val="00CE7FD2"/>
    <w:rsid w:val="00CF0E90"/>
    <w:rsid w:val="00CF1812"/>
    <w:rsid w:val="00CF1E55"/>
    <w:rsid w:val="00CF2EE8"/>
    <w:rsid w:val="00CF36A7"/>
    <w:rsid w:val="00CF3890"/>
    <w:rsid w:val="00CF39B3"/>
    <w:rsid w:val="00CF39BE"/>
    <w:rsid w:val="00CF420A"/>
    <w:rsid w:val="00CF4F05"/>
    <w:rsid w:val="00CF74E8"/>
    <w:rsid w:val="00CF7800"/>
    <w:rsid w:val="00CF7AAB"/>
    <w:rsid w:val="00D0203E"/>
    <w:rsid w:val="00D027B1"/>
    <w:rsid w:val="00D04989"/>
    <w:rsid w:val="00D04B50"/>
    <w:rsid w:val="00D05221"/>
    <w:rsid w:val="00D053C2"/>
    <w:rsid w:val="00D0632A"/>
    <w:rsid w:val="00D063C2"/>
    <w:rsid w:val="00D06BD0"/>
    <w:rsid w:val="00D104D0"/>
    <w:rsid w:val="00D109C3"/>
    <w:rsid w:val="00D10FFB"/>
    <w:rsid w:val="00D112E0"/>
    <w:rsid w:val="00D11492"/>
    <w:rsid w:val="00D13112"/>
    <w:rsid w:val="00D14BA6"/>
    <w:rsid w:val="00D1595F"/>
    <w:rsid w:val="00D16E24"/>
    <w:rsid w:val="00D16E7B"/>
    <w:rsid w:val="00D177CD"/>
    <w:rsid w:val="00D20018"/>
    <w:rsid w:val="00D2310E"/>
    <w:rsid w:val="00D25D48"/>
    <w:rsid w:val="00D25F63"/>
    <w:rsid w:val="00D263C3"/>
    <w:rsid w:val="00D26934"/>
    <w:rsid w:val="00D26B6B"/>
    <w:rsid w:val="00D274E9"/>
    <w:rsid w:val="00D300D3"/>
    <w:rsid w:val="00D30120"/>
    <w:rsid w:val="00D306D6"/>
    <w:rsid w:val="00D30935"/>
    <w:rsid w:val="00D30970"/>
    <w:rsid w:val="00D30C4F"/>
    <w:rsid w:val="00D31037"/>
    <w:rsid w:val="00D3160D"/>
    <w:rsid w:val="00D33069"/>
    <w:rsid w:val="00D33B72"/>
    <w:rsid w:val="00D34F87"/>
    <w:rsid w:val="00D3542E"/>
    <w:rsid w:val="00D35EEF"/>
    <w:rsid w:val="00D363D9"/>
    <w:rsid w:val="00D36D02"/>
    <w:rsid w:val="00D37854"/>
    <w:rsid w:val="00D379C8"/>
    <w:rsid w:val="00D37B3C"/>
    <w:rsid w:val="00D403B5"/>
    <w:rsid w:val="00D421AD"/>
    <w:rsid w:val="00D42B96"/>
    <w:rsid w:val="00D42F10"/>
    <w:rsid w:val="00D45030"/>
    <w:rsid w:val="00D46340"/>
    <w:rsid w:val="00D472FB"/>
    <w:rsid w:val="00D5052D"/>
    <w:rsid w:val="00D513CF"/>
    <w:rsid w:val="00D52484"/>
    <w:rsid w:val="00D52C8B"/>
    <w:rsid w:val="00D5485B"/>
    <w:rsid w:val="00D54B31"/>
    <w:rsid w:val="00D54DA8"/>
    <w:rsid w:val="00D55256"/>
    <w:rsid w:val="00D55421"/>
    <w:rsid w:val="00D55BCA"/>
    <w:rsid w:val="00D5624A"/>
    <w:rsid w:val="00D571DE"/>
    <w:rsid w:val="00D607D3"/>
    <w:rsid w:val="00D61010"/>
    <w:rsid w:val="00D611F3"/>
    <w:rsid w:val="00D61C15"/>
    <w:rsid w:val="00D6279E"/>
    <w:rsid w:val="00D6373E"/>
    <w:rsid w:val="00D65B72"/>
    <w:rsid w:val="00D6641B"/>
    <w:rsid w:val="00D666F1"/>
    <w:rsid w:val="00D66C4B"/>
    <w:rsid w:val="00D67C9A"/>
    <w:rsid w:val="00D708B7"/>
    <w:rsid w:val="00D714B2"/>
    <w:rsid w:val="00D718FB"/>
    <w:rsid w:val="00D71A12"/>
    <w:rsid w:val="00D71B33"/>
    <w:rsid w:val="00D71B3F"/>
    <w:rsid w:val="00D72C8D"/>
    <w:rsid w:val="00D72CE0"/>
    <w:rsid w:val="00D74610"/>
    <w:rsid w:val="00D75860"/>
    <w:rsid w:val="00D76911"/>
    <w:rsid w:val="00D80114"/>
    <w:rsid w:val="00D816F8"/>
    <w:rsid w:val="00D820B7"/>
    <w:rsid w:val="00D825A0"/>
    <w:rsid w:val="00D839E4"/>
    <w:rsid w:val="00D858FB"/>
    <w:rsid w:val="00D8592A"/>
    <w:rsid w:val="00D85ED3"/>
    <w:rsid w:val="00D85F8E"/>
    <w:rsid w:val="00D86D40"/>
    <w:rsid w:val="00D9140B"/>
    <w:rsid w:val="00D92426"/>
    <w:rsid w:val="00D93AC7"/>
    <w:rsid w:val="00D950A9"/>
    <w:rsid w:val="00D9527C"/>
    <w:rsid w:val="00D96273"/>
    <w:rsid w:val="00D96A6B"/>
    <w:rsid w:val="00DA0F88"/>
    <w:rsid w:val="00DA18AA"/>
    <w:rsid w:val="00DA1C4A"/>
    <w:rsid w:val="00DA2D59"/>
    <w:rsid w:val="00DA38A5"/>
    <w:rsid w:val="00DA3A20"/>
    <w:rsid w:val="00DA4038"/>
    <w:rsid w:val="00DA47C1"/>
    <w:rsid w:val="00DA57A3"/>
    <w:rsid w:val="00DA6EB4"/>
    <w:rsid w:val="00DA7710"/>
    <w:rsid w:val="00DB0281"/>
    <w:rsid w:val="00DB08B5"/>
    <w:rsid w:val="00DB0958"/>
    <w:rsid w:val="00DB2A1B"/>
    <w:rsid w:val="00DB2B8E"/>
    <w:rsid w:val="00DB3225"/>
    <w:rsid w:val="00DB3DC6"/>
    <w:rsid w:val="00DB3F78"/>
    <w:rsid w:val="00DB4ACA"/>
    <w:rsid w:val="00DB4E03"/>
    <w:rsid w:val="00DB4F64"/>
    <w:rsid w:val="00DB5382"/>
    <w:rsid w:val="00DB6409"/>
    <w:rsid w:val="00DB6579"/>
    <w:rsid w:val="00DB70C2"/>
    <w:rsid w:val="00DB7A99"/>
    <w:rsid w:val="00DC0F04"/>
    <w:rsid w:val="00DC114E"/>
    <w:rsid w:val="00DC12EC"/>
    <w:rsid w:val="00DC2F4D"/>
    <w:rsid w:val="00DC348E"/>
    <w:rsid w:val="00DC3686"/>
    <w:rsid w:val="00DC4249"/>
    <w:rsid w:val="00DC52D9"/>
    <w:rsid w:val="00DC5361"/>
    <w:rsid w:val="00DC5D5A"/>
    <w:rsid w:val="00DC6948"/>
    <w:rsid w:val="00DC6D97"/>
    <w:rsid w:val="00DC795A"/>
    <w:rsid w:val="00DD02B2"/>
    <w:rsid w:val="00DD0738"/>
    <w:rsid w:val="00DD0762"/>
    <w:rsid w:val="00DD0B7B"/>
    <w:rsid w:val="00DD16CA"/>
    <w:rsid w:val="00DD2C24"/>
    <w:rsid w:val="00DD4160"/>
    <w:rsid w:val="00DD4D5D"/>
    <w:rsid w:val="00DE0590"/>
    <w:rsid w:val="00DE137F"/>
    <w:rsid w:val="00DE1C1D"/>
    <w:rsid w:val="00DE2308"/>
    <w:rsid w:val="00DE3DB9"/>
    <w:rsid w:val="00DE415E"/>
    <w:rsid w:val="00DE56B4"/>
    <w:rsid w:val="00DE5A8C"/>
    <w:rsid w:val="00DE6CB8"/>
    <w:rsid w:val="00DE7268"/>
    <w:rsid w:val="00DE774E"/>
    <w:rsid w:val="00DE79EC"/>
    <w:rsid w:val="00DF10AA"/>
    <w:rsid w:val="00DF1809"/>
    <w:rsid w:val="00DF24F6"/>
    <w:rsid w:val="00DF2A0F"/>
    <w:rsid w:val="00DF2FC8"/>
    <w:rsid w:val="00DF3A0D"/>
    <w:rsid w:val="00DF50B2"/>
    <w:rsid w:val="00DF63FF"/>
    <w:rsid w:val="00DF6DA3"/>
    <w:rsid w:val="00E008E0"/>
    <w:rsid w:val="00E00902"/>
    <w:rsid w:val="00E00D0E"/>
    <w:rsid w:val="00E00D66"/>
    <w:rsid w:val="00E01547"/>
    <w:rsid w:val="00E0168E"/>
    <w:rsid w:val="00E02B95"/>
    <w:rsid w:val="00E035F1"/>
    <w:rsid w:val="00E0380C"/>
    <w:rsid w:val="00E03BC4"/>
    <w:rsid w:val="00E03DF3"/>
    <w:rsid w:val="00E04562"/>
    <w:rsid w:val="00E055DF"/>
    <w:rsid w:val="00E05B21"/>
    <w:rsid w:val="00E068A5"/>
    <w:rsid w:val="00E07482"/>
    <w:rsid w:val="00E1048C"/>
    <w:rsid w:val="00E11C41"/>
    <w:rsid w:val="00E12F33"/>
    <w:rsid w:val="00E13D08"/>
    <w:rsid w:val="00E14D04"/>
    <w:rsid w:val="00E15D62"/>
    <w:rsid w:val="00E15E6C"/>
    <w:rsid w:val="00E1662E"/>
    <w:rsid w:val="00E173DD"/>
    <w:rsid w:val="00E173EA"/>
    <w:rsid w:val="00E178C5"/>
    <w:rsid w:val="00E21177"/>
    <w:rsid w:val="00E2147B"/>
    <w:rsid w:val="00E220E9"/>
    <w:rsid w:val="00E231E6"/>
    <w:rsid w:val="00E25233"/>
    <w:rsid w:val="00E25878"/>
    <w:rsid w:val="00E26919"/>
    <w:rsid w:val="00E26B97"/>
    <w:rsid w:val="00E271B6"/>
    <w:rsid w:val="00E275FC"/>
    <w:rsid w:val="00E3058F"/>
    <w:rsid w:val="00E30F75"/>
    <w:rsid w:val="00E31916"/>
    <w:rsid w:val="00E34556"/>
    <w:rsid w:val="00E34A6E"/>
    <w:rsid w:val="00E35898"/>
    <w:rsid w:val="00E35D2E"/>
    <w:rsid w:val="00E35F04"/>
    <w:rsid w:val="00E3673C"/>
    <w:rsid w:val="00E37235"/>
    <w:rsid w:val="00E4085C"/>
    <w:rsid w:val="00E42A61"/>
    <w:rsid w:val="00E43505"/>
    <w:rsid w:val="00E43825"/>
    <w:rsid w:val="00E43FD4"/>
    <w:rsid w:val="00E45400"/>
    <w:rsid w:val="00E458BD"/>
    <w:rsid w:val="00E45CE0"/>
    <w:rsid w:val="00E4702F"/>
    <w:rsid w:val="00E4771A"/>
    <w:rsid w:val="00E47728"/>
    <w:rsid w:val="00E510DF"/>
    <w:rsid w:val="00E51837"/>
    <w:rsid w:val="00E52277"/>
    <w:rsid w:val="00E52341"/>
    <w:rsid w:val="00E52624"/>
    <w:rsid w:val="00E5264B"/>
    <w:rsid w:val="00E52DF2"/>
    <w:rsid w:val="00E53352"/>
    <w:rsid w:val="00E5447D"/>
    <w:rsid w:val="00E55C4A"/>
    <w:rsid w:val="00E57275"/>
    <w:rsid w:val="00E604B5"/>
    <w:rsid w:val="00E620F5"/>
    <w:rsid w:val="00E621A8"/>
    <w:rsid w:val="00E624D3"/>
    <w:rsid w:val="00E62EA1"/>
    <w:rsid w:val="00E66105"/>
    <w:rsid w:val="00E66364"/>
    <w:rsid w:val="00E663B4"/>
    <w:rsid w:val="00E6655E"/>
    <w:rsid w:val="00E67033"/>
    <w:rsid w:val="00E67938"/>
    <w:rsid w:val="00E67B1C"/>
    <w:rsid w:val="00E70A2E"/>
    <w:rsid w:val="00E70D08"/>
    <w:rsid w:val="00E70D17"/>
    <w:rsid w:val="00E70E9C"/>
    <w:rsid w:val="00E71368"/>
    <w:rsid w:val="00E71D13"/>
    <w:rsid w:val="00E71EFF"/>
    <w:rsid w:val="00E72938"/>
    <w:rsid w:val="00E73E2B"/>
    <w:rsid w:val="00E74B19"/>
    <w:rsid w:val="00E74D38"/>
    <w:rsid w:val="00E757F4"/>
    <w:rsid w:val="00E75BA0"/>
    <w:rsid w:val="00E75CC5"/>
    <w:rsid w:val="00E7624D"/>
    <w:rsid w:val="00E764DF"/>
    <w:rsid w:val="00E77298"/>
    <w:rsid w:val="00E80F56"/>
    <w:rsid w:val="00E812B8"/>
    <w:rsid w:val="00E8192C"/>
    <w:rsid w:val="00E81B84"/>
    <w:rsid w:val="00E81BA5"/>
    <w:rsid w:val="00E82C02"/>
    <w:rsid w:val="00E839F4"/>
    <w:rsid w:val="00E856DB"/>
    <w:rsid w:val="00E86B85"/>
    <w:rsid w:val="00E86E4C"/>
    <w:rsid w:val="00E87DEE"/>
    <w:rsid w:val="00E87F35"/>
    <w:rsid w:val="00E90884"/>
    <w:rsid w:val="00E90AB4"/>
    <w:rsid w:val="00E91FBA"/>
    <w:rsid w:val="00E92999"/>
    <w:rsid w:val="00E931ED"/>
    <w:rsid w:val="00E93A2B"/>
    <w:rsid w:val="00E93D3B"/>
    <w:rsid w:val="00E95006"/>
    <w:rsid w:val="00E95548"/>
    <w:rsid w:val="00E95613"/>
    <w:rsid w:val="00E9724A"/>
    <w:rsid w:val="00E97DAB"/>
    <w:rsid w:val="00EA11EE"/>
    <w:rsid w:val="00EA2C36"/>
    <w:rsid w:val="00EA3941"/>
    <w:rsid w:val="00EA3E19"/>
    <w:rsid w:val="00EA5F3A"/>
    <w:rsid w:val="00EA63B4"/>
    <w:rsid w:val="00EB02D6"/>
    <w:rsid w:val="00EB18EF"/>
    <w:rsid w:val="00EB421D"/>
    <w:rsid w:val="00EB4E2A"/>
    <w:rsid w:val="00EB5288"/>
    <w:rsid w:val="00EB6C89"/>
    <w:rsid w:val="00EB7535"/>
    <w:rsid w:val="00EB78C1"/>
    <w:rsid w:val="00EB7F8B"/>
    <w:rsid w:val="00EC08DB"/>
    <w:rsid w:val="00EC2F0A"/>
    <w:rsid w:val="00EC2FD5"/>
    <w:rsid w:val="00EC365F"/>
    <w:rsid w:val="00EC4310"/>
    <w:rsid w:val="00EC4743"/>
    <w:rsid w:val="00EC47CD"/>
    <w:rsid w:val="00EC4A18"/>
    <w:rsid w:val="00EC5B67"/>
    <w:rsid w:val="00EC6C49"/>
    <w:rsid w:val="00EC79B8"/>
    <w:rsid w:val="00EC7BBF"/>
    <w:rsid w:val="00ED0AAA"/>
    <w:rsid w:val="00ED10AA"/>
    <w:rsid w:val="00ED12F6"/>
    <w:rsid w:val="00ED16B4"/>
    <w:rsid w:val="00ED1CAE"/>
    <w:rsid w:val="00ED2B62"/>
    <w:rsid w:val="00ED3692"/>
    <w:rsid w:val="00ED36C1"/>
    <w:rsid w:val="00ED5F0B"/>
    <w:rsid w:val="00ED660A"/>
    <w:rsid w:val="00ED6833"/>
    <w:rsid w:val="00ED7352"/>
    <w:rsid w:val="00ED749C"/>
    <w:rsid w:val="00ED75D6"/>
    <w:rsid w:val="00ED7B53"/>
    <w:rsid w:val="00ED7EFA"/>
    <w:rsid w:val="00EE09F7"/>
    <w:rsid w:val="00EE14EA"/>
    <w:rsid w:val="00EE20AA"/>
    <w:rsid w:val="00EE3602"/>
    <w:rsid w:val="00EE4904"/>
    <w:rsid w:val="00EE5BCE"/>
    <w:rsid w:val="00EF030F"/>
    <w:rsid w:val="00EF0E28"/>
    <w:rsid w:val="00EF1401"/>
    <w:rsid w:val="00EF26F3"/>
    <w:rsid w:val="00EF2A49"/>
    <w:rsid w:val="00EF6118"/>
    <w:rsid w:val="00EF6891"/>
    <w:rsid w:val="00EF7786"/>
    <w:rsid w:val="00EF7E5E"/>
    <w:rsid w:val="00F0097F"/>
    <w:rsid w:val="00F01022"/>
    <w:rsid w:val="00F0136D"/>
    <w:rsid w:val="00F01C8F"/>
    <w:rsid w:val="00F025A6"/>
    <w:rsid w:val="00F031C7"/>
    <w:rsid w:val="00F0384B"/>
    <w:rsid w:val="00F03A3B"/>
    <w:rsid w:val="00F03A80"/>
    <w:rsid w:val="00F03E7A"/>
    <w:rsid w:val="00F046E1"/>
    <w:rsid w:val="00F0555F"/>
    <w:rsid w:val="00F06EC1"/>
    <w:rsid w:val="00F07EE8"/>
    <w:rsid w:val="00F1041E"/>
    <w:rsid w:val="00F11515"/>
    <w:rsid w:val="00F119A6"/>
    <w:rsid w:val="00F12CBA"/>
    <w:rsid w:val="00F12CCC"/>
    <w:rsid w:val="00F138E1"/>
    <w:rsid w:val="00F1485D"/>
    <w:rsid w:val="00F16E7C"/>
    <w:rsid w:val="00F207A6"/>
    <w:rsid w:val="00F20A89"/>
    <w:rsid w:val="00F20FA0"/>
    <w:rsid w:val="00F212D5"/>
    <w:rsid w:val="00F2141E"/>
    <w:rsid w:val="00F2170E"/>
    <w:rsid w:val="00F2261A"/>
    <w:rsid w:val="00F23423"/>
    <w:rsid w:val="00F23D3A"/>
    <w:rsid w:val="00F25525"/>
    <w:rsid w:val="00F25808"/>
    <w:rsid w:val="00F25B81"/>
    <w:rsid w:val="00F26B9B"/>
    <w:rsid w:val="00F26D83"/>
    <w:rsid w:val="00F277CC"/>
    <w:rsid w:val="00F343A3"/>
    <w:rsid w:val="00F351AC"/>
    <w:rsid w:val="00F354B3"/>
    <w:rsid w:val="00F37691"/>
    <w:rsid w:val="00F37CE6"/>
    <w:rsid w:val="00F37D3B"/>
    <w:rsid w:val="00F40ACB"/>
    <w:rsid w:val="00F40F1F"/>
    <w:rsid w:val="00F41A48"/>
    <w:rsid w:val="00F4265C"/>
    <w:rsid w:val="00F42810"/>
    <w:rsid w:val="00F430C0"/>
    <w:rsid w:val="00F44A3B"/>
    <w:rsid w:val="00F454E2"/>
    <w:rsid w:val="00F45888"/>
    <w:rsid w:val="00F461A9"/>
    <w:rsid w:val="00F462C3"/>
    <w:rsid w:val="00F4685E"/>
    <w:rsid w:val="00F46910"/>
    <w:rsid w:val="00F47836"/>
    <w:rsid w:val="00F50592"/>
    <w:rsid w:val="00F50A9E"/>
    <w:rsid w:val="00F5323A"/>
    <w:rsid w:val="00F53F56"/>
    <w:rsid w:val="00F54409"/>
    <w:rsid w:val="00F54C79"/>
    <w:rsid w:val="00F54DD3"/>
    <w:rsid w:val="00F5588C"/>
    <w:rsid w:val="00F55E20"/>
    <w:rsid w:val="00F57E58"/>
    <w:rsid w:val="00F6163F"/>
    <w:rsid w:val="00F64A35"/>
    <w:rsid w:val="00F65969"/>
    <w:rsid w:val="00F660E1"/>
    <w:rsid w:val="00F663AD"/>
    <w:rsid w:val="00F664F9"/>
    <w:rsid w:val="00F6659B"/>
    <w:rsid w:val="00F666F4"/>
    <w:rsid w:val="00F66B85"/>
    <w:rsid w:val="00F66F17"/>
    <w:rsid w:val="00F700BA"/>
    <w:rsid w:val="00F703CE"/>
    <w:rsid w:val="00F718FC"/>
    <w:rsid w:val="00F71A9C"/>
    <w:rsid w:val="00F72124"/>
    <w:rsid w:val="00F72376"/>
    <w:rsid w:val="00F72DC5"/>
    <w:rsid w:val="00F7696C"/>
    <w:rsid w:val="00F8012D"/>
    <w:rsid w:val="00F81A9C"/>
    <w:rsid w:val="00F822B1"/>
    <w:rsid w:val="00F823BD"/>
    <w:rsid w:val="00F82567"/>
    <w:rsid w:val="00F82FFF"/>
    <w:rsid w:val="00F834B0"/>
    <w:rsid w:val="00F840FF"/>
    <w:rsid w:val="00F8467D"/>
    <w:rsid w:val="00F8497C"/>
    <w:rsid w:val="00F84B9E"/>
    <w:rsid w:val="00F85EBD"/>
    <w:rsid w:val="00F900AE"/>
    <w:rsid w:val="00F90C75"/>
    <w:rsid w:val="00F90CDB"/>
    <w:rsid w:val="00F91E3F"/>
    <w:rsid w:val="00F96CB6"/>
    <w:rsid w:val="00F9702C"/>
    <w:rsid w:val="00F97202"/>
    <w:rsid w:val="00FA0859"/>
    <w:rsid w:val="00FA0A5B"/>
    <w:rsid w:val="00FA121C"/>
    <w:rsid w:val="00FA18B5"/>
    <w:rsid w:val="00FA30C2"/>
    <w:rsid w:val="00FA333A"/>
    <w:rsid w:val="00FA40D2"/>
    <w:rsid w:val="00FA4B5F"/>
    <w:rsid w:val="00FA4D03"/>
    <w:rsid w:val="00FA55A6"/>
    <w:rsid w:val="00FA659B"/>
    <w:rsid w:val="00FA66B3"/>
    <w:rsid w:val="00FA685E"/>
    <w:rsid w:val="00FA798A"/>
    <w:rsid w:val="00FB02AA"/>
    <w:rsid w:val="00FB0747"/>
    <w:rsid w:val="00FB1A93"/>
    <w:rsid w:val="00FB267F"/>
    <w:rsid w:val="00FB27EE"/>
    <w:rsid w:val="00FB56AC"/>
    <w:rsid w:val="00FB62D2"/>
    <w:rsid w:val="00FB694B"/>
    <w:rsid w:val="00FB711F"/>
    <w:rsid w:val="00FC32FA"/>
    <w:rsid w:val="00FC39E2"/>
    <w:rsid w:val="00FC4514"/>
    <w:rsid w:val="00FC52E1"/>
    <w:rsid w:val="00FC5507"/>
    <w:rsid w:val="00FC5A9D"/>
    <w:rsid w:val="00FC743B"/>
    <w:rsid w:val="00FD0F47"/>
    <w:rsid w:val="00FD1B37"/>
    <w:rsid w:val="00FD1F13"/>
    <w:rsid w:val="00FD1F73"/>
    <w:rsid w:val="00FD2267"/>
    <w:rsid w:val="00FD2A77"/>
    <w:rsid w:val="00FD2B11"/>
    <w:rsid w:val="00FD3E1A"/>
    <w:rsid w:val="00FD4149"/>
    <w:rsid w:val="00FD4B3B"/>
    <w:rsid w:val="00FD5ADB"/>
    <w:rsid w:val="00FD75A7"/>
    <w:rsid w:val="00FE0365"/>
    <w:rsid w:val="00FE0397"/>
    <w:rsid w:val="00FE046F"/>
    <w:rsid w:val="00FE1A3E"/>
    <w:rsid w:val="00FE1C5E"/>
    <w:rsid w:val="00FE2233"/>
    <w:rsid w:val="00FE268B"/>
    <w:rsid w:val="00FE3B9A"/>
    <w:rsid w:val="00FE3D77"/>
    <w:rsid w:val="00FE4258"/>
    <w:rsid w:val="00FE4B7E"/>
    <w:rsid w:val="00FE5980"/>
    <w:rsid w:val="00FE5FB3"/>
    <w:rsid w:val="00FE75CF"/>
    <w:rsid w:val="00FF0DF0"/>
    <w:rsid w:val="00FF1D8F"/>
    <w:rsid w:val="00FF2829"/>
    <w:rsid w:val="00FF2AFD"/>
    <w:rsid w:val="00FF2FCB"/>
    <w:rsid w:val="00FF3203"/>
    <w:rsid w:val="00FF3401"/>
    <w:rsid w:val="00FF516B"/>
    <w:rsid w:val="00FF61B9"/>
    <w:rsid w:val="00FF6A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7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qFormat="1"/>
    <w:lsdException w:name="caption" w:semiHidden="1" w:unhideWhenUsed="1" w:qFormat="1"/>
    <w:lsdException w:name="table of figures" w:uiPriority="99" w:qFormat="1"/>
    <w:lsdException w:name="footnote reference" w:uiPriority="99"/>
    <w:lsdException w:name="annotation reference" w:uiPriority="99"/>
    <w:lsdException w:name="List Number" w:uiPriority="99" w:qFormat="1"/>
    <w:lsdException w:name="List Number 2" w:uiPriority="99" w:qFormat="1"/>
    <w:lsdException w:name="Title" w:uiPriority="10" w:qFormat="1"/>
    <w:lsdException w:name="Subtitle" w:uiPriority="11"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5456"/>
    <w:pPr>
      <w:spacing w:before="120"/>
    </w:pPr>
    <w:rPr>
      <w:rFonts w:asciiTheme="minorHAnsi" w:hAnsiTheme="minorHAnsi"/>
      <w:szCs w:val="18"/>
    </w:rPr>
  </w:style>
  <w:style w:type="paragraph" w:styleId="Heading1">
    <w:name w:val="heading 1"/>
    <w:basedOn w:val="Normal"/>
    <w:next w:val="bt"/>
    <w:link w:val="Heading1Char"/>
    <w:autoRedefine/>
    <w:qFormat/>
    <w:rsid w:val="00B86A8F"/>
    <w:pPr>
      <w:numPr>
        <w:numId w:val="15"/>
      </w:numPr>
      <w:spacing w:before="0" w:after="120"/>
      <w:outlineLvl w:val="0"/>
    </w:pPr>
    <w:rPr>
      <w:rFonts w:eastAsia="MS Gothi" w:cs="Arial"/>
      <w:b/>
      <w:color w:val="E8C454"/>
      <w:sz w:val="34"/>
      <w:szCs w:val="40"/>
      <w:lang w:val="en-US" w:eastAsia="en-US"/>
    </w:rPr>
  </w:style>
  <w:style w:type="paragraph" w:styleId="Heading2">
    <w:name w:val="heading 2"/>
    <w:next w:val="bt"/>
    <w:link w:val="Heading2Char"/>
    <w:autoRedefine/>
    <w:uiPriority w:val="9"/>
    <w:qFormat/>
    <w:rsid w:val="00655244"/>
    <w:pPr>
      <w:keepNext/>
      <w:keepLines/>
      <w:numPr>
        <w:ilvl w:val="1"/>
        <w:numId w:val="15"/>
      </w:numPr>
      <w:spacing w:before="200" w:after="120"/>
      <w:ind w:left="578" w:hanging="578"/>
      <w:outlineLvl w:val="1"/>
    </w:pPr>
    <w:rPr>
      <w:rFonts w:ascii="Calibri" w:eastAsia="MS Gothi" w:hAnsi="Calibri" w:cs="Trebuchet MS"/>
      <w:b/>
      <w:bCs/>
      <w:sz w:val="28"/>
      <w:szCs w:val="22"/>
      <w:lang w:val="en-US" w:eastAsia="en-US"/>
    </w:rPr>
  </w:style>
  <w:style w:type="paragraph" w:styleId="Heading3">
    <w:name w:val="heading 3"/>
    <w:link w:val="Heading3Char"/>
    <w:autoRedefine/>
    <w:uiPriority w:val="9"/>
    <w:qFormat/>
    <w:rsid w:val="00655244"/>
    <w:pPr>
      <w:numPr>
        <w:ilvl w:val="2"/>
        <w:numId w:val="15"/>
      </w:numPr>
      <w:tabs>
        <w:tab w:val="left" w:pos="907"/>
        <w:tab w:val="left" w:leader="dot" w:pos="4536"/>
        <w:tab w:val="left" w:pos="8931"/>
      </w:tabs>
      <w:spacing w:before="120"/>
      <w:ind w:left="851" w:hanging="851"/>
      <w:outlineLvl w:val="2"/>
    </w:pPr>
    <w:rPr>
      <w:rFonts w:asciiTheme="minorHAnsi" w:eastAsia="MS Gothi" w:hAnsiTheme="minorHAnsi" w:cs="Trebuchet MS"/>
      <w:b/>
      <w:iCs/>
      <w:sz w:val="26"/>
      <w:lang w:val="en-US" w:eastAsia="en-US"/>
    </w:rPr>
  </w:style>
  <w:style w:type="paragraph" w:styleId="Heading4">
    <w:name w:val="heading 4"/>
    <w:basedOn w:val="Normal"/>
    <w:next w:val="Normal"/>
    <w:link w:val="Heading4Char"/>
    <w:uiPriority w:val="9"/>
    <w:unhideWhenUsed/>
    <w:qFormat/>
    <w:rsid w:val="00877CB8"/>
    <w:pPr>
      <w:keepNext/>
      <w:spacing w:after="120"/>
      <w:outlineLvl w:val="3"/>
    </w:pPr>
    <w:rPr>
      <w:b/>
      <w:color w:val="000000" w:themeColor="text1"/>
      <w:sz w:val="22"/>
      <w:lang w:val="en-US" w:eastAsia="en-US"/>
    </w:rPr>
  </w:style>
  <w:style w:type="paragraph" w:styleId="Heading5">
    <w:name w:val="heading 5"/>
    <w:basedOn w:val="Normal"/>
    <w:next w:val="Normal"/>
    <w:link w:val="Heading5Char"/>
    <w:autoRedefine/>
    <w:uiPriority w:val="9"/>
    <w:unhideWhenUsed/>
    <w:qFormat/>
    <w:rsid w:val="00993977"/>
    <w:pPr>
      <w:tabs>
        <w:tab w:val="left" w:pos="8931"/>
      </w:tabs>
      <w:outlineLvl w:val="4"/>
    </w:pPr>
    <w:rPr>
      <w:b/>
      <w:i/>
      <w:color w:val="404040" w:themeColor="text1" w:themeTint="BF"/>
      <w:lang w:val="en-US" w:eastAsia="en-US"/>
    </w:rPr>
  </w:style>
  <w:style w:type="paragraph" w:styleId="Heading6">
    <w:name w:val="heading 6"/>
    <w:basedOn w:val="Normal"/>
    <w:next w:val="Normal"/>
    <w:link w:val="Heading6Char"/>
    <w:uiPriority w:val="9"/>
    <w:semiHidden/>
    <w:unhideWhenUsed/>
    <w:qFormat/>
    <w:rsid w:val="00F72DC5"/>
    <w:pPr>
      <w:numPr>
        <w:ilvl w:val="5"/>
        <w:numId w:val="15"/>
      </w:numPr>
      <w:spacing w:after="60" w:line="276" w:lineRule="auto"/>
      <w:outlineLvl w:val="5"/>
    </w:pPr>
    <w:rPr>
      <w:b/>
      <w:bCs/>
      <w:szCs w:val="22"/>
      <w:lang w:eastAsia="en-US"/>
    </w:rPr>
  </w:style>
  <w:style w:type="paragraph" w:styleId="Heading7">
    <w:name w:val="heading 7"/>
    <w:basedOn w:val="Normal"/>
    <w:next w:val="Normal"/>
    <w:link w:val="Heading7Char"/>
    <w:uiPriority w:val="9"/>
    <w:semiHidden/>
    <w:unhideWhenUsed/>
    <w:qFormat/>
    <w:rsid w:val="00F72DC5"/>
    <w:pPr>
      <w:numPr>
        <w:ilvl w:val="6"/>
        <w:numId w:val="15"/>
      </w:numPr>
      <w:spacing w:after="60" w:line="276" w:lineRule="auto"/>
      <w:outlineLvl w:val="6"/>
    </w:pPr>
    <w:rPr>
      <w:lang w:eastAsia="en-US"/>
    </w:rPr>
  </w:style>
  <w:style w:type="paragraph" w:styleId="Heading8">
    <w:name w:val="heading 8"/>
    <w:basedOn w:val="Normal"/>
    <w:next w:val="Normal"/>
    <w:link w:val="Heading8Char"/>
    <w:uiPriority w:val="9"/>
    <w:semiHidden/>
    <w:unhideWhenUsed/>
    <w:qFormat/>
    <w:rsid w:val="00F72DC5"/>
    <w:pPr>
      <w:numPr>
        <w:ilvl w:val="7"/>
        <w:numId w:val="15"/>
      </w:numPr>
      <w:spacing w:after="60" w:line="276" w:lineRule="auto"/>
      <w:outlineLvl w:val="7"/>
    </w:pPr>
    <w:rPr>
      <w:i/>
      <w:iCs/>
      <w:lang w:eastAsia="en-US"/>
    </w:rPr>
  </w:style>
  <w:style w:type="paragraph" w:styleId="Heading9">
    <w:name w:val="heading 9"/>
    <w:basedOn w:val="Normal"/>
    <w:next w:val="Normal"/>
    <w:link w:val="Heading9Char"/>
    <w:uiPriority w:val="9"/>
    <w:semiHidden/>
    <w:unhideWhenUsed/>
    <w:qFormat/>
    <w:rsid w:val="00CE37C2"/>
    <w:pPr>
      <w:numPr>
        <w:ilvl w:val="8"/>
        <w:numId w:val="15"/>
      </w:numPr>
      <w:spacing w:before="300" w:line="276" w:lineRule="auto"/>
      <w:outlineLvl w:val="8"/>
    </w:pPr>
    <w:rPr>
      <w:i/>
      <w:caps/>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317DD7"/>
    <w:pPr>
      <w:spacing w:after="120"/>
    </w:pPr>
    <w:rPr>
      <w:rFonts w:ascii="Arial" w:eastAsia="Arial Unicode MS" w:hAnsi="Arial"/>
      <w:color w:val="000000"/>
      <w:szCs w:val="20"/>
    </w:rPr>
  </w:style>
  <w:style w:type="paragraph" w:customStyle="1" w:styleId="RGPheading1">
    <w:name w:val="RGP heading 1"/>
    <w:basedOn w:val="Normal"/>
    <w:rsid w:val="008A6F5B"/>
    <w:pPr>
      <w:keepNext/>
      <w:numPr>
        <w:numId w:val="1"/>
      </w:numPr>
      <w:spacing w:after="60"/>
      <w:outlineLvl w:val="0"/>
    </w:pPr>
    <w:rPr>
      <w:rFonts w:ascii="Trebuchet MS" w:hAnsi="Trebuchet MS" w:cs="Arial"/>
      <w:b/>
      <w:bCs/>
      <w:kern w:val="32"/>
      <w:sz w:val="32"/>
      <w:szCs w:val="32"/>
    </w:rPr>
  </w:style>
  <w:style w:type="paragraph" w:customStyle="1" w:styleId="RGPHeading2">
    <w:name w:val="RGP Heading 2"/>
    <w:basedOn w:val="Heading2"/>
    <w:next w:val="RGPnormal"/>
    <w:rsid w:val="002D552D"/>
    <w:pPr>
      <w:numPr>
        <w:numId w:val="6"/>
      </w:numPr>
    </w:pPr>
    <w:rPr>
      <w:rFonts w:cs="Corbel"/>
      <w:bCs w:val="0"/>
      <w:iCs/>
      <w:color w:val="79A400"/>
    </w:rPr>
  </w:style>
  <w:style w:type="paragraph" w:customStyle="1" w:styleId="RGPnormal">
    <w:name w:val="RGP normal"/>
    <w:basedOn w:val="Normal"/>
    <w:link w:val="RGPnormalChar"/>
    <w:rsid w:val="00CA37F2"/>
    <w:pPr>
      <w:spacing w:after="120"/>
    </w:pPr>
    <w:rPr>
      <w:rFonts w:ascii="Trebuchet MS" w:hAnsi="Trebuchet MS"/>
      <w:szCs w:val="22"/>
    </w:rPr>
  </w:style>
  <w:style w:type="paragraph" w:customStyle="1" w:styleId="StyleTrebuchetMS11ptLeft063cmAfter6pt">
    <w:name w:val="Style Trebuchet MS 11 pt Left:  0.63 cm After:  6 pt"/>
    <w:basedOn w:val="Normal"/>
    <w:rsid w:val="004717F0"/>
    <w:pPr>
      <w:spacing w:after="240"/>
      <w:ind w:left="357"/>
    </w:pPr>
    <w:rPr>
      <w:rFonts w:ascii="Trebuchet MS" w:hAnsi="Trebuchet MS"/>
      <w:szCs w:val="20"/>
    </w:rPr>
  </w:style>
  <w:style w:type="paragraph" w:styleId="TOC1">
    <w:name w:val="toc 1"/>
    <w:basedOn w:val="Normal"/>
    <w:next w:val="Normal"/>
    <w:autoRedefine/>
    <w:uiPriority w:val="39"/>
    <w:qFormat/>
    <w:rsid w:val="000D766B"/>
    <w:pPr>
      <w:tabs>
        <w:tab w:val="left" w:pos="-3725"/>
        <w:tab w:val="left" w:pos="284"/>
        <w:tab w:val="right" w:leader="dot" w:pos="9781"/>
      </w:tabs>
      <w:spacing w:before="80" w:after="80"/>
    </w:pPr>
    <w:rPr>
      <w:rFonts w:eastAsia="MS P????"/>
      <w:noProof/>
      <w:sz w:val="22"/>
      <w:lang w:eastAsia="en-US"/>
    </w:rPr>
  </w:style>
  <w:style w:type="paragraph" w:styleId="TOC2">
    <w:name w:val="toc 2"/>
    <w:basedOn w:val="Normal"/>
    <w:next w:val="Normal"/>
    <w:autoRedefine/>
    <w:uiPriority w:val="39"/>
    <w:qFormat/>
    <w:rsid w:val="000D766B"/>
    <w:pPr>
      <w:tabs>
        <w:tab w:val="left" w:pos="851"/>
        <w:tab w:val="left" w:pos="993"/>
        <w:tab w:val="right" w:leader="dot" w:pos="9781"/>
      </w:tabs>
      <w:spacing w:before="80" w:after="80"/>
      <w:ind w:left="851" w:hanging="567"/>
    </w:pPr>
    <w:rPr>
      <w:rFonts w:cs="Arial"/>
      <w:bCs/>
      <w:noProof/>
    </w:rPr>
  </w:style>
  <w:style w:type="paragraph" w:customStyle="1" w:styleId="PM1">
    <w:name w:val="PM 1"/>
    <w:basedOn w:val="Normal"/>
    <w:rsid w:val="00935DC7"/>
    <w:pPr>
      <w:pageBreakBefore/>
      <w:framePr w:w="2037" w:wrap="auto" w:vAnchor="page" w:hAnchor="page" w:x="1801" w:y="1440"/>
      <w:widowControl w:val="0"/>
      <w:numPr>
        <w:numId w:val="2"/>
      </w:numPr>
      <w:autoSpaceDE w:val="0"/>
      <w:autoSpaceDN w:val="0"/>
      <w:adjustRightInd w:val="0"/>
    </w:pPr>
    <w:rPr>
      <w:rFonts w:ascii="Helvetica" w:hAnsi="Helvetica" w:cs="Helvetica"/>
      <w:b/>
      <w:bCs/>
      <w:color w:val="808000"/>
      <w:sz w:val="26"/>
      <w:szCs w:val="26"/>
    </w:rPr>
  </w:style>
  <w:style w:type="paragraph" w:customStyle="1" w:styleId="PM10">
    <w:name w:val="PM1"/>
    <w:basedOn w:val="Normal"/>
    <w:rsid w:val="00935DC7"/>
    <w:pPr>
      <w:numPr>
        <w:numId w:val="3"/>
      </w:numPr>
      <w:spacing w:after="300"/>
      <w:ind w:right="-431"/>
    </w:pPr>
    <w:rPr>
      <w:rFonts w:ascii="Helvetica" w:eastAsia="Times" w:hAnsi="Helvetica"/>
      <w:b/>
      <w:color w:val="808000"/>
      <w:sz w:val="26"/>
      <w:szCs w:val="26"/>
      <w:lang w:val="en-US" w:eastAsia="en-US"/>
    </w:rPr>
  </w:style>
  <w:style w:type="paragraph" w:customStyle="1" w:styleId="PMheading1">
    <w:name w:val="PM heading 1"/>
    <w:basedOn w:val="Normal"/>
    <w:rsid w:val="00EC2F0A"/>
    <w:pPr>
      <w:numPr>
        <w:numId w:val="6"/>
      </w:numPr>
      <w:tabs>
        <w:tab w:val="left" w:pos="567"/>
      </w:tabs>
      <w:spacing w:after="300"/>
      <w:ind w:right="-431"/>
    </w:pPr>
    <w:rPr>
      <w:rFonts w:ascii="Helvetica" w:eastAsia="Times" w:hAnsi="Helvetica"/>
      <w:b/>
      <w:color w:val="808000"/>
      <w:sz w:val="26"/>
      <w:szCs w:val="26"/>
      <w:lang w:val="en-US" w:eastAsia="en-US"/>
    </w:rPr>
  </w:style>
  <w:style w:type="paragraph" w:customStyle="1" w:styleId="PMheading2">
    <w:name w:val="PM heading 2"/>
    <w:basedOn w:val="Normal"/>
    <w:rsid w:val="00D37B3C"/>
    <w:pPr>
      <w:spacing w:after="120"/>
    </w:pPr>
    <w:rPr>
      <w:rFonts w:ascii="Helvetica" w:eastAsia="Times" w:hAnsi="Helvetica"/>
      <w:lang w:val="en-US" w:eastAsia="en-US"/>
    </w:rPr>
  </w:style>
  <w:style w:type="paragraph" w:customStyle="1" w:styleId="PMHeading20">
    <w:name w:val="PM Heading 2"/>
    <w:basedOn w:val="RGPHeading2"/>
    <w:rsid w:val="00EC2F0A"/>
    <w:pPr>
      <w:numPr>
        <w:ilvl w:val="0"/>
        <w:numId w:val="0"/>
      </w:numPr>
    </w:pPr>
    <w:rPr>
      <w:rFonts w:ascii="Helvetica Narrow" w:eastAsia="Times" w:hAnsi="Helvetica Narrow" w:cs="Arial"/>
      <w:sz w:val="24"/>
      <w:szCs w:val="20"/>
    </w:rPr>
  </w:style>
  <w:style w:type="paragraph" w:customStyle="1" w:styleId="heading2MRSS">
    <w:name w:val="heading 2 MRSS"/>
    <w:basedOn w:val="Normal"/>
    <w:rsid w:val="009F6843"/>
    <w:pPr>
      <w:spacing w:line="360" w:lineRule="auto"/>
    </w:pPr>
    <w:rPr>
      <w:rFonts w:ascii="Arial" w:hAnsi="Arial" w:cs="Arial"/>
      <w:b/>
      <w:szCs w:val="22"/>
      <w:lang w:eastAsia="en-US"/>
    </w:rPr>
  </w:style>
  <w:style w:type="paragraph" w:customStyle="1" w:styleId="BodyIndent2">
    <w:name w:val="Body Indent 2"/>
    <w:basedOn w:val="Normal"/>
    <w:rsid w:val="000F297C"/>
    <w:pPr>
      <w:spacing w:line="360" w:lineRule="auto"/>
      <w:ind w:left="2552"/>
    </w:pPr>
    <w:rPr>
      <w:rFonts w:ascii="Arial" w:hAnsi="Arial" w:cs="Arial"/>
      <w:szCs w:val="22"/>
      <w:lang w:eastAsia="en-US"/>
    </w:rPr>
  </w:style>
  <w:style w:type="paragraph" w:customStyle="1" w:styleId="StyleHeading211pt">
    <w:name w:val="Style Heading 2 + 11 pt"/>
    <w:basedOn w:val="Heading2"/>
    <w:rsid w:val="009A3B09"/>
    <w:pPr>
      <w:numPr>
        <w:ilvl w:val="0"/>
        <w:numId w:val="0"/>
      </w:numPr>
    </w:pPr>
    <w:rPr>
      <w:i/>
    </w:rPr>
  </w:style>
  <w:style w:type="paragraph" w:customStyle="1" w:styleId="TableHeading-Left">
    <w:name w:val="Table Heading - Left"/>
    <w:basedOn w:val="Normal"/>
    <w:rsid w:val="00A61727"/>
    <w:pPr>
      <w:spacing w:before="60" w:after="60"/>
    </w:pPr>
    <w:rPr>
      <w:rFonts w:ascii="Trebuchet MS" w:eastAsia="MS P????" w:hAnsi="Trebuchet MS"/>
      <w:b/>
      <w:lang w:val="en-US" w:eastAsia="en-US"/>
    </w:rPr>
  </w:style>
  <w:style w:type="paragraph" w:customStyle="1" w:styleId="BodyBullet">
    <w:name w:val="Body Bullet"/>
    <w:rsid w:val="00DE7268"/>
    <w:pPr>
      <w:numPr>
        <w:numId w:val="4"/>
      </w:numPr>
      <w:spacing w:after="120"/>
    </w:pPr>
    <w:rPr>
      <w:rFonts w:ascii="Arial" w:eastAsia="Arial Unicode MS" w:hAnsi="Arial"/>
      <w:color w:val="000000"/>
      <w:sz w:val="22"/>
      <w:szCs w:val="24"/>
    </w:rPr>
  </w:style>
  <w:style w:type="numbering" w:customStyle="1" w:styleId="StyleBulleted">
    <w:name w:val="Style Bulleted"/>
    <w:basedOn w:val="NoList"/>
    <w:rsid w:val="00736CA9"/>
    <w:pPr>
      <w:numPr>
        <w:numId w:val="5"/>
      </w:numPr>
    </w:pPr>
  </w:style>
  <w:style w:type="paragraph" w:customStyle="1" w:styleId="StyleHeading2After6pt">
    <w:name w:val="Style Heading 2 + After:  6 pt"/>
    <w:basedOn w:val="Heading2"/>
    <w:rsid w:val="008D0A01"/>
    <w:pPr>
      <w:numPr>
        <w:numId w:val="7"/>
      </w:numPr>
      <w:spacing w:line="288" w:lineRule="auto"/>
    </w:pPr>
    <w:rPr>
      <w:rFonts w:eastAsia="Times New Roman" w:cs="Times New Roman"/>
      <w:bCs w:val="0"/>
      <w:szCs w:val="20"/>
    </w:rPr>
  </w:style>
  <w:style w:type="paragraph" w:customStyle="1" w:styleId="StyleHeading2Before12ptAfter3ptLinespacingMult">
    <w:name w:val="Style Heading 2 + Before:  12 pt After:  3 pt Line spacing:  Mult..."/>
    <w:basedOn w:val="Heading2"/>
    <w:rsid w:val="001622FC"/>
    <w:pPr>
      <w:numPr>
        <w:numId w:val="8"/>
      </w:numPr>
      <w:spacing w:before="240" w:after="60" w:line="276" w:lineRule="auto"/>
    </w:pPr>
    <w:rPr>
      <w:rFonts w:eastAsia="Times New Roman" w:cs="Times New Roman"/>
      <w:bCs w:val="0"/>
      <w:szCs w:val="20"/>
    </w:rPr>
  </w:style>
  <w:style w:type="paragraph" w:customStyle="1" w:styleId="StyleHeading2LatinArialBefore12ptAfter3ptLine">
    <w:name w:val="Style Heading 2 + (Latin) Arial Before:  12 pt After:  3 pt Line..."/>
    <w:basedOn w:val="Heading2"/>
    <w:rsid w:val="00436236"/>
    <w:pPr>
      <w:numPr>
        <w:numId w:val="9"/>
      </w:numPr>
      <w:spacing w:before="240" w:after="60" w:line="276" w:lineRule="auto"/>
    </w:pPr>
    <w:rPr>
      <w:rFonts w:eastAsia="Times New Roman" w:cs="Times New Roman"/>
      <w:szCs w:val="20"/>
    </w:rPr>
  </w:style>
  <w:style w:type="paragraph" w:styleId="Header">
    <w:name w:val="header"/>
    <w:basedOn w:val="Normal"/>
    <w:link w:val="HeaderChar"/>
    <w:uiPriority w:val="99"/>
    <w:rsid w:val="002963AE"/>
    <w:pPr>
      <w:tabs>
        <w:tab w:val="center" w:pos="4513"/>
        <w:tab w:val="right" w:pos="9026"/>
      </w:tabs>
    </w:pPr>
  </w:style>
  <w:style w:type="character" w:customStyle="1" w:styleId="HeaderChar">
    <w:name w:val="Header Char"/>
    <w:basedOn w:val="DefaultParagraphFont"/>
    <w:link w:val="Header"/>
    <w:uiPriority w:val="99"/>
    <w:rsid w:val="002963AE"/>
    <w:rPr>
      <w:rFonts w:asciiTheme="minorHAnsi" w:hAnsiTheme="minorHAnsi"/>
      <w:szCs w:val="18"/>
    </w:rPr>
  </w:style>
  <w:style w:type="paragraph" w:styleId="Footer">
    <w:name w:val="footer"/>
    <w:basedOn w:val="Normal"/>
    <w:link w:val="FooterChar"/>
    <w:uiPriority w:val="99"/>
    <w:qFormat/>
    <w:rsid w:val="001309E4"/>
    <w:pPr>
      <w:tabs>
        <w:tab w:val="center" w:pos="4513"/>
        <w:tab w:val="right" w:pos="9026"/>
      </w:tabs>
      <w:spacing w:before="0"/>
      <w:jc w:val="center"/>
    </w:pPr>
  </w:style>
  <w:style w:type="character" w:customStyle="1" w:styleId="FooterChar">
    <w:name w:val="Footer Char"/>
    <w:basedOn w:val="DefaultParagraphFont"/>
    <w:link w:val="Footer"/>
    <w:uiPriority w:val="99"/>
    <w:rsid w:val="001309E4"/>
    <w:rPr>
      <w:rFonts w:asciiTheme="minorHAnsi" w:hAnsiTheme="minorHAnsi"/>
      <w:szCs w:val="18"/>
    </w:rPr>
  </w:style>
  <w:style w:type="character" w:styleId="CommentReference">
    <w:name w:val="annotation reference"/>
    <w:basedOn w:val="DefaultParagraphFont"/>
    <w:uiPriority w:val="99"/>
    <w:rsid w:val="0051166E"/>
    <w:rPr>
      <w:sz w:val="16"/>
      <w:szCs w:val="16"/>
    </w:rPr>
  </w:style>
  <w:style w:type="paragraph" w:styleId="CommentText">
    <w:name w:val="annotation text"/>
    <w:basedOn w:val="Normal"/>
    <w:link w:val="CommentTextChar"/>
    <w:uiPriority w:val="99"/>
    <w:rsid w:val="0051166E"/>
    <w:rPr>
      <w:szCs w:val="20"/>
    </w:rPr>
  </w:style>
  <w:style w:type="character" w:customStyle="1" w:styleId="CommentTextChar">
    <w:name w:val="Comment Text Char"/>
    <w:basedOn w:val="DefaultParagraphFont"/>
    <w:link w:val="CommentText"/>
    <w:uiPriority w:val="99"/>
    <w:rsid w:val="0051166E"/>
  </w:style>
  <w:style w:type="paragraph" w:styleId="CommentSubject">
    <w:name w:val="annotation subject"/>
    <w:basedOn w:val="CommentText"/>
    <w:next w:val="CommentText"/>
    <w:link w:val="CommentSubjectChar"/>
    <w:uiPriority w:val="99"/>
    <w:rsid w:val="0051166E"/>
    <w:rPr>
      <w:b/>
      <w:bCs/>
    </w:rPr>
  </w:style>
  <w:style w:type="character" w:customStyle="1" w:styleId="CommentSubjectChar">
    <w:name w:val="Comment Subject Char"/>
    <w:basedOn w:val="CommentTextChar"/>
    <w:link w:val="CommentSubject"/>
    <w:uiPriority w:val="99"/>
    <w:rsid w:val="0051166E"/>
    <w:rPr>
      <w:b/>
      <w:bCs/>
    </w:rPr>
  </w:style>
  <w:style w:type="paragraph" w:styleId="BalloonText">
    <w:name w:val="Balloon Text"/>
    <w:basedOn w:val="Normal"/>
    <w:link w:val="BalloonTextChar"/>
    <w:uiPriority w:val="99"/>
    <w:rsid w:val="0051166E"/>
    <w:rPr>
      <w:rFonts w:ascii="Tahoma" w:hAnsi="Tahoma" w:cs="Tahoma"/>
      <w:sz w:val="16"/>
      <w:szCs w:val="16"/>
    </w:rPr>
  </w:style>
  <w:style w:type="character" w:customStyle="1" w:styleId="BalloonTextChar">
    <w:name w:val="Balloon Text Char"/>
    <w:basedOn w:val="DefaultParagraphFont"/>
    <w:link w:val="BalloonText"/>
    <w:uiPriority w:val="99"/>
    <w:rsid w:val="0051166E"/>
    <w:rPr>
      <w:rFonts w:ascii="Tahoma" w:hAnsi="Tahoma" w:cs="Tahoma"/>
      <w:sz w:val="16"/>
      <w:szCs w:val="16"/>
    </w:rPr>
  </w:style>
  <w:style w:type="character" w:customStyle="1" w:styleId="RGPnormalChar">
    <w:name w:val="RGP normal Char"/>
    <w:basedOn w:val="DefaultParagraphFont"/>
    <w:link w:val="RGPnormal"/>
    <w:locked/>
    <w:rsid w:val="00E82C02"/>
    <w:rPr>
      <w:rFonts w:ascii="Trebuchet MS" w:hAnsi="Trebuchet MS"/>
      <w:sz w:val="22"/>
      <w:szCs w:val="22"/>
    </w:rPr>
  </w:style>
  <w:style w:type="character" w:customStyle="1" w:styleId="Heading4Char">
    <w:name w:val="Heading 4 Char"/>
    <w:basedOn w:val="DefaultParagraphFont"/>
    <w:link w:val="Heading4"/>
    <w:uiPriority w:val="9"/>
    <w:rsid w:val="00877CB8"/>
    <w:rPr>
      <w:rFonts w:asciiTheme="minorHAnsi" w:hAnsiTheme="minorHAnsi"/>
      <w:b/>
      <w:color w:val="000000" w:themeColor="text1"/>
      <w:sz w:val="22"/>
      <w:szCs w:val="18"/>
      <w:lang w:val="en-US" w:eastAsia="en-US"/>
    </w:rPr>
  </w:style>
  <w:style w:type="paragraph" w:customStyle="1" w:styleId="Default">
    <w:name w:val="Default"/>
    <w:rsid w:val="000A66A7"/>
    <w:pPr>
      <w:autoSpaceDE w:val="0"/>
      <w:autoSpaceDN w:val="0"/>
      <w:adjustRightInd w:val="0"/>
    </w:pPr>
    <w:rPr>
      <w:rFonts w:ascii="Calibri" w:hAnsi="Calibri" w:cs="Calibri"/>
      <w:color w:val="000000"/>
      <w:sz w:val="24"/>
      <w:szCs w:val="24"/>
    </w:rPr>
  </w:style>
  <w:style w:type="table" w:styleId="TableGrid">
    <w:name w:val="Table Grid"/>
    <w:basedOn w:val="TableNormal"/>
    <w:rsid w:val="00784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124CB"/>
  </w:style>
  <w:style w:type="table" w:styleId="MediumShading1-Accent6">
    <w:name w:val="Medium Shading 1 Accent 6"/>
    <w:basedOn w:val="TableNormal"/>
    <w:uiPriority w:val="63"/>
    <w:rsid w:val="009F581F"/>
    <w:rPr>
      <w:rFonts w:ascii="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993977"/>
    <w:rPr>
      <w:rFonts w:asciiTheme="minorHAnsi" w:hAnsiTheme="minorHAnsi"/>
      <w:b/>
      <w:i/>
      <w:color w:val="404040" w:themeColor="text1" w:themeTint="BF"/>
      <w:szCs w:val="18"/>
      <w:lang w:val="en-US" w:eastAsia="en-US"/>
    </w:rPr>
  </w:style>
  <w:style w:type="character" w:customStyle="1" w:styleId="Heading6Char">
    <w:name w:val="Heading 6 Char"/>
    <w:basedOn w:val="DefaultParagraphFont"/>
    <w:link w:val="Heading6"/>
    <w:uiPriority w:val="9"/>
    <w:semiHidden/>
    <w:rsid w:val="00F72DC5"/>
    <w:rPr>
      <w:rFonts w:asciiTheme="minorHAnsi" w:hAnsiTheme="minorHAnsi"/>
      <w:b/>
      <w:bCs/>
      <w:szCs w:val="22"/>
      <w:lang w:eastAsia="en-US"/>
    </w:rPr>
  </w:style>
  <w:style w:type="character" w:customStyle="1" w:styleId="Heading7Char">
    <w:name w:val="Heading 7 Char"/>
    <w:basedOn w:val="DefaultParagraphFont"/>
    <w:link w:val="Heading7"/>
    <w:uiPriority w:val="9"/>
    <w:semiHidden/>
    <w:rsid w:val="00F72DC5"/>
    <w:rPr>
      <w:rFonts w:asciiTheme="minorHAnsi" w:hAnsiTheme="minorHAnsi"/>
      <w:szCs w:val="18"/>
      <w:lang w:eastAsia="en-US"/>
    </w:rPr>
  </w:style>
  <w:style w:type="character" w:customStyle="1" w:styleId="Heading8Char">
    <w:name w:val="Heading 8 Char"/>
    <w:basedOn w:val="DefaultParagraphFont"/>
    <w:link w:val="Heading8"/>
    <w:uiPriority w:val="9"/>
    <w:semiHidden/>
    <w:rsid w:val="00F72DC5"/>
    <w:rPr>
      <w:rFonts w:asciiTheme="minorHAnsi" w:hAnsiTheme="minorHAnsi"/>
      <w:i/>
      <w:iCs/>
      <w:szCs w:val="18"/>
      <w:lang w:eastAsia="en-US"/>
    </w:rPr>
  </w:style>
  <w:style w:type="character" w:customStyle="1" w:styleId="Heading3Char">
    <w:name w:val="Heading 3 Char"/>
    <w:basedOn w:val="DefaultParagraphFont"/>
    <w:link w:val="Heading3"/>
    <w:uiPriority w:val="9"/>
    <w:rsid w:val="00655244"/>
    <w:rPr>
      <w:rFonts w:asciiTheme="minorHAnsi" w:eastAsia="MS Gothi" w:hAnsiTheme="minorHAnsi" w:cs="Trebuchet MS"/>
      <w:b/>
      <w:iCs/>
      <w:sz w:val="26"/>
      <w:lang w:val="en-US" w:eastAsia="en-US"/>
    </w:rPr>
  </w:style>
  <w:style w:type="table" w:styleId="MediumGrid1-Accent6">
    <w:name w:val="Medium Grid 1 Accent 6"/>
    <w:basedOn w:val="TableNormal"/>
    <w:uiPriority w:val="67"/>
    <w:rsid w:val="00F72DC5"/>
    <w:rPr>
      <w:rFonts w:ascii="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aliases w:val="Bullet List"/>
    <w:basedOn w:val="Normal"/>
    <w:link w:val="ListParagraphChar"/>
    <w:uiPriority w:val="99"/>
    <w:qFormat/>
    <w:rsid w:val="004E348F"/>
    <w:pPr>
      <w:numPr>
        <w:numId w:val="18"/>
      </w:numPr>
      <w:tabs>
        <w:tab w:val="left" w:pos="851"/>
      </w:tabs>
      <w:spacing w:after="200" w:line="276" w:lineRule="auto"/>
      <w:contextualSpacing/>
    </w:pPr>
    <w:rPr>
      <w:szCs w:val="16"/>
      <w:lang w:val="en-US" w:eastAsia="en-US"/>
    </w:rPr>
  </w:style>
  <w:style w:type="table" w:customStyle="1" w:styleId="MediumGrid1-Accent61">
    <w:name w:val="Medium Grid 1 - Accent 61"/>
    <w:basedOn w:val="TableNormal"/>
    <w:next w:val="MediumGrid1-Accent6"/>
    <w:uiPriority w:val="67"/>
    <w:rsid w:val="00B61DBB"/>
    <w:rPr>
      <w:rFonts w:ascii="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character" w:customStyle="1" w:styleId="BodyTextChar">
    <w:name w:val="Body Text Char"/>
    <w:basedOn w:val="DefaultParagraphFont"/>
    <w:link w:val="BodyText"/>
    <w:locked/>
    <w:rsid w:val="008E4514"/>
    <w:rPr>
      <w:rFonts w:ascii="Trebuchet MS" w:eastAsia="MS P????" w:hAnsi="Trebuchet MS" w:cs="Trebuchet MS"/>
      <w:sz w:val="22"/>
      <w:szCs w:val="22"/>
      <w:lang w:val="en-US" w:eastAsia="en-US"/>
    </w:rPr>
  </w:style>
  <w:style w:type="paragraph" w:styleId="BodyText">
    <w:name w:val="Body Text"/>
    <w:basedOn w:val="Normal"/>
    <w:link w:val="BodyTextChar"/>
    <w:rsid w:val="008E4514"/>
    <w:pPr>
      <w:spacing w:after="200" w:line="288" w:lineRule="auto"/>
      <w:jc w:val="both"/>
    </w:pPr>
    <w:rPr>
      <w:rFonts w:ascii="Trebuchet MS" w:eastAsia="MS P????" w:hAnsi="Trebuchet MS" w:cs="Trebuchet MS"/>
      <w:szCs w:val="22"/>
      <w:lang w:val="en-US" w:eastAsia="en-US"/>
    </w:rPr>
  </w:style>
  <w:style w:type="character" w:customStyle="1" w:styleId="BodyTextChar1">
    <w:name w:val="Body Text Char1"/>
    <w:basedOn w:val="DefaultParagraphFont"/>
    <w:rsid w:val="008E4514"/>
    <w:rPr>
      <w:sz w:val="24"/>
      <w:szCs w:val="24"/>
    </w:rPr>
  </w:style>
  <w:style w:type="paragraph" w:customStyle="1" w:styleId="Parah0number">
    <w:name w:val="Parah 0 number"/>
    <w:basedOn w:val="Normal"/>
    <w:rsid w:val="008E4514"/>
    <w:pPr>
      <w:numPr>
        <w:numId w:val="11"/>
      </w:numPr>
      <w:spacing w:after="60"/>
    </w:pPr>
    <w:rPr>
      <w:rFonts w:ascii="Arial" w:eastAsia="Calibri" w:hAnsi="Arial"/>
      <w:szCs w:val="20"/>
    </w:rPr>
  </w:style>
  <w:style w:type="paragraph" w:customStyle="1" w:styleId="Bullet1">
    <w:name w:val="Bullet 1"/>
    <w:basedOn w:val="Normal"/>
    <w:rsid w:val="008E4514"/>
    <w:pPr>
      <w:numPr>
        <w:numId w:val="12"/>
      </w:numPr>
      <w:spacing w:after="60"/>
      <w:jc w:val="both"/>
    </w:pPr>
    <w:rPr>
      <w:rFonts w:eastAsia="Calibri" w:cs="Arial"/>
      <w:szCs w:val="20"/>
    </w:rPr>
  </w:style>
  <w:style w:type="paragraph" w:customStyle="1" w:styleId="Bullet2">
    <w:name w:val="Bullet 2"/>
    <w:basedOn w:val="Normal"/>
    <w:rsid w:val="008E4514"/>
    <w:pPr>
      <w:numPr>
        <w:ilvl w:val="1"/>
        <w:numId w:val="12"/>
      </w:numPr>
      <w:spacing w:after="60"/>
      <w:jc w:val="both"/>
    </w:pPr>
    <w:rPr>
      <w:rFonts w:eastAsia="Calibri"/>
      <w:szCs w:val="20"/>
      <w:lang w:eastAsia="en-US"/>
    </w:rPr>
  </w:style>
  <w:style w:type="paragraph" w:customStyle="1" w:styleId="Bullet3">
    <w:name w:val="Bullet 3"/>
    <w:basedOn w:val="Normal"/>
    <w:rsid w:val="008E4514"/>
    <w:pPr>
      <w:numPr>
        <w:ilvl w:val="2"/>
        <w:numId w:val="12"/>
      </w:numPr>
      <w:spacing w:after="60"/>
      <w:jc w:val="both"/>
    </w:pPr>
    <w:rPr>
      <w:rFonts w:eastAsia="Calibri"/>
      <w:szCs w:val="20"/>
      <w:lang w:eastAsia="en-US"/>
    </w:rPr>
  </w:style>
  <w:style w:type="paragraph" w:styleId="FootnoteText">
    <w:name w:val="footnote text"/>
    <w:aliases w:val="fn,Footnote Text Char2 Char1,Footnote Text Char1 Char1 Char,Footnote Text Char Char5 Char Char,Footnote Text Char2 Char1 Char Char Char,Footnote Text Char Char5 Char Char Char Char,Footnote Text Char2,ALTS FOOTNOTE,fn Ch"/>
    <w:basedOn w:val="Normal"/>
    <w:link w:val="FootnoteTextChar"/>
    <w:uiPriority w:val="99"/>
    <w:qFormat/>
    <w:rsid w:val="00E11C41"/>
    <w:pPr>
      <w:spacing w:before="0"/>
    </w:pPr>
    <w:rPr>
      <w:rFonts w:cs="Arial"/>
      <w:sz w:val="16"/>
      <w:szCs w:val="16"/>
      <w:lang w:val="en-US" w:eastAsia="en-US"/>
    </w:rPr>
  </w:style>
  <w:style w:type="character" w:customStyle="1" w:styleId="FootnoteTextChar">
    <w:name w:val="Footnote Text Char"/>
    <w:aliases w:val="fn Char,Footnote Text Char2 Char1 Char,Footnote Text Char1 Char1 Char Char,Footnote Text Char Char5 Char Char Char,Footnote Text Char2 Char1 Char Char Char Char,Footnote Text Char Char5 Char Char Char Char Char,ALTS FOOTNOTE Char"/>
    <w:basedOn w:val="DefaultParagraphFont"/>
    <w:link w:val="FootnoteText"/>
    <w:uiPriority w:val="99"/>
    <w:rsid w:val="00E11C41"/>
    <w:rPr>
      <w:rFonts w:asciiTheme="minorHAnsi" w:hAnsiTheme="minorHAnsi" w:cs="Arial"/>
      <w:sz w:val="16"/>
      <w:szCs w:val="16"/>
      <w:lang w:val="en-US" w:eastAsia="en-US"/>
    </w:rPr>
  </w:style>
  <w:style w:type="character" w:styleId="FootnoteReference">
    <w:name w:val="footnote reference"/>
    <w:aliases w:val="o,(NECG) Footnote Reference"/>
    <w:basedOn w:val="DefaultParagraphFont"/>
    <w:uiPriority w:val="99"/>
    <w:rsid w:val="003F3303"/>
    <w:rPr>
      <w:vertAlign w:val="superscript"/>
    </w:rPr>
  </w:style>
  <w:style w:type="paragraph" w:customStyle="1" w:styleId="bt">
    <w:name w:val="bt"/>
    <w:link w:val="btChar"/>
    <w:qFormat/>
    <w:rsid w:val="00A31A60"/>
    <w:pPr>
      <w:spacing w:before="180" w:after="240" w:line="270" w:lineRule="exact"/>
    </w:pPr>
    <w:rPr>
      <w:rFonts w:ascii="Calibri" w:hAnsi="Calibri"/>
      <w:szCs w:val="24"/>
    </w:rPr>
  </w:style>
  <w:style w:type="paragraph" w:customStyle="1" w:styleId="bodybullets">
    <w:name w:val="^body bullets"/>
    <w:basedOn w:val="Normal"/>
    <w:qFormat/>
    <w:rsid w:val="00A31A60"/>
    <w:pPr>
      <w:numPr>
        <w:numId w:val="13"/>
      </w:numPr>
      <w:spacing w:after="120"/>
    </w:pPr>
    <w:rPr>
      <w:rFonts w:eastAsia="MS Mincho" w:cs="Arial"/>
      <w:color w:val="000000"/>
      <w:lang w:eastAsia="en-US"/>
    </w:rPr>
  </w:style>
  <w:style w:type="paragraph" w:customStyle="1" w:styleId="Heading20">
    <w:name w:val="^Heading 2"/>
    <w:basedOn w:val="Heading2"/>
    <w:link w:val="Heading2Char0"/>
    <w:qFormat/>
    <w:rsid w:val="00D61010"/>
    <w:pPr>
      <w:numPr>
        <w:ilvl w:val="0"/>
        <w:numId w:val="0"/>
      </w:numPr>
    </w:pPr>
    <w:rPr>
      <w:rFonts w:ascii="DINOT-Medium" w:eastAsia="MS Gothic" w:hAnsi="DINOT-Medium" w:cs="Times New Roman"/>
      <w:color w:val="E7CF66"/>
      <w:sz w:val="26"/>
      <w:szCs w:val="26"/>
      <w:lang w:val="en-AU"/>
    </w:rPr>
  </w:style>
  <w:style w:type="character" w:customStyle="1" w:styleId="btChar">
    <w:name w:val="bt Char"/>
    <w:basedOn w:val="DefaultParagraphFont"/>
    <w:link w:val="bt"/>
    <w:rsid w:val="00A31A60"/>
    <w:rPr>
      <w:rFonts w:ascii="Calibri" w:hAnsi="Calibri"/>
      <w:szCs w:val="24"/>
      <w:lang w:val="en-AU" w:eastAsia="en-AU" w:bidi="ar-SA"/>
    </w:rPr>
  </w:style>
  <w:style w:type="character" w:customStyle="1" w:styleId="A10">
    <w:name w:val="A10"/>
    <w:uiPriority w:val="99"/>
    <w:rsid w:val="0006461C"/>
    <w:rPr>
      <w:rFonts w:ascii="DINOT-Light" w:hAnsi="DINOT-Light" w:cs="DINOT-Light"/>
      <w:color w:val="221E1F"/>
      <w:sz w:val="19"/>
      <w:szCs w:val="19"/>
    </w:rPr>
  </w:style>
  <w:style w:type="paragraph" w:customStyle="1" w:styleId="Pa18">
    <w:name w:val="Pa18"/>
    <w:basedOn w:val="Default"/>
    <w:next w:val="Default"/>
    <w:uiPriority w:val="99"/>
    <w:rsid w:val="0006461C"/>
    <w:pPr>
      <w:spacing w:line="201" w:lineRule="atLeast"/>
    </w:pPr>
    <w:rPr>
      <w:rFonts w:ascii="DINOT-Bold" w:eastAsia="Calibri" w:hAnsi="DINOT-Bold" w:cs="Times New Roman"/>
      <w:color w:val="auto"/>
      <w:lang w:eastAsia="en-US"/>
    </w:rPr>
  </w:style>
  <w:style w:type="character" w:customStyle="1" w:styleId="Heading9Char">
    <w:name w:val="Heading 9 Char"/>
    <w:basedOn w:val="DefaultParagraphFont"/>
    <w:link w:val="Heading9"/>
    <w:uiPriority w:val="9"/>
    <w:semiHidden/>
    <w:rsid w:val="00CE37C2"/>
    <w:rPr>
      <w:rFonts w:asciiTheme="minorHAnsi" w:hAnsiTheme="minorHAnsi"/>
      <w:i/>
      <w:caps/>
      <w:spacing w:val="10"/>
      <w:szCs w:val="18"/>
    </w:rPr>
  </w:style>
  <w:style w:type="character" w:customStyle="1" w:styleId="Heading1Char">
    <w:name w:val="Heading 1 Char"/>
    <w:basedOn w:val="DefaultParagraphFont"/>
    <w:link w:val="Heading1"/>
    <w:rsid w:val="00B86A8F"/>
    <w:rPr>
      <w:rFonts w:asciiTheme="minorHAnsi" w:eastAsia="MS Gothi" w:hAnsiTheme="minorHAnsi" w:cs="Arial"/>
      <w:b/>
      <w:color w:val="E8C454"/>
      <w:sz w:val="34"/>
      <w:szCs w:val="40"/>
      <w:lang w:val="en-US" w:eastAsia="en-US"/>
    </w:rPr>
  </w:style>
  <w:style w:type="character" w:customStyle="1" w:styleId="Heading2Char">
    <w:name w:val="Heading 2 Char"/>
    <w:basedOn w:val="DefaultParagraphFont"/>
    <w:link w:val="Heading2"/>
    <w:uiPriority w:val="9"/>
    <w:rsid w:val="00655244"/>
    <w:rPr>
      <w:rFonts w:ascii="Calibri" w:eastAsia="MS Gothi" w:hAnsi="Calibri" w:cs="Trebuchet MS"/>
      <w:b/>
      <w:bCs/>
      <w:sz w:val="28"/>
      <w:szCs w:val="22"/>
      <w:lang w:val="en-US" w:eastAsia="en-US"/>
    </w:rPr>
  </w:style>
  <w:style w:type="paragraph" w:styleId="Caption">
    <w:name w:val="caption"/>
    <w:basedOn w:val="bt"/>
    <w:next w:val="bt"/>
    <w:unhideWhenUsed/>
    <w:qFormat/>
    <w:rsid w:val="002963AE"/>
    <w:rPr>
      <w:rFonts w:asciiTheme="minorHAnsi" w:hAnsiTheme="minorHAnsi" w:cs="Calibri"/>
      <w:i/>
    </w:rPr>
  </w:style>
  <w:style w:type="paragraph" w:styleId="Title">
    <w:name w:val="Title"/>
    <w:basedOn w:val="Normal"/>
    <w:next w:val="Normal"/>
    <w:link w:val="TitleChar"/>
    <w:uiPriority w:val="10"/>
    <w:qFormat/>
    <w:rsid w:val="00CE37C2"/>
    <w:pPr>
      <w:pBdr>
        <w:top w:val="single" w:sz="8" w:space="1" w:color="0F243E"/>
        <w:left w:val="single" w:sz="8" w:space="4" w:color="0F243E"/>
        <w:bottom w:val="single" w:sz="8" w:space="1" w:color="0F243E"/>
        <w:right w:val="single" w:sz="8" w:space="4" w:color="0F243E"/>
      </w:pBdr>
      <w:jc w:val="center"/>
    </w:pPr>
    <w:rPr>
      <w:rFonts w:ascii="Franklin Gothic Demi" w:hAnsi="Franklin Gothic Demi"/>
      <w:b/>
      <w:caps/>
      <w:color w:val="0F243E"/>
      <w:spacing w:val="10"/>
      <w:kern w:val="28"/>
      <w:sz w:val="36"/>
      <w:szCs w:val="52"/>
      <w:lang w:val="en-US" w:eastAsia="en-US" w:bidi="en-US"/>
    </w:rPr>
  </w:style>
  <w:style w:type="character" w:customStyle="1" w:styleId="TitleChar">
    <w:name w:val="Title Char"/>
    <w:basedOn w:val="DefaultParagraphFont"/>
    <w:link w:val="Title"/>
    <w:uiPriority w:val="10"/>
    <w:rsid w:val="00CE37C2"/>
    <w:rPr>
      <w:rFonts w:ascii="Franklin Gothic Demi" w:hAnsi="Franklin Gothic Demi"/>
      <w:b/>
      <w:caps/>
      <w:color w:val="0F243E"/>
      <w:spacing w:val="10"/>
      <w:kern w:val="28"/>
      <w:sz w:val="36"/>
      <w:szCs w:val="52"/>
      <w:lang w:val="en-US" w:eastAsia="en-US" w:bidi="en-US"/>
    </w:rPr>
  </w:style>
  <w:style w:type="paragraph" w:styleId="Subtitle">
    <w:name w:val="Subtitle"/>
    <w:basedOn w:val="Normal"/>
    <w:next w:val="Normal"/>
    <w:link w:val="SubtitleChar"/>
    <w:uiPriority w:val="11"/>
    <w:qFormat/>
    <w:rsid w:val="00CE37C2"/>
    <w:pPr>
      <w:spacing w:before="200" w:after="1000"/>
    </w:pPr>
    <w:rPr>
      <w:caps/>
      <w:color w:val="595959"/>
      <w:spacing w:val="10"/>
    </w:rPr>
  </w:style>
  <w:style w:type="character" w:customStyle="1" w:styleId="SubtitleChar">
    <w:name w:val="Subtitle Char"/>
    <w:basedOn w:val="DefaultParagraphFont"/>
    <w:link w:val="Subtitle"/>
    <w:uiPriority w:val="11"/>
    <w:rsid w:val="00CE37C2"/>
    <w:rPr>
      <w:rFonts w:ascii="Calibri" w:hAnsi="Calibri"/>
      <w:caps/>
      <w:color w:val="595959"/>
      <w:spacing w:val="10"/>
      <w:sz w:val="24"/>
      <w:szCs w:val="24"/>
    </w:rPr>
  </w:style>
  <w:style w:type="character" w:styleId="Strong">
    <w:name w:val="Strong"/>
    <w:uiPriority w:val="22"/>
    <w:qFormat/>
    <w:rsid w:val="00E3673C"/>
    <w:rPr>
      <w:rFonts w:ascii="Verdana" w:hAnsi="Verdana"/>
      <w:b/>
      <w:sz w:val="18"/>
    </w:rPr>
  </w:style>
  <w:style w:type="character" w:styleId="Emphasis">
    <w:name w:val="Emphasis"/>
    <w:uiPriority w:val="20"/>
    <w:qFormat/>
    <w:rsid w:val="006E4E4E"/>
    <w:rPr>
      <w:rFonts w:ascii="Verdana" w:hAnsi="Verdana"/>
      <w:i/>
      <w:color w:val="auto"/>
      <w:spacing w:val="5"/>
      <w:sz w:val="18"/>
    </w:rPr>
  </w:style>
  <w:style w:type="paragraph" w:styleId="NoSpacing">
    <w:name w:val="No Spacing"/>
    <w:basedOn w:val="Normal"/>
    <w:link w:val="NoSpacingChar"/>
    <w:uiPriority w:val="1"/>
    <w:qFormat/>
    <w:rsid w:val="00CE37C2"/>
    <w:rPr>
      <w:szCs w:val="20"/>
    </w:rPr>
  </w:style>
  <w:style w:type="paragraph" w:styleId="Quote">
    <w:name w:val="Quote"/>
    <w:basedOn w:val="Normal"/>
    <w:next w:val="Normal"/>
    <w:link w:val="QuoteChar"/>
    <w:uiPriority w:val="29"/>
    <w:qFormat/>
    <w:rsid w:val="00CE37C2"/>
    <w:pPr>
      <w:spacing w:before="200" w:after="200" w:line="276" w:lineRule="auto"/>
    </w:pPr>
    <w:rPr>
      <w:i/>
      <w:iCs/>
      <w:szCs w:val="20"/>
    </w:rPr>
  </w:style>
  <w:style w:type="character" w:customStyle="1" w:styleId="QuoteChar">
    <w:name w:val="Quote Char"/>
    <w:basedOn w:val="DefaultParagraphFont"/>
    <w:link w:val="Quote"/>
    <w:uiPriority w:val="29"/>
    <w:rsid w:val="00CE37C2"/>
    <w:rPr>
      <w:rFonts w:ascii="Calibri" w:hAnsi="Calibri"/>
      <w:i/>
      <w:iCs/>
    </w:rPr>
  </w:style>
  <w:style w:type="paragraph" w:styleId="IntenseQuote">
    <w:name w:val="Intense Quote"/>
    <w:basedOn w:val="Normal"/>
    <w:next w:val="Normal"/>
    <w:link w:val="IntenseQuoteChar"/>
    <w:uiPriority w:val="30"/>
    <w:qFormat/>
    <w:rsid w:val="00CE37C2"/>
    <w:pPr>
      <w:pBdr>
        <w:top w:val="single" w:sz="4" w:space="10" w:color="4F81BD"/>
        <w:left w:val="single" w:sz="4" w:space="10" w:color="4F81BD"/>
      </w:pBdr>
      <w:spacing w:before="200" w:line="276" w:lineRule="auto"/>
      <w:ind w:left="1296" w:right="1152"/>
      <w:jc w:val="both"/>
    </w:pPr>
    <w:rPr>
      <w:i/>
      <w:iCs/>
      <w:color w:val="4F81BD"/>
      <w:szCs w:val="20"/>
    </w:rPr>
  </w:style>
  <w:style w:type="character" w:customStyle="1" w:styleId="IntenseQuoteChar">
    <w:name w:val="Intense Quote Char"/>
    <w:basedOn w:val="DefaultParagraphFont"/>
    <w:link w:val="IntenseQuote"/>
    <w:uiPriority w:val="30"/>
    <w:rsid w:val="00CE37C2"/>
    <w:rPr>
      <w:rFonts w:ascii="Calibri" w:hAnsi="Calibri"/>
      <w:i/>
      <w:iCs/>
      <w:color w:val="4F81BD"/>
    </w:rPr>
  </w:style>
  <w:style w:type="character" w:styleId="SubtleEmphasis">
    <w:name w:val="Subtle Emphasis"/>
    <w:uiPriority w:val="19"/>
    <w:qFormat/>
    <w:rsid w:val="00CE37C2"/>
    <w:rPr>
      <w:i/>
      <w:iCs/>
      <w:color w:val="243F60"/>
    </w:rPr>
  </w:style>
  <w:style w:type="character" w:styleId="IntenseEmphasis">
    <w:name w:val="Intense Emphasis"/>
    <w:uiPriority w:val="21"/>
    <w:qFormat/>
    <w:rsid w:val="00CE37C2"/>
    <w:rPr>
      <w:b/>
      <w:bCs/>
      <w:caps/>
      <w:color w:val="243F60"/>
      <w:spacing w:val="10"/>
    </w:rPr>
  </w:style>
  <w:style w:type="character" w:styleId="SubtleReference">
    <w:name w:val="Subtle Reference"/>
    <w:uiPriority w:val="31"/>
    <w:qFormat/>
    <w:rsid w:val="00CE37C2"/>
    <w:rPr>
      <w:b/>
      <w:bCs/>
      <w:color w:val="4F81BD"/>
    </w:rPr>
  </w:style>
  <w:style w:type="character" w:styleId="IntenseReference">
    <w:name w:val="Intense Reference"/>
    <w:uiPriority w:val="32"/>
    <w:qFormat/>
    <w:rsid w:val="00CE37C2"/>
    <w:rPr>
      <w:b/>
      <w:bCs/>
      <w:i/>
      <w:iCs/>
      <w:caps/>
      <w:color w:val="4F81BD"/>
    </w:rPr>
  </w:style>
  <w:style w:type="character" w:styleId="BookTitle">
    <w:name w:val="Book Title"/>
    <w:uiPriority w:val="33"/>
    <w:qFormat/>
    <w:rsid w:val="00CE37C2"/>
    <w:rPr>
      <w:b/>
      <w:bCs/>
      <w:i/>
      <w:iCs/>
      <w:spacing w:val="9"/>
    </w:rPr>
  </w:style>
  <w:style w:type="paragraph" w:styleId="TOCHeading">
    <w:name w:val="TOC Heading"/>
    <w:basedOn w:val="Heading1"/>
    <w:next w:val="Normal"/>
    <w:uiPriority w:val="39"/>
    <w:unhideWhenUsed/>
    <w:qFormat/>
    <w:rsid w:val="00CE37C2"/>
    <w:pPr>
      <w:numPr>
        <w:numId w:val="0"/>
      </w:numPr>
      <w:pBdr>
        <w:top w:val="single" w:sz="8" w:space="0" w:color="0F243E"/>
        <w:left w:val="single" w:sz="8" w:space="0" w:color="0F243E"/>
        <w:bottom w:val="single" w:sz="8" w:space="0" w:color="0F243E"/>
        <w:right w:val="single" w:sz="8" w:space="0" w:color="0F243E"/>
      </w:pBdr>
      <w:shd w:val="clear" w:color="auto" w:fill="0F243E"/>
      <w:spacing w:before="200" w:after="0" w:line="276" w:lineRule="auto"/>
      <w:outlineLvl w:val="9"/>
    </w:pPr>
    <w:rPr>
      <w:rFonts w:ascii="Franklin Gothic Book" w:eastAsia="Times New Roman" w:hAnsi="Franklin Gothic Book" w:cs="Times New Roman"/>
      <w:bCs/>
      <w:caps/>
      <w:color w:val="FFFFFF"/>
      <w:spacing w:val="15"/>
      <w:sz w:val="22"/>
      <w:szCs w:val="22"/>
      <w:lang w:bidi="en-US"/>
    </w:rPr>
  </w:style>
  <w:style w:type="character" w:customStyle="1" w:styleId="NoSpacingChar">
    <w:name w:val="No Spacing Char"/>
    <w:basedOn w:val="DefaultParagraphFont"/>
    <w:link w:val="NoSpacing"/>
    <w:uiPriority w:val="1"/>
    <w:rsid w:val="00CE37C2"/>
    <w:rPr>
      <w:rFonts w:ascii="Calibri" w:hAnsi="Calibri"/>
    </w:rPr>
  </w:style>
  <w:style w:type="character" w:styleId="Hyperlink">
    <w:name w:val="Hyperlink"/>
    <w:basedOn w:val="DefaultParagraphFont"/>
    <w:uiPriority w:val="99"/>
    <w:unhideWhenUsed/>
    <w:rsid w:val="00CE37C2"/>
    <w:rPr>
      <w:color w:val="0000FF"/>
      <w:u w:val="single"/>
    </w:rPr>
  </w:style>
  <w:style w:type="paragraph" w:customStyle="1" w:styleId="pagedecription">
    <w:name w:val="page_decription"/>
    <w:basedOn w:val="Normal"/>
    <w:rsid w:val="00CE37C2"/>
    <w:pPr>
      <w:spacing w:before="100" w:beforeAutospacing="1" w:after="100" w:afterAutospacing="1"/>
    </w:pPr>
    <w:rPr>
      <w:i/>
      <w:iCs/>
      <w:color w:val="000101"/>
      <w:sz w:val="29"/>
      <w:szCs w:val="29"/>
    </w:rPr>
  </w:style>
  <w:style w:type="paragraph" w:styleId="z-TopofForm">
    <w:name w:val="HTML Top of Form"/>
    <w:basedOn w:val="Normal"/>
    <w:next w:val="Normal"/>
    <w:link w:val="z-TopofFormChar"/>
    <w:hidden/>
    <w:uiPriority w:val="99"/>
    <w:unhideWhenUsed/>
    <w:rsid w:val="00D71A1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D71A1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71A1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D71A12"/>
    <w:rPr>
      <w:rFonts w:ascii="Arial" w:hAnsi="Arial" w:cs="Arial"/>
      <w:vanish/>
      <w:sz w:val="16"/>
      <w:szCs w:val="16"/>
    </w:rPr>
  </w:style>
  <w:style w:type="paragraph" w:customStyle="1" w:styleId="NumberedList">
    <w:name w:val="Numbered List"/>
    <w:basedOn w:val="Normal"/>
    <w:qFormat/>
    <w:rsid w:val="00581B46"/>
    <w:pPr>
      <w:numPr>
        <w:numId w:val="14"/>
      </w:numPr>
      <w:spacing w:before="60"/>
      <w:ind w:left="714" w:hanging="357"/>
    </w:pPr>
  </w:style>
  <w:style w:type="paragraph" w:customStyle="1" w:styleId="ListParagraphSummary">
    <w:name w:val="List Paragraph Summary"/>
    <w:basedOn w:val="Normal"/>
    <w:qFormat/>
    <w:rsid w:val="00AE1327"/>
    <w:pPr>
      <w:numPr>
        <w:numId w:val="10"/>
      </w:numPr>
      <w:spacing w:before="60"/>
    </w:pPr>
    <w:rPr>
      <w:rFonts w:ascii="Calibri" w:hAnsi="Calibri" w:cs="Calibri"/>
      <w:szCs w:val="22"/>
    </w:rPr>
  </w:style>
  <w:style w:type="paragraph" w:styleId="TOC3">
    <w:name w:val="toc 3"/>
    <w:basedOn w:val="Normal"/>
    <w:next w:val="Normal"/>
    <w:autoRedefine/>
    <w:uiPriority w:val="39"/>
    <w:qFormat/>
    <w:rsid w:val="000D766B"/>
    <w:pPr>
      <w:tabs>
        <w:tab w:val="left" w:pos="1560"/>
        <w:tab w:val="right" w:leader="dot" w:pos="9781"/>
      </w:tabs>
      <w:spacing w:before="80" w:after="80"/>
      <w:ind w:left="851" w:hanging="142"/>
    </w:pPr>
    <w:rPr>
      <w:noProof/>
    </w:rPr>
  </w:style>
  <w:style w:type="paragraph" w:styleId="ListNumber2">
    <w:name w:val="List Number 2"/>
    <w:basedOn w:val="bt"/>
    <w:uiPriority w:val="99"/>
    <w:unhideWhenUsed/>
    <w:qFormat/>
    <w:rsid w:val="00B52C7D"/>
    <w:pPr>
      <w:numPr>
        <w:numId w:val="16"/>
      </w:numPr>
      <w:tabs>
        <w:tab w:val="clear" w:pos="643"/>
        <w:tab w:val="num" w:pos="1134"/>
      </w:tabs>
      <w:ind w:left="1134" w:hanging="283"/>
      <w:contextualSpacing/>
    </w:pPr>
  </w:style>
  <w:style w:type="paragraph" w:styleId="ListNumber">
    <w:name w:val="List Number"/>
    <w:basedOn w:val="bt"/>
    <w:uiPriority w:val="99"/>
    <w:unhideWhenUsed/>
    <w:qFormat/>
    <w:rsid w:val="00DE56B4"/>
    <w:pPr>
      <w:numPr>
        <w:numId w:val="17"/>
      </w:numPr>
      <w:tabs>
        <w:tab w:val="clear" w:pos="360"/>
        <w:tab w:val="num" w:pos="851"/>
      </w:tabs>
      <w:ind w:left="851" w:hanging="284"/>
      <w:contextualSpacing/>
    </w:pPr>
  </w:style>
  <w:style w:type="paragraph" w:customStyle="1" w:styleId="btbold">
    <w:name w:val="bt_bold"/>
    <w:basedOn w:val="bt"/>
    <w:next w:val="bt"/>
    <w:qFormat/>
    <w:rsid w:val="00DE56B4"/>
    <w:pPr>
      <w:spacing w:after="120"/>
    </w:pPr>
    <w:rPr>
      <w:b/>
      <w:sz w:val="24"/>
    </w:rPr>
  </w:style>
  <w:style w:type="paragraph" w:styleId="Revision">
    <w:name w:val="Revision"/>
    <w:hidden/>
    <w:uiPriority w:val="99"/>
    <w:semiHidden/>
    <w:rsid w:val="003D3883"/>
    <w:rPr>
      <w:rFonts w:ascii="Calibri" w:hAnsi="Calibri"/>
      <w:sz w:val="22"/>
      <w:szCs w:val="24"/>
    </w:rPr>
  </w:style>
  <w:style w:type="character" w:customStyle="1" w:styleId="ListParagraphChar">
    <w:name w:val="List Paragraph Char"/>
    <w:aliases w:val="Bullet List Char"/>
    <w:link w:val="ListParagraph"/>
    <w:uiPriority w:val="99"/>
    <w:locked/>
    <w:rsid w:val="004E348F"/>
    <w:rPr>
      <w:rFonts w:asciiTheme="minorHAnsi" w:hAnsiTheme="minorHAnsi"/>
      <w:szCs w:val="16"/>
      <w:lang w:val="en-US" w:eastAsia="en-US"/>
    </w:rPr>
  </w:style>
  <w:style w:type="paragraph" w:styleId="TOC4">
    <w:name w:val="toc 4"/>
    <w:basedOn w:val="Normal"/>
    <w:next w:val="Normal"/>
    <w:autoRedefine/>
    <w:uiPriority w:val="39"/>
    <w:unhideWhenUsed/>
    <w:rsid w:val="00871E7A"/>
    <w:pPr>
      <w:spacing w:before="60" w:after="60" w:line="276" w:lineRule="auto"/>
      <w:ind w:left="113"/>
    </w:pPr>
    <w:rPr>
      <w:rFonts w:ascii="Arial" w:eastAsiaTheme="minorEastAsia" w:hAnsi="Arial" w:cstheme="minorBidi"/>
      <w:b/>
      <w:color w:val="595959" w:themeColor="text1" w:themeTint="A6"/>
      <w:szCs w:val="22"/>
    </w:rPr>
  </w:style>
  <w:style w:type="paragraph" w:styleId="TOC5">
    <w:name w:val="toc 5"/>
    <w:basedOn w:val="Normal"/>
    <w:next w:val="Normal"/>
    <w:autoRedefine/>
    <w:uiPriority w:val="39"/>
    <w:unhideWhenUsed/>
    <w:rsid w:val="0030315F"/>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30315F"/>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30315F"/>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30315F"/>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30315F"/>
    <w:pPr>
      <w:spacing w:after="100" w:line="276" w:lineRule="auto"/>
      <w:ind w:left="1760"/>
    </w:pPr>
    <w:rPr>
      <w:rFonts w:eastAsiaTheme="minorEastAsia" w:cstheme="minorBidi"/>
      <w:sz w:val="22"/>
      <w:szCs w:val="22"/>
    </w:rPr>
  </w:style>
  <w:style w:type="paragraph" w:customStyle="1" w:styleId="AF9C0D89C6C84DA28525CD0352CAF9E2">
    <w:name w:val="AF9C0D89C6C84DA28525CD0352CAF9E2"/>
    <w:rsid w:val="007C60DE"/>
    <w:pPr>
      <w:spacing w:after="200" w:line="276" w:lineRule="auto"/>
    </w:pPr>
    <w:rPr>
      <w:rFonts w:asciiTheme="minorHAnsi" w:eastAsiaTheme="minorEastAsia" w:hAnsiTheme="minorHAnsi" w:cstheme="minorBidi"/>
      <w:sz w:val="22"/>
      <w:szCs w:val="22"/>
      <w:lang w:val="en-US" w:eastAsia="en-US"/>
    </w:rPr>
  </w:style>
  <w:style w:type="paragraph" w:styleId="TableofFigures">
    <w:name w:val="table of figures"/>
    <w:basedOn w:val="Normal"/>
    <w:next w:val="Normal"/>
    <w:autoRedefine/>
    <w:uiPriority w:val="99"/>
    <w:qFormat/>
    <w:rsid w:val="000D766B"/>
    <w:pPr>
      <w:tabs>
        <w:tab w:val="right" w:leader="dot" w:pos="9781"/>
      </w:tabs>
      <w:spacing w:before="80" w:after="80"/>
    </w:pPr>
    <w:rPr>
      <w:noProof/>
    </w:rPr>
  </w:style>
  <w:style w:type="character" w:styleId="FollowedHyperlink">
    <w:name w:val="FollowedHyperlink"/>
    <w:basedOn w:val="DefaultParagraphFont"/>
    <w:rsid w:val="00335A31"/>
    <w:rPr>
      <w:color w:val="800080" w:themeColor="followedHyperlink"/>
      <w:u w:val="single"/>
    </w:rPr>
  </w:style>
  <w:style w:type="character" w:styleId="PageNumber">
    <w:name w:val="page number"/>
    <w:basedOn w:val="DefaultParagraphFont"/>
    <w:rsid w:val="00AC7AEC"/>
  </w:style>
  <w:style w:type="paragraph" w:customStyle="1" w:styleId="Source">
    <w:name w:val="Source"/>
    <w:basedOn w:val="bt"/>
    <w:next w:val="bt"/>
    <w:link w:val="SourceChar"/>
    <w:qFormat/>
    <w:rsid w:val="005E01DE"/>
    <w:pPr>
      <w:spacing w:before="0" w:after="0" w:line="240" w:lineRule="auto"/>
    </w:pPr>
    <w:rPr>
      <w:rFonts w:asciiTheme="minorHAnsi" w:hAnsiTheme="minorHAnsi"/>
      <w:i/>
      <w:noProof/>
      <w:sz w:val="18"/>
      <w:szCs w:val="16"/>
    </w:rPr>
  </w:style>
  <w:style w:type="paragraph" w:customStyle="1" w:styleId="HeaderStyle">
    <w:name w:val="HeaderStyle"/>
    <w:basedOn w:val="Heading20"/>
    <w:link w:val="HeaderStyleChar"/>
    <w:qFormat/>
    <w:rsid w:val="00F12CBA"/>
    <w:pPr>
      <w:spacing w:before="0" w:after="0"/>
    </w:pPr>
    <w:rPr>
      <w:rFonts w:ascii="Verdana" w:hAnsi="Verdana"/>
      <w:noProof/>
      <w:sz w:val="20"/>
      <w:lang w:val="en-US"/>
    </w:rPr>
  </w:style>
  <w:style w:type="character" w:customStyle="1" w:styleId="SourceChar">
    <w:name w:val="Source Char"/>
    <w:basedOn w:val="DefaultParagraphFont"/>
    <w:link w:val="Source"/>
    <w:rsid w:val="005E01DE"/>
    <w:rPr>
      <w:rFonts w:asciiTheme="minorHAnsi" w:hAnsiTheme="minorHAnsi"/>
      <w:i/>
      <w:noProof/>
      <w:sz w:val="18"/>
      <w:szCs w:val="16"/>
    </w:rPr>
  </w:style>
  <w:style w:type="character" w:customStyle="1" w:styleId="Heading2Char0">
    <w:name w:val="^Heading 2 Char"/>
    <w:basedOn w:val="Heading2Char"/>
    <w:link w:val="Heading20"/>
    <w:rsid w:val="00F12CBA"/>
    <w:rPr>
      <w:rFonts w:ascii="DINOT-Medium" w:eastAsia="MS Gothic" w:hAnsi="DINOT-Medium" w:cs="Trebuchet MS"/>
      <w:b/>
      <w:bCs/>
      <w:color w:val="E7CF66"/>
      <w:sz w:val="26"/>
      <w:szCs w:val="26"/>
      <w:lang w:val="en-US" w:eastAsia="en-US"/>
    </w:rPr>
  </w:style>
  <w:style w:type="character" w:customStyle="1" w:styleId="HeaderStyleChar">
    <w:name w:val="HeaderStyle Char"/>
    <w:basedOn w:val="Heading2Char0"/>
    <w:link w:val="HeaderStyle"/>
    <w:rsid w:val="00F12CBA"/>
    <w:rPr>
      <w:rFonts w:ascii="Verdana" w:eastAsia="MS Gothic" w:hAnsi="Verdana" w:cs="Trebuchet MS"/>
      <w:b/>
      <w:bCs/>
      <w:noProof/>
      <w:color w:val="E7CF66"/>
      <w:sz w:val="26"/>
      <w:szCs w:val="26"/>
      <w:lang w:val="en-US" w:eastAsia="en-US"/>
    </w:rPr>
  </w:style>
  <w:style w:type="paragraph" w:styleId="ListBullet2">
    <w:name w:val="List Bullet 2"/>
    <w:basedOn w:val="Normal"/>
    <w:rsid w:val="004D424D"/>
    <w:pPr>
      <w:numPr>
        <w:numId w:val="20"/>
      </w:numPr>
      <w:spacing w:before="40" w:after="240"/>
      <w:ind w:left="811" w:hanging="357"/>
      <w:contextualSpacing/>
    </w:pPr>
  </w:style>
  <w:style w:type="paragraph" w:styleId="ListBullet">
    <w:name w:val="List Bullet"/>
    <w:basedOn w:val="Normal"/>
    <w:rsid w:val="004D424D"/>
    <w:pPr>
      <w:numPr>
        <w:numId w:val="19"/>
      </w:numPr>
      <w:ind w:left="584" w:hanging="357"/>
      <w:contextualSpacing/>
    </w:pPr>
  </w:style>
  <w:style w:type="paragraph" w:customStyle="1" w:styleId="TableofContents-heading">
    <w:name w:val="TableofContents-heading"/>
    <w:basedOn w:val="TOC1"/>
    <w:link w:val="TableofContents-headingChar"/>
    <w:qFormat/>
    <w:rsid w:val="00D34F87"/>
    <w:pPr>
      <w:tabs>
        <w:tab w:val="left" w:pos="480"/>
        <w:tab w:val="right" w:pos="8280"/>
      </w:tabs>
    </w:pPr>
    <w:rPr>
      <w:rFonts w:eastAsia="Times New Roman" w:cstheme="minorBidi"/>
      <w:b/>
      <w:color w:val="E8C454"/>
      <w:sz w:val="34"/>
      <w:szCs w:val="34"/>
      <w:lang w:eastAsia="en-AU"/>
    </w:rPr>
  </w:style>
  <w:style w:type="character" w:customStyle="1" w:styleId="TableofContents-headingChar">
    <w:name w:val="TableofContents-heading Char"/>
    <w:basedOn w:val="DefaultParagraphFont"/>
    <w:link w:val="TableofContents-heading"/>
    <w:rsid w:val="00D34F87"/>
    <w:rPr>
      <w:rFonts w:asciiTheme="minorHAnsi" w:hAnsiTheme="minorHAnsi" w:cstheme="minorBidi"/>
      <w:b/>
      <w:noProof/>
      <w:color w:val="E8C454"/>
      <w:sz w:val="34"/>
      <w:szCs w:val="34"/>
    </w:rPr>
  </w:style>
  <w:style w:type="paragraph" w:customStyle="1" w:styleId="Subsubheading">
    <w:name w:val="Sub sub heading"/>
    <w:basedOn w:val="Heading3"/>
    <w:rsid w:val="00D34F87"/>
    <w:pPr>
      <w:keepNext/>
      <w:numPr>
        <w:numId w:val="22"/>
      </w:numPr>
      <w:tabs>
        <w:tab w:val="clear" w:pos="907"/>
        <w:tab w:val="clear" w:pos="4536"/>
        <w:tab w:val="left" w:pos="900"/>
      </w:tabs>
      <w:spacing w:before="360" w:after="120"/>
      <w:ind w:left="709" w:hanging="709"/>
    </w:pPr>
    <w:rPr>
      <w:rFonts w:ascii="Calibri" w:eastAsia="Times New Roman" w:hAnsi="Calibri" w:cs="Times New Roman"/>
      <w:b w:val="0"/>
      <w:bCs/>
      <w:iCs w:val="0"/>
      <w:szCs w:val="18"/>
      <w:lang w:val="en-AU"/>
    </w:rPr>
  </w:style>
  <w:style w:type="paragraph" w:styleId="List">
    <w:name w:val="List"/>
    <w:basedOn w:val="Normal"/>
    <w:rsid w:val="008C43A2"/>
    <w:pPr>
      <w:ind w:left="283"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qFormat="1"/>
    <w:lsdException w:name="caption" w:semiHidden="1" w:unhideWhenUsed="1" w:qFormat="1"/>
    <w:lsdException w:name="table of figures" w:uiPriority="99" w:qFormat="1"/>
    <w:lsdException w:name="footnote reference" w:uiPriority="99"/>
    <w:lsdException w:name="annotation reference" w:uiPriority="99"/>
    <w:lsdException w:name="List Number" w:uiPriority="99" w:qFormat="1"/>
    <w:lsdException w:name="List Number 2" w:uiPriority="99" w:qFormat="1"/>
    <w:lsdException w:name="Title" w:uiPriority="10" w:qFormat="1"/>
    <w:lsdException w:name="Subtitle" w:uiPriority="11"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5456"/>
    <w:pPr>
      <w:spacing w:before="120"/>
    </w:pPr>
    <w:rPr>
      <w:rFonts w:asciiTheme="minorHAnsi" w:hAnsiTheme="minorHAnsi"/>
      <w:szCs w:val="18"/>
    </w:rPr>
  </w:style>
  <w:style w:type="paragraph" w:styleId="Heading1">
    <w:name w:val="heading 1"/>
    <w:basedOn w:val="Normal"/>
    <w:next w:val="bt"/>
    <w:link w:val="Heading1Char"/>
    <w:autoRedefine/>
    <w:qFormat/>
    <w:rsid w:val="00B86A8F"/>
    <w:pPr>
      <w:numPr>
        <w:numId w:val="15"/>
      </w:numPr>
      <w:spacing w:before="0" w:after="120"/>
      <w:outlineLvl w:val="0"/>
    </w:pPr>
    <w:rPr>
      <w:rFonts w:eastAsia="MS Gothi" w:cs="Arial"/>
      <w:b/>
      <w:color w:val="E8C454"/>
      <w:sz w:val="34"/>
      <w:szCs w:val="40"/>
      <w:lang w:val="en-US" w:eastAsia="en-US"/>
    </w:rPr>
  </w:style>
  <w:style w:type="paragraph" w:styleId="Heading2">
    <w:name w:val="heading 2"/>
    <w:next w:val="bt"/>
    <w:link w:val="Heading2Char"/>
    <w:autoRedefine/>
    <w:uiPriority w:val="9"/>
    <w:qFormat/>
    <w:rsid w:val="00655244"/>
    <w:pPr>
      <w:keepNext/>
      <w:keepLines/>
      <w:numPr>
        <w:ilvl w:val="1"/>
        <w:numId w:val="15"/>
      </w:numPr>
      <w:spacing w:before="200" w:after="120"/>
      <w:ind w:left="578" w:hanging="578"/>
      <w:outlineLvl w:val="1"/>
    </w:pPr>
    <w:rPr>
      <w:rFonts w:ascii="Calibri" w:eastAsia="MS Gothi" w:hAnsi="Calibri" w:cs="Trebuchet MS"/>
      <w:b/>
      <w:bCs/>
      <w:sz w:val="28"/>
      <w:szCs w:val="22"/>
      <w:lang w:val="en-US" w:eastAsia="en-US"/>
    </w:rPr>
  </w:style>
  <w:style w:type="paragraph" w:styleId="Heading3">
    <w:name w:val="heading 3"/>
    <w:link w:val="Heading3Char"/>
    <w:autoRedefine/>
    <w:uiPriority w:val="9"/>
    <w:qFormat/>
    <w:rsid w:val="00655244"/>
    <w:pPr>
      <w:numPr>
        <w:ilvl w:val="2"/>
        <w:numId w:val="15"/>
      </w:numPr>
      <w:tabs>
        <w:tab w:val="left" w:pos="907"/>
        <w:tab w:val="left" w:leader="dot" w:pos="4536"/>
        <w:tab w:val="left" w:pos="8931"/>
      </w:tabs>
      <w:spacing w:before="120"/>
      <w:ind w:left="851" w:hanging="851"/>
      <w:outlineLvl w:val="2"/>
    </w:pPr>
    <w:rPr>
      <w:rFonts w:asciiTheme="minorHAnsi" w:eastAsia="MS Gothi" w:hAnsiTheme="minorHAnsi" w:cs="Trebuchet MS"/>
      <w:b/>
      <w:iCs/>
      <w:sz w:val="26"/>
      <w:lang w:val="en-US" w:eastAsia="en-US"/>
    </w:rPr>
  </w:style>
  <w:style w:type="paragraph" w:styleId="Heading4">
    <w:name w:val="heading 4"/>
    <w:basedOn w:val="Normal"/>
    <w:next w:val="Normal"/>
    <w:link w:val="Heading4Char"/>
    <w:uiPriority w:val="9"/>
    <w:unhideWhenUsed/>
    <w:qFormat/>
    <w:rsid w:val="00877CB8"/>
    <w:pPr>
      <w:keepNext/>
      <w:spacing w:after="120"/>
      <w:outlineLvl w:val="3"/>
    </w:pPr>
    <w:rPr>
      <w:b/>
      <w:color w:val="000000" w:themeColor="text1"/>
      <w:sz w:val="22"/>
      <w:lang w:val="en-US" w:eastAsia="en-US"/>
    </w:rPr>
  </w:style>
  <w:style w:type="paragraph" w:styleId="Heading5">
    <w:name w:val="heading 5"/>
    <w:basedOn w:val="Normal"/>
    <w:next w:val="Normal"/>
    <w:link w:val="Heading5Char"/>
    <w:autoRedefine/>
    <w:uiPriority w:val="9"/>
    <w:unhideWhenUsed/>
    <w:qFormat/>
    <w:rsid w:val="00993977"/>
    <w:pPr>
      <w:tabs>
        <w:tab w:val="left" w:pos="8931"/>
      </w:tabs>
      <w:outlineLvl w:val="4"/>
    </w:pPr>
    <w:rPr>
      <w:b/>
      <w:i/>
      <w:color w:val="404040" w:themeColor="text1" w:themeTint="BF"/>
      <w:lang w:val="en-US" w:eastAsia="en-US"/>
    </w:rPr>
  </w:style>
  <w:style w:type="paragraph" w:styleId="Heading6">
    <w:name w:val="heading 6"/>
    <w:basedOn w:val="Normal"/>
    <w:next w:val="Normal"/>
    <w:link w:val="Heading6Char"/>
    <w:uiPriority w:val="9"/>
    <w:semiHidden/>
    <w:unhideWhenUsed/>
    <w:qFormat/>
    <w:rsid w:val="00F72DC5"/>
    <w:pPr>
      <w:numPr>
        <w:ilvl w:val="5"/>
        <w:numId w:val="15"/>
      </w:numPr>
      <w:spacing w:after="60" w:line="276" w:lineRule="auto"/>
      <w:outlineLvl w:val="5"/>
    </w:pPr>
    <w:rPr>
      <w:b/>
      <w:bCs/>
      <w:szCs w:val="22"/>
      <w:lang w:eastAsia="en-US"/>
    </w:rPr>
  </w:style>
  <w:style w:type="paragraph" w:styleId="Heading7">
    <w:name w:val="heading 7"/>
    <w:basedOn w:val="Normal"/>
    <w:next w:val="Normal"/>
    <w:link w:val="Heading7Char"/>
    <w:uiPriority w:val="9"/>
    <w:semiHidden/>
    <w:unhideWhenUsed/>
    <w:qFormat/>
    <w:rsid w:val="00F72DC5"/>
    <w:pPr>
      <w:numPr>
        <w:ilvl w:val="6"/>
        <w:numId w:val="15"/>
      </w:numPr>
      <w:spacing w:after="60" w:line="276" w:lineRule="auto"/>
      <w:outlineLvl w:val="6"/>
    </w:pPr>
    <w:rPr>
      <w:lang w:eastAsia="en-US"/>
    </w:rPr>
  </w:style>
  <w:style w:type="paragraph" w:styleId="Heading8">
    <w:name w:val="heading 8"/>
    <w:basedOn w:val="Normal"/>
    <w:next w:val="Normal"/>
    <w:link w:val="Heading8Char"/>
    <w:uiPriority w:val="9"/>
    <w:semiHidden/>
    <w:unhideWhenUsed/>
    <w:qFormat/>
    <w:rsid w:val="00F72DC5"/>
    <w:pPr>
      <w:numPr>
        <w:ilvl w:val="7"/>
        <w:numId w:val="15"/>
      </w:numPr>
      <w:spacing w:after="60" w:line="276" w:lineRule="auto"/>
      <w:outlineLvl w:val="7"/>
    </w:pPr>
    <w:rPr>
      <w:i/>
      <w:iCs/>
      <w:lang w:eastAsia="en-US"/>
    </w:rPr>
  </w:style>
  <w:style w:type="paragraph" w:styleId="Heading9">
    <w:name w:val="heading 9"/>
    <w:basedOn w:val="Normal"/>
    <w:next w:val="Normal"/>
    <w:link w:val="Heading9Char"/>
    <w:uiPriority w:val="9"/>
    <w:semiHidden/>
    <w:unhideWhenUsed/>
    <w:qFormat/>
    <w:rsid w:val="00CE37C2"/>
    <w:pPr>
      <w:numPr>
        <w:ilvl w:val="8"/>
        <w:numId w:val="15"/>
      </w:numPr>
      <w:spacing w:before="300" w:line="276" w:lineRule="auto"/>
      <w:outlineLvl w:val="8"/>
    </w:pPr>
    <w:rPr>
      <w:i/>
      <w:caps/>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317DD7"/>
    <w:pPr>
      <w:spacing w:after="120"/>
    </w:pPr>
    <w:rPr>
      <w:rFonts w:ascii="Arial" w:eastAsia="Arial Unicode MS" w:hAnsi="Arial"/>
      <w:color w:val="000000"/>
      <w:szCs w:val="20"/>
    </w:rPr>
  </w:style>
  <w:style w:type="paragraph" w:customStyle="1" w:styleId="RGPheading1">
    <w:name w:val="RGP heading 1"/>
    <w:basedOn w:val="Normal"/>
    <w:rsid w:val="008A6F5B"/>
    <w:pPr>
      <w:keepNext/>
      <w:numPr>
        <w:numId w:val="1"/>
      </w:numPr>
      <w:spacing w:after="60"/>
      <w:outlineLvl w:val="0"/>
    </w:pPr>
    <w:rPr>
      <w:rFonts w:ascii="Trebuchet MS" w:hAnsi="Trebuchet MS" w:cs="Arial"/>
      <w:b/>
      <w:bCs/>
      <w:kern w:val="32"/>
      <w:sz w:val="32"/>
      <w:szCs w:val="32"/>
    </w:rPr>
  </w:style>
  <w:style w:type="paragraph" w:customStyle="1" w:styleId="RGPHeading2">
    <w:name w:val="RGP Heading 2"/>
    <w:basedOn w:val="Heading2"/>
    <w:next w:val="RGPnormal"/>
    <w:rsid w:val="002D552D"/>
    <w:pPr>
      <w:numPr>
        <w:numId w:val="6"/>
      </w:numPr>
    </w:pPr>
    <w:rPr>
      <w:rFonts w:cs="Corbel"/>
      <w:bCs w:val="0"/>
      <w:iCs/>
      <w:color w:val="79A400"/>
    </w:rPr>
  </w:style>
  <w:style w:type="paragraph" w:customStyle="1" w:styleId="RGPnormal">
    <w:name w:val="RGP normal"/>
    <w:basedOn w:val="Normal"/>
    <w:link w:val="RGPnormalChar"/>
    <w:rsid w:val="00CA37F2"/>
    <w:pPr>
      <w:spacing w:after="120"/>
    </w:pPr>
    <w:rPr>
      <w:rFonts w:ascii="Trebuchet MS" w:hAnsi="Trebuchet MS"/>
      <w:szCs w:val="22"/>
    </w:rPr>
  </w:style>
  <w:style w:type="paragraph" w:customStyle="1" w:styleId="StyleTrebuchetMS11ptLeft063cmAfter6pt">
    <w:name w:val="Style Trebuchet MS 11 pt Left:  0.63 cm After:  6 pt"/>
    <w:basedOn w:val="Normal"/>
    <w:rsid w:val="004717F0"/>
    <w:pPr>
      <w:spacing w:after="240"/>
      <w:ind w:left="357"/>
    </w:pPr>
    <w:rPr>
      <w:rFonts w:ascii="Trebuchet MS" w:hAnsi="Trebuchet MS"/>
      <w:szCs w:val="20"/>
    </w:rPr>
  </w:style>
  <w:style w:type="paragraph" w:styleId="TOC1">
    <w:name w:val="toc 1"/>
    <w:basedOn w:val="Normal"/>
    <w:next w:val="Normal"/>
    <w:autoRedefine/>
    <w:uiPriority w:val="39"/>
    <w:qFormat/>
    <w:rsid w:val="000D766B"/>
    <w:pPr>
      <w:tabs>
        <w:tab w:val="left" w:pos="-3725"/>
        <w:tab w:val="left" w:pos="284"/>
        <w:tab w:val="right" w:leader="dot" w:pos="9781"/>
      </w:tabs>
      <w:spacing w:before="80" w:after="80"/>
    </w:pPr>
    <w:rPr>
      <w:rFonts w:eastAsia="MS P????"/>
      <w:noProof/>
      <w:sz w:val="22"/>
      <w:lang w:eastAsia="en-US"/>
    </w:rPr>
  </w:style>
  <w:style w:type="paragraph" w:styleId="TOC2">
    <w:name w:val="toc 2"/>
    <w:basedOn w:val="Normal"/>
    <w:next w:val="Normal"/>
    <w:autoRedefine/>
    <w:uiPriority w:val="39"/>
    <w:qFormat/>
    <w:rsid w:val="000D766B"/>
    <w:pPr>
      <w:tabs>
        <w:tab w:val="left" w:pos="851"/>
        <w:tab w:val="left" w:pos="993"/>
        <w:tab w:val="right" w:leader="dot" w:pos="9781"/>
      </w:tabs>
      <w:spacing w:before="80" w:after="80"/>
      <w:ind w:left="851" w:hanging="567"/>
    </w:pPr>
    <w:rPr>
      <w:rFonts w:cs="Arial"/>
      <w:bCs/>
      <w:noProof/>
    </w:rPr>
  </w:style>
  <w:style w:type="paragraph" w:customStyle="1" w:styleId="PM1">
    <w:name w:val="PM 1"/>
    <w:basedOn w:val="Normal"/>
    <w:rsid w:val="00935DC7"/>
    <w:pPr>
      <w:pageBreakBefore/>
      <w:framePr w:w="2037" w:wrap="auto" w:vAnchor="page" w:hAnchor="page" w:x="1801" w:y="1440"/>
      <w:widowControl w:val="0"/>
      <w:numPr>
        <w:numId w:val="2"/>
      </w:numPr>
      <w:autoSpaceDE w:val="0"/>
      <w:autoSpaceDN w:val="0"/>
      <w:adjustRightInd w:val="0"/>
    </w:pPr>
    <w:rPr>
      <w:rFonts w:ascii="Helvetica" w:hAnsi="Helvetica" w:cs="Helvetica"/>
      <w:b/>
      <w:bCs/>
      <w:color w:val="808000"/>
      <w:sz w:val="26"/>
      <w:szCs w:val="26"/>
    </w:rPr>
  </w:style>
  <w:style w:type="paragraph" w:customStyle="1" w:styleId="PM10">
    <w:name w:val="PM1"/>
    <w:basedOn w:val="Normal"/>
    <w:rsid w:val="00935DC7"/>
    <w:pPr>
      <w:numPr>
        <w:numId w:val="3"/>
      </w:numPr>
      <w:spacing w:after="300"/>
      <w:ind w:right="-431"/>
    </w:pPr>
    <w:rPr>
      <w:rFonts w:ascii="Helvetica" w:eastAsia="Times" w:hAnsi="Helvetica"/>
      <w:b/>
      <w:color w:val="808000"/>
      <w:sz w:val="26"/>
      <w:szCs w:val="26"/>
      <w:lang w:val="en-US" w:eastAsia="en-US"/>
    </w:rPr>
  </w:style>
  <w:style w:type="paragraph" w:customStyle="1" w:styleId="PMheading1">
    <w:name w:val="PM heading 1"/>
    <w:basedOn w:val="Normal"/>
    <w:rsid w:val="00EC2F0A"/>
    <w:pPr>
      <w:numPr>
        <w:numId w:val="6"/>
      </w:numPr>
      <w:tabs>
        <w:tab w:val="left" w:pos="567"/>
      </w:tabs>
      <w:spacing w:after="300"/>
      <w:ind w:right="-431"/>
    </w:pPr>
    <w:rPr>
      <w:rFonts w:ascii="Helvetica" w:eastAsia="Times" w:hAnsi="Helvetica"/>
      <w:b/>
      <w:color w:val="808000"/>
      <w:sz w:val="26"/>
      <w:szCs w:val="26"/>
      <w:lang w:val="en-US" w:eastAsia="en-US"/>
    </w:rPr>
  </w:style>
  <w:style w:type="paragraph" w:customStyle="1" w:styleId="PMheading2">
    <w:name w:val="PM heading 2"/>
    <w:basedOn w:val="Normal"/>
    <w:rsid w:val="00D37B3C"/>
    <w:pPr>
      <w:spacing w:after="120"/>
    </w:pPr>
    <w:rPr>
      <w:rFonts w:ascii="Helvetica" w:eastAsia="Times" w:hAnsi="Helvetica"/>
      <w:lang w:val="en-US" w:eastAsia="en-US"/>
    </w:rPr>
  </w:style>
  <w:style w:type="paragraph" w:customStyle="1" w:styleId="PMHeading20">
    <w:name w:val="PM Heading 2"/>
    <w:basedOn w:val="RGPHeading2"/>
    <w:rsid w:val="00EC2F0A"/>
    <w:pPr>
      <w:numPr>
        <w:ilvl w:val="0"/>
        <w:numId w:val="0"/>
      </w:numPr>
    </w:pPr>
    <w:rPr>
      <w:rFonts w:ascii="Helvetica Narrow" w:eastAsia="Times" w:hAnsi="Helvetica Narrow" w:cs="Arial"/>
      <w:sz w:val="24"/>
      <w:szCs w:val="20"/>
    </w:rPr>
  </w:style>
  <w:style w:type="paragraph" w:customStyle="1" w:styleId="heading2MRSS">
    <w:name w:val="heading 2 MRSS"/>
    <w:basedOn w:val="Normal"/>
    <w:rsid w:val="009F6843"/>
    <w:pPr>
      <w:spacing w:line="360" w:lineRule="auto"/>
    </w:pPr>
    <w:rPr>
      <w:rFonts w:ascii="Arial" w:hAnsi="Arial" w:cs="Arial"/>
      <w:b/>
      <w:szCs w:val="22"/>
      <w:lang w:eastAsia="en-US"/>
    </w:rPr>
  </w:style>
  <w:style w:type="paragraph" w:customStyle="1" w:styleId="BodyIndent2">
    <w:name w:val="Body Indent 2"/>
    <w:basedOn w:val="Normal"/>
    <w:rsid w:val="000F297C"/>
    <w:pPr>
      <w:spacing w:line="360" w:lineRule="auto"/>
      <w:ind w:left="2552"/>
    </w:pPr>
    <w:rPr>
      <w:rFonts w:ascii="Arial" w:hAnsi="Arial" w:cs="Arial"/>
      <w:szCs w:val="22"/>
      <w:lang w:eastAsia="en-US"/>
    </w:rPr>
  </w:style>
  <w:style w:type="paragraph" w:customStyle="1" w:styleId="StyleHeading211pt">
    <w:name w:val="Style Heading 2 + 11 pt"/>
    <w:basedOn w:val="Heading2"/>
    <w:rsid w:val="009A3B09"/>
    <w:pPr>
      <w:numPr>
        <w:ilvl w:val="0"/>
        <w:numId w:val="0"/>
      </w:numPr>
    </w:pPr>
    <w:rPr>
      <w:i/>
    </w:rPr>
  </w:style>
  <w:style w:type="paragraph" w:customStyle="1" w:styleId="TableHeading-Left">
    <w:name w:val="Table Heading - Left"/>
    <w:basedOn w:val="Normal"/>
    <w:rsid w:val="00A61727"/>
    <w:pPr>
      <w:spacing w:before="60" w:after="60"/>
    </w:pPr>
    <w:rPr>
      <w:rFonts w:ascii="Trebuchet MS" w:eastAsia="MS P????" w:hAnsi="Trebuchet MS"/>
      <w:b/>
      <w:lang w:val="en-US" w:eastAsia="en-US"/>
    </w:rPr>
  </w:style>
  <w:style w:type="paragraph" w:customStyle="1" w:styleId="BodyBullet">
    <w:name w:val="Body Bullet"/>
    <w:rsid w:val="00DE7268"/>
    <w:pPr>
      <w:numPr>
        <w:numId w:val="4"/>
      </w:numPr>
      <w:spacing w:after="120"/>
    </w:pPr>
    <w:rPr>
      <w:rFonts w:ascii="Arial" w:eastAsia="Arial Unicode MS" w:hAnsi="Arial"/>
      <w:color w:val="000000"/>
      <w:sz w:val="22"/>
      <w:szCs w:val="24"/>
    </w:rPr>
  </w:style>
  <w:style w:type="numbering" w:customStyle="1" w:styleId="StyleBulleted">
    <w:name w:val="Style Bulleted"/>
    <w:basedOn w:val="NoList"/>
    <w:rsid w:val="00736CA9"/>
    <w:pPr>
      <w:numPr>
        <w:numId w:val="5"/>
      </w:numPr>
    </w:pPr>
  </w:style>
  <w:style w:type="paragraph" w:customStyle="1" w:styleId="StyleHeading2After6pt">
    <w:name w:val="Style Heading 2 + After:  6 pt"/>
    <w:basedOn w:val="Heading2"/>
    <w:rsid w:val="008D0A01"/>
    <w:pPr>
      <w:numPr>
        <w:numId w:val="7"/>
      </w:numPr>
      <w:spacing w:line="288" w:lineRule="auto"/>
    </w:pPr>
    <w:rPr>
      <w:rFonts w:eastAsia="Times New Roman" w:cs="Times New Roman"/>
      <w:bCs w:val="0"/>
      <w:szCs w:val="20"/>
    </w:rPr>
  </w:style>
  <w:style w:type="paragraph" w:customStyle="1" w:styleId="StyleHeading2Before12ptAfter3ptLinespacingMult">
    <w:name w:val="Style Heading 2 + Before:  12 pt After:  3 pt Line spacing:  Mult..."/>
    <w:basedOn w:val="Heading2"/>
    <w:rsid w:val="001622FC"/>
    <w:pPr>
      <w:numPr>
        <w:numId w:val="8"/>
      </w:numPr>
      <w:spacing w:before="240" w:after="60" w:line="276" w:lineRule="auto"/>
    </w:pPr>
    <w:rPr>
      <w:rFonts w:eastAsia="Times New Roman" w:cs="Times New Roman"/>
      <w:bCs w:val="0"/>
      <w:szCs w:val="20"/>
    </w:rPr>
  </w:style>
  <w:style w:type="paragraph" w:customStyle="1" w:styleId="StyleHeading2LatinArialBefore12ptAfter3ptLine">
    <w:name w:val="Style Heading 2 + (Latin) Arial Before:  12 pt After:  3 pt Line..."/>
    <w:basedOn w:val="Heading2"/>
    <w:rsid w:val="00436236"/>
    <w:pPr>
      <w:numPr>
        <w:numId w:val="9"/>
      </w:numPr>
      <w:spacing w:before="240" w:after="60" w:line="276" w:lineRule="auto"/>
    </w:pPr>
    <w:rPr>
      <w:rFonts w:eastAsia="Times New Roman" w:cs="Times New Roman"/>
      <w:szCs w:val="20"/>
    </w:rPr>
  </w:style>
  <w:style w:type="paragraph" w:styleId="Header">
    <w:name w:val="header"/>
    <w:basedOn w:val="Normal"/>
    <w:link w:val="HeaderChar"/>
    <w:uiPriority w:val="99"/>
    <w:rsid w:val="002963AE"/>
    <w:pPr>
      <w:tabs>
        <w:tab w:val="center" w:pos="4513"/>
        <w:tab w:val="right" w:pos="9026"/>
      </w:tabs>
    </w:pPr>
  </w:style>
  <w:style w:type="character" w:customStyle="1" w:styleId="HeaderChar">
    <w:name w:val="Header Char"/>
    <w:basedOn w:val="DefaultParagraphFont"/>
    <w:link w:val="Header"/>
    <w:uiPriority w:val="99"/>
    <w:rsid w:val="002963AE"/>
    <w:rPr>
      <w:rFonts w:asciiTheme="minorHAnsi" w:hAnsiTheme="minorHAnsi"/>
      <w:szCs w:val="18"/>
    </w:rPr>
  </w:style>
  <w:style w:type="paragraph" w:styleId="Footer">
    <w:name w:val="footer"/>
    <w:basedOn w:val="Normal"/>
    <w:link w:val="FooterChar"/>
    <w:uiPriority w:val="99"/>
    <w:qFormat/>
    <w:rsid w:val="001309E4"/>
    <w:pPr>
      <w:tabs>
        <w:tab w:val="center" w:pos="4513"/>
        <w:tab w:val="right" w:pos="9026"/>
      </w:tabs>
      <w:spacing w:before="0"/>
      <w:jc w:val="center"/>
    </w:pPr>
  </w:style>
  <w:style w:type="character" w:customStyle="1" w:styleId="FooterChar">
    <w:name w:val="Footer Char"/>
    <w:basedOn w:val="DefaultParagraphFont"/>
    <w:link w:val="Footer"/>
    <w:uiPriority w:val="99"/>
    <w:rsid w:val="001309E4"/>
    <w:rPr>
      <w:rFonts w:asciiTheme="minorHAnsi" w:hAnsiTheme="minorHAnsi"/>
      <w:szCs w:val="18"/>
    </w:rPr>
  </w:style>
  <w:style w:type="character" w:styleId="CommentReference">
    <w:name w:val="annotation reference"/>
    <w:basedOn w:val="DefaultParagraphFont"/>
    <w:uiPriority w:val="99"/>
    <w:rsid w:val="0051166E"/>
    <w:rPr>
      <w:sz w:val="16"/>
      <w:szCs w:val="16"/>
    </w:rPr>
  </w:style>
  <w:style w:type="paragraph" w:styleId="CommentText">
    <w:name w:val="annotation text"/>
    <w:basedOn w:val="Normal"/>
    <w:link w:val="CommentTextChar"/>
    <w:uiPriority w:val="99"/>
    <w:rsid w:val="0051166E"/>
    <w:rPr>
      <w:szCs w:val="20"/>
    </w:rPr>
  </w:style>
  <w:style w:type="character" w:customStyle="1" w:styleId="CommentTextChar">
    <w:name w:val="Comment Text Char"/>
    <w:basedOn w:val="DefaultParagraphFont"/>
    <w:link w:val="CommentText"/>
    <w:uiPriority w:val="99"/>
    <w:rsid w:val="0051166E"/>
  </w:style>
  <w:style w:type="paragraph" w:styleId="CommentSubject">
    <w:name w:val="annotation subject"/>
    <w:basedOn w:val="CommentText"/>
    <w:next w:val="CommentText"/>
    <w:link w:val="CommentSubjectChar"/>
    <w:uiPriority w:val="99"/>
    <w:rsid w:val="0051166E"/>
    <w:rPr>
      <w:b/>
      <w:bCs/>
    </w:rPr>
  </w:style>
  <w:style w:type="character" w:customStyle="1" w:styleId="CommentSubjectChar">
    <w:name w:val="Comment Subject Char"/>
    <w:basedOn w:val="CommentTextChar"/>
    <w:link w:val="CommentSubject"/>
    <w:uiPriority w:val="99"/>
    <w:rsid w:val="0051166E"/>
    <w:rPr>
      <w:b/>
      <w:bCs/>
    </w:rPr>
  </w:style>
  <w:style w:type="paragraph" w:styleId="BalloonText">
    <w:name w:val="Balloon Text"/>
    <w:basedOn w:val="Normal"/>
    <w:link w:val="BalloonTextChar"/>
    <w:uiPriority w:val="99"/>
    <w:rsid w:val="0051166E"/>
    <w:rPr>
      <w:rFonts w:ascii="Tahoma" w:hAnsi="Tahoma" w:cs="Tahoma"/>
      <w:sz w:val="16"/>
      <w:szCs w:val="16"/>
    </w:rPr>
  </w:style>
  <w:style w:type="character" w:customStyle="1" w:styleId="BalloonTextChar">
    <w:name w:val="Balloon Text Char"/>
    <w:basedOn w:val="DefaultParagraphFont"/>
    <w:link w:val="BalloonText"/>
    <w:uiPriority w:val="99"/>
    <w:rsid w:val="0051166E"/>
    <w:rPr>
      <w:rFonts w:ascii="Tahoma" w:hAnsi="Tahoma" w:cs="Tahoma"/>
      <w:sz w:val="16"/>
      <w:szCs w:val="16"/>
    </w:rPr>
  </w:style>
  <w:style w:type="character" w:customStyle="1" w:styleId="RGPnormalChar">
    <w:name w:val="RGP normal Char"/>
    <w:basedOn w:val="DefaultParagraphFont"/>
    <w:link w:val="RGPnormal"/>
    <w:locked/>
    <w:rsid w:val="00E82C02"/>
    <w:rPr>
      <w:rFonts w:ascii="Trebuchet MS" w:hAnsi="Trebuchet MS"/>
      <w:sz w:val="22"/>
      <w:szCs w:val="22"/>
    </w:rPr>
  </w:style>
  <w:style w:type="character" w:customStyle="1" w:styleId="Heading4Char">
    <w:name w:val="Heading 4 Char"/>
    <w:basedOn w:val="DefaultParagraphFont"/>
    <w:link w:val="Heading4"/>
    <w:uiPriority w:val="9"/>
    <w:rsid w:val="00877CB8"/>
    <w:rPr>
      <w:rFonts w:asciiTheme="minorHAnsi" w:hAnsiTheme="minorHAnsi"/>
      <w:b/>
      <w:color w:val="000000" w:themeColor="text1"/>
      <w:sz w:val="22"/>
      <w:szCs w:val="18"/>
      <w:lang w:val="en-US" w:eastAsia="en-US"/>
    </w:rPr>
  </w:style>
  <w:style w:type="paragraph" w:customStyle="1" w:styleId="Default">
    <w:name w:val="Default"/>
    <w:rsid w:val="000A66A7"/>
    <w:pPr>
      <w:autoSpaceDE w:val="0"/>
      <w:autoSpaceDN w:val="0"/>
      <w:adjustRightInd w:val="0"/>
    </w:pPr>
    <w:rPr>
      <w:rFonts w:ascii="Calibri" w:hAnsi="Calibri" w:cs="Calibri"/>
      <w:color w:val="000000"/>
      <w:sz w:val="24"/>
      <w:szCs w:val="24"/>
    </w:rPr>
  </w:style>
  <w:style w:type="table" w:styleId="TableGrid">
    <w:name w:val="Table Grid"/>
    <w:basedOn w:val="TableNormal"/>
    <w:rsid w:val="00784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124CB"/>
  </w:style>
  <w:style w:type="table" w:styleId="MediumShading1-Accent6">
    <w:name w:val="Medium Shading 1 Accent 6"/>
    <w:basedOn w:val="TableNormal"/>
    <w:uiPriority w:val="63"/>
    <w:rsid w:val="009F581F"/>
    <w:rPr>
      <w:rFonts w:ascii="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993977"/>
    <w:rPr>
      <w:rFonts w:asciiTheme="minorHAnsi" w:hAnsiTheme="minorHAnsi"/>
      <w:b/>
      <w:i/>
      <w:color w:val="404040" w:themeColor="text1" w:themeTint="BF"/>
      <w:szCs w:val="18"/>
      <w:lang w:val="en-US" w:eastAsia="en-US"/>
    </w:rPr>
  </w:style>
  <w:style w:type="character" w:customStyle="1" w:styleId="Heading6Char">
    <w:name w:val="Heading 6 Char"/>
    <w:basedOn w:val="DefaultParagraphFont"/>
    <w:link w:val="Heading6"/>
    <w:uiPriority w:val="9"/>
    <w:semiHidden/>
    <w:rsid w:val="00F72DC5"/>
    <w:rPr>
      <w:rFonts w:asciiTheme="minorHAnsi" w:hAnsiTheme="minorHAnsi"/>
      <w:b/>
      <w:bCs/>
      <w:szCs w:val="22"/>
      <w:lang w:eastAsia="en-US"/>
    </w:rPr>
  </w:style>
  <w:style w:type="character" w:customStyle="1" w:styleId="Heading7Char">
    <w:name w:val="Heading 7 Char"/>
    <w:basedOn w:val="DefaultParagraphFont"/>
    <w:link w:val="Heading7"/>
    <w:uiPriority w:val="9"/>
    <w:semiHidden/>
    <w:rsid w:val="00F72DC5"/>
    <w:rPr>
      <w:rFonts w:asciiTheme="minorHAnsi" w:hAnsiTheme="minorHAnsi"/>
      <w:szCs w:val="18"/>
      <w:lang w:eastAsia="en-US"/>
    </w:rPr>
  </w:style>
  <w:style w:type="character" w:customStyle="1" w:styleId="Heading8Char">
    <w:name w:val="Heading 8 Char"/>
    <w:basedOn w:val="DefaultParagraphFont"/>
    <w:link w:val="Heading8"/>
    <w:uiPriority w:val="9"/>
    <w:semiHidden/>
    <w:rsid w:val="00F72DC5"/>
    <w:rPr>
      <w:rFonts w:asciiTheme="minorHAnsi" w:hAnsiTheme="minorHAnsi"/>
      <w:i/>
      <w:iCs/>
      <w:szCs w:val="18"/>
      <w:lang w:eastAsia="en-US"/>
    </w:rPr>
  </w:style>
  <w:style w:type="character" w:customStyle="1" w:styleId="Heading3Char">
    <w:name w:val="Heading 3 Char"/>
    <w:basedOn w:val="DefaultParagraphFont"/>
    <w:link w:val="Heading3"/>
    <w:uiPriority w:val="9"/>
    <w:rsid w:val="00655244"/>
    <w:rPr>
      <w:rFonts w:asciiTheme="minorHAnsi" w:eastAsia="MS Gothi" w:hAnsiTheme="minorHAnsi" w:cs="Trebuchet MS"/>
      <w:b/>
      <w:iCs/>
      <w:sz w:val="26"/>
      <w:lang w:val="en-US" w:eastAsia="en-US"/>
    </w:rPr>
  </w:style>
  <w:style w:type="table" w:styleId="MediumGrid1-Accent6">
    <w:name w:val="Medium Grid 1 Accent 6"/>
    <w:basedOn w:val="TableNormal"/>
    <w:uiPriority w:val="67"/>
    <w:rsid w:val="00F72DC5"/>
    <w:rPr>
      <w:rFonts w:ascii="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aliases w:val="Bullet List"/>
    <w:basedOn w:val="Normal"/>
    <w:link w:val="ListParagraphChar"/>
    <w:uiPriority w:val="99"/>
    <w:qFormat/>
    <w:rsid w:val="004E348F"/>
    <w:pPr>
      <w:numPr>
        <w:numId w:val="18"/>
      </w:numPr>
      <w:tabs>
        <w:tab w:val="left" w:pos="851"/>
      </w:tabs>
      <w:spacing w:after="200" w:line="276" w:lineRule="auto"/>
      <w:contextualSpacing/>
    </w:pPr>
    <w:rPr>
      <w:szCs w:val="16"/>
      <w:lang w:val="en-US" w:eastAsia="en-US"/>
    </w:rPr>
  </w:style>
  <w:style w:type="table" w:customStyle="1" w:styleId="MediumGrid1-Accent61">
    <w:name w:val="Medium Grid 1 - Accent 61"/>
    <w:basedOn w:val="TableNormal"/>
    <w:next w:val="MediumGrid1-Accent6"/>
    <w:uiPriority w:val="67"/>
    <w:rsid w:val="00B61DBB"/>
    <w:rPr>
      <w:rFonts w:ascii="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character" w:customStyle="1" w:styleId="BodyTextChar">
    <w:name w:val="Body Text Char"/>
    <w:basedOn w:val="DefaultParagraphFont"/>
    <w:link w:val="BodyText"/>
    <w:locked/>
    <w:rsid w:val="008E4514"/>
    <w:rPr>
      <w:rFonts w:ascii="Trebuchet MS" w:eastAsia="MS P????" w:hAnsi="Trebuchet MS" w:cs="Trebuchet MS"/>
      <w:sz w:val="22"/>
      <w:szCs w:val="22"/>
      <w:lang w:val="en-US" w:eastAsia="en-US"/>
    </w:rPr>
  </w:style>
  <w:style w:type="paragraph" w:styleId="BodyText">
    <w:name w:val="Body Text"/>
    <w:basedOn w:val="Normal"/>
    <w:link w:val="BodyTextChar"/>
    <w:rsid w:val="008E4514"/>
    <w:pPr>
      <w:spacing w:after="200" w:line="288" w:lineRule="auto"/>
      <w:jc w:val="both"/>
    </w:pPr>
    <w:rPr>
      <w:rFonts w:ascii="Trebuchet MS" w:eastAsia="MS P????" w:hAnsi="Trebuchet MS" w:cs="Trebuchet MS"/>
      <w:szCs w:val="22"/>
      <w:lang w:val="en-US" w:eastAsia="en-US"/>
    </w:rPr>
  </w:style>
  <w:style w:type="character" w:customStyle="1" w:styleId="BodyTextChar1">
    <w:name w:val="Body Text Char1"/>
    <w:basedOn w:val="DefaultParagraphFont"/>
    <w:rsid w:val="008E4514"/>
    <w:rPr>
      <w:sz w:val="24"/>
      <w:szCs w:val="24"/>
    </w:rPr>
  </w:style>
  <w:style w:type="paragraph" w:customStyle="1" w:styleId="Parah0number">
    <w:name w:val="Parah 0 number"/>
    <w:basedOn w:val="Normal"/>
    <w:rsid w:val="008E4514"/>
    <w:pPr>
      <w:numPr>
        <w:numId w:val="11"/>
      </w:numPr>
      <w:spacing w:after="60"/>
    </w:pPr>
    <w:rPr>
      <w:rFonts w:ascii="Arial" w:eastAsia="Calibri" w:hAnsi="Arial"/>
      <w:szCs w:val="20"/>
    </w:rPr>
  </w:style>
  <w:style w:type="paragraph" w:customStyle="1" w:styleId="Bullet1">
    <w:name w:val="Bullet 1"/>
    <w:basedOn w:val="Normal"/>
    <w:rsid w:val="008E4514"/>
    <w:pPr>
      <w:numPr>
        <w:numId w:val="12"/>
      </w:numPr>
      <w:spacing w:after="60"/>
      <w:jc w:val="both"/>
    </w:pPr>
    <w:rPr>
      <w:rFonts w:eastAsia="Calibri" w:cs="Arial"/>
      <w:szCs w:val="20"/>
    </w:rPr>
  </w:style>
  <w:style w:type="paragraph" w:customStyle="1" w:styleId="Bullet2">
    <w:name w:val="Bullet 2"/>
    <w:basedOn w:val="Normal"/>
    <w:rsid w:val="008E4514"/>
    <w:pPr>
      <w:numPr>
        <w:ilvl w:val="1"/>
        <w:numId w:val="12"/>
      </w:numPr>
      <w:spacing w:after="60"/>
      <w:jc w:val="both"/>
    </w:pPr>
    <w:rPr>
      <w:rFonts w:eastAsia="Calibri"/>
      <w:szCs w:val="20"/>
      <w:lang w:eastAsia="en-US"/>
    </w:rPr>
  </w:style>
  <w:style w:type="paragraph" w:customStyle="1" w:styleId="Bullet3">
    <w:name w:val="Bullet 3"/>
    <w:basedOn w:val="Normal"/>
    <w:rsid w:val="008E4514"/>
    <w:pPr>
      <w:numPr>
        <w:ilvl w:val="2"/>
        <w:numId w:val="12"/>
      </w:numPr>
      <w:spacing w:after="60"/>
      <w:jc w:val="both"/>
    </w:pPr>
    <w:rPr>
      <w:rFonts w:eastAsia="Calibri"/>
      <w:szCs w:val="20"/>
      <w:lang w:eastAsia="en-US"/>
    </w:rPr>
  </w:style>
  <w:style w:type="paragraph" w:styleId="FootnoteText">
    <w:name w:val="footnote text"/>
    <w:aliases w:val="fn,Footnote Text Char2 Char1,Footnote Text Char1 Char1 Char,Footnote Text Char Char5 Char Char,Footnote Text Char2 Char1 Char Char Char,Footnote Text Char Char5 Char Char Char Char,Footnote Text Char2,ALTS FOOTNOTE,fn Ch"/>
    <w:basedOn w:val="Normal"/>
    <w:link w:val="FootnoteTextChar"/>
    <w:uiPriority w:val="99"/>
    <w:qFormat/>
    <w:rsid w:val="00E11C41"/>
    <w:pPr>
      <w:spacing w:before="0"/>
    </w:pPr>
    <w:rPr>
      <w:rFonts w:cs="Arial"/>
      <w:sz w:val="16"/>
      <w:szCs w:val="16"/>
      <w:lang w:val="en-US" w:eastAsia="en-US"/>
    </w:rPr>
  </w:style>
  <w:style w:type="character" w:customStyle="1" w:styleId="FootnoteTextChar">
    <w:name w:val="Footnote Text Char"/>
    <w:aliases w:val="fn Char,Footnote Text Char2 Char1 Char,Footnote Text Char1 Char1 Char Char,Footnote Text Char Char5 Char Char Char,Footnote Text Char2 Char1 Char Char Char Char,Footnote Text Char Char5 Char Char Char Char Char,ALTS FOOTNOTE Char"/>
    <w:basedOn w:val="DefaultParagraphFont"/>
    <w:link w:val="FootnoteText"/>
    <w:uiPriority w:val="99"/>
    <w:rsid w:val="00E11C41"/>
    <w:rPr>
      <w:rFonts w:asciiTheme="minorHAnsi" w:hAnsiTheme="minorHAnsi" w:cs="Arial"/>
      <w:sz w:val="16"/>
      <w:szCs w:val="16"/>
      <w:lang w:val="en-US" w:eastAsia="en-US"/>
    </w:rPr>
  </w:style>
  <w:style w:type="character" w:styleId="FootnoteReference">
    <w:name w:val="footnote reference"/>
    <w:aliases w:val="o,(NECG) Footnote Reference"/>
    <w:basedOn w:val="DefaultParagraphFont"/>
    <w:uiPriority w:val="99"/>
    <w:rsid w:val="003F3303"/>
    <w:rPr>
      <w:vertAlign w:val="superscript"/>
    </w:rPr>
  </w:style>
  <w:style w:type="paragraph" w:customStyle="1" w:styleId="bt">
    <w:name w:val="bt"/>
    <w:link w:val="btChar"/>
    <w:qFormat/>
    <w:rsid w:val="00A31A60"/>
    <w:pPr>
      <w:spacing w:before="180" w:after="240" w:line="270" w:lineRule="exact"/>
    </w:pPr>
    <w:rPr>
      <w:rFonts w:ascii="Calibri" w:hAnsi="Calibri"/>
      <w:szCs w:val="24"/>
    </w:rPr>
  </w:style>
  <w:style w:type="paragraph" w:customStyle="1" w:styleId="bodybullets">
    <w:name w:val="^body bullets"/>
    <w:basedOn w:val="Normal"/>
    <w:qFormat/>
    <w:rsid w:val="00A31A60"/>
    <w:pPr>
      <w:numPr>
        <w:numId w:val="13"/>
      </w:numPr>
      <w:spacing w:after="120"/>
    </w:pPr>
    <w:rPr>
      <w:rFonts w:eastAsia="MS Mincho" w:cs="Arial"/>
      <w:color w:val="000000"/>
      <w:lang w:eastAsia="en-US"/>
    </w:rPr>
  </w:style>
  <w:style w:type="paragraph" w:customStyle="1" w:styleId="Heading20">
    <w:name w:val="^Heading 2"/>
    <w:basedOn w:val="Heading2"/>
    <w:link w:val="Heading2Char0"/>
    <w:qFormat/>
    <w:rsid w:val="00D61010"/>
    <w:pPr>
      <w:numPr>
        <w:ilvl w:val="0"/>
        <w:numId w:val="0"/>
      </w:numPr>
    </w:pPr>
    <w:rPr>
      <w:rFonts w:ascii="DINOT-Medium" w:eastAsia="MS Gothic" w:hAnsi="DINOT-Medium" w:cs="Times New Roman"/>
      <w:color w:val="E7CF66"/>
      <w:sz w:val="26"/>
      <w:szCs w:val="26"/>
      <w:lang w:val="en-AU"/>
    </w:rPr>
  </w:style>
  <w:style w:type="character" w:customStyle="1" w:styleId="btChar">
    <w:name w:val="bt Char"/>
    <w:basedOn w:val="DefaultParagraphFont"/>
    <w:link w:val="bt"/>
    <w:rsid w:val="00A31A60"/>
    <w:rPr>
      <w:rFonts w:ascii="Calibri" w:hAnsi="Calibri"/>
      <w:szCs w:val="24"/>
      <w:lang w:val="en-AU" w:eastAsia="en-AU" w:bidi="ar-SA"/>
    </w:rPr>
  </w:style>
  <w:style w:type="character" w:customStyle="1" w:styleId="A10">
    <w:name w:val="A10"/>
    <w:uiPriority w:val="99"/>
    <w:rsid w:val="0006461C"/>
    <w:rPr>
      <w:rFonts w:ascii="DINOT-Light" w:hAnsi="DINOT-Light" w:cs="DINOT-Light"/>
      <w:color w:val="221E1F"/>
      <w:sz w:val="19"/>
      <w:szCs w:val="19"/>
    </w:rPr>
  </w:style>
  <w:style w:type="paragraph" w:customStyle="1" w:styleId="Pa18">
    <w:name w:val="Pa18"/>
    <w:basedOn w:val="Default"/>
    <w:next w:val="Default"/>
    <w:uiPriority w:val="99"/>
    <w:rsid w:val="0006461C"/>
    <w:pPr>
      <w:spacing w:line="201" w:lineRule="atLeast"/>
    </w:pPr>
    <w:rPr>
      <w:rFonts w:ascii="DINOT-Bold" w:eastAsia="Calibri" w:hAnsi="DINOT-Bold" w:cs="Times New Roman"/>
      <w:color w:val="auto"/>
      <w:lang w:eastAsia="en-US"/>
    </w:rPr>
  </w:style>
  <w:style w:type="character" w:customStyle="1" w:styleId="Heading9Char">
    <w:name w:val="Heading 9 Char"/>
    <w:basedOn w:val="DefaultParagraphFont"/>
    <w:link w:val="Heading9"/>
    <w:uiPriority w:val="9"/>
    <w:semiHidden/>
    <w:rsid w:val="00CE37C2"/>
    <w:rPr>
      <w:rFonts w:asciiTheme="minorHAnsi" w:hAnsiTheme="minorHAnsi"/>
      <w:i/>
      <w:caps/>
      <w:spacing w:val="10"/>
      <w:szCs w:val="18"/>
    </w:rPr>
  </w:style>
  <w:style w:type="character" w:customStyle="1" w:styleId="Heading1Char">
    <w:name w:val="Heading 1 Char"/>
    <w:basedOn w:val="DefaultParagraphFont"/>
    <w:link w:val="Heading1"/>
    <w:rsid w:val="00B86A8F"/>
    <w:rPr>
      <w:rFonts w:asciiTheme="minorHAnsi" w:eastAsia="MS Gothi" w:hAnsiTheme="minorHAnsi" w:cs="Arial"/>
      <w:b/>
      <w:color w:val="E8C454"/>
      <w:sz w:val="34"/>
      <w:szCs w:val="40"/>
      <w:lang w:val="en-US" w:eastAsia="en-US"/>
    </w:rPr>
  </w:style>
  <w:style w:type="character" w:customStyle="1" w:styleId="Heading2Char">
    <w:name w:val="Heading 2 Char"/>
    <w:basedOn w:val="DefaultParagraphFont"/>
    <w:link w:val="Heading2"/>
    <w:uiPriority w:val="9"/>
    <w:rsid w:val="00655244"/>
    <w:rPr>
      <w:rFonts w:ascii="Calibri" w:eastAsia="MS Gothi" w:hAnsi="Calibri" w:cs="Trebuchet MS"/>
      <w:b/>
      <w:bCs/>
      <w:sz w:val="28"/>
      <w:szCs w:val="22"/>
      <w:lang w:val="en-US" w:eastAsia="en-US"/>
    </w:rPr>
  </w:style>
  <w:style w:type="paragraph" w:styleId="Caption">
    <w:name w:val="caption"/>
    <w:basedOn w:val="bt"/>
    <w:next w:val="bt"/>
    <w:unhideWhenUsed/>
    <w:qFormat/>
    <w:rsid w:val="002963AE"/>
    <w:rPr>
      <w:rFonts w:asciiTheme="minorHAnsi" w:hAnsiTheme="minorHAnsi" w:cs="Calibri"/>
      <w:i/>
    </w:rPr>
  </w:style>
  <w:style w:type="paragraph" w:styleId="Title">
    <w:name w:val="Title"/>
    <w:basedOn w:val="Normal"/>
    <w:next w:val="Normal"/>
    <w:link w:val="TitleChar"/>
    <w:uiPriority w:val="10"/>
    <w:qFormat/>
    <w:rsid w:val="00CE37C2"/>
    <w:pPr>
      <w:pBdr>
        <w:top w:val="single" w:sz="8" w:space="1" w:color="0F243E"/>
        <w:left w:val="single" w:sz="8" w:space="4" w:color="0F243E"/>
        <w:bottom w:val="single" w:sz="8" w:space="1" w:color="0F243E"/>
        <w:right w:val="single" w:sz="8" w:space="4" w:color="0F243E"/>
      </w:pBdr>
      <w:jc w:val="center"/>
    </w:pPr>
    <w:rPr>
      <w:rFonts w:ascii="Franklin Gothic Demi" w:hAnsi="Franklin Gothic Demi"/>
      <w:b/>
      <w:caps/>
      <w:color w:val="0F243E"/>
      <w:spacing w:val="10"/>
      <w:kern w:val="28"/>
      <w:sz w:val="36"/>
      <w:szCs w:val="52"/>
      <w:lang w:val="en-US" w:eastAsia="en-US" w:bidi="en-US"/>
    </w:rPr>
  </w:style>
  <w:style w:type="character" w:customStyle="1" w:styleId="TitleChar">
    <w:name w:val="Title Char"/>
    <w:basedOn w:val="DefaultParagraphFont"/>
    <w:link w:val="Title"/>
    <w:uiPriority w:val="10"/>
    <w:rsid w:val="00CE37C2"/>
    <w:rPr>
      <w:rFonts w:ascii="Franklin Gothic Demi" w:hAnsi="Franklin Gothic Demi"/>
      <w:b/>
      <w:caps/>
      <w:color w:val="0F243E"/>
      <w:spacing w:val="10"/>
      <w:kern w:val="28"/>
      <w:sz w:val="36"/>
      <w:szCs w:val="52"/>
      <w:lang w:val="en-US" w:eastAsia="en-US" w:bidi="en-US"/>
    </w:rPr>
  </w:style>
  <w:style w:type="paragraph" w:styleId="Subtitle">
    <w:name w:val="Subtitle"/>
    <w:basedOn w:val="Normal"/>
    <w:next w:val="Normal"/>
    <w:link w:val="SubtitleChar"/>
    <w:uiPriority w:val="11"/>
    <w:qFormat/>
    <w:rsid w:val="00CE37C2"/>
    <w:pPr>
      <w:spacing w:before="200" w:after="1000"/>
    </w:pPr>
    <w:rPr>
      <w:caps/>
      <w:color w:val="595959"/>
      <w:spacing w:val="10"/>
    </w:rPr>
  </w:style>
  <w:style w:type="character" w:customStyle="1" w:styleId="SubtitleChar">
    <w:name w:val="Subtitle Char"/>
    <w:basedOn w:val="DefaultParagraphFont"/>
    <w:link w:val="Subtitle"/>
    <w:uiPriority w:val="11"/>
    <w:rsid w:val="00CE37C2"/>
    <w:rPr>
      <w:rFonts w:ascii="Calibri" w:hAnsi="Calibri"/>
      <w:caps/>
      <w:color w:val="595959"/>
      <w:spacing w:val="10"/>
      <w:sz w:val="24"/>
      <w:szCs w:val="24"/>
    </w:rPr>
  </w:style>
  <w:style w:type="character" w:styleId="Strong">
    <w:name w:val="Strong"/>
    <w:uiPriority w:val="22"/>
    <w:qFormat/>
    <w:rsid w:val="00E3673C"/>
    <w:rPr>
      <w:rFonts w:ascii="Verdana" w:hAnsi="Verdana"/>
      <w:b/>
      <w:sz w:val="18"/>
    </w:rPr>
  </w:style>
  <w:style w:type="character" w:styleId="Emphasis">
    <w:name w:val="Emphasis"/>
    <w:uiPriority w:val="20"/>
    <w:qFormat/>
    <w:rsid w:val="006E4E4E"/>
    <w:rPr>
      <w:rFonts w:ascii="Verdana" w:hAnsi="Verdana"/>
      <w:i/>
      <w:color w:val="auto"/>
      <w:spacing w:val="5"/>
      <w:sz w:val="18"/>
    </w:rPr>
  </w:style>
  <w:style w:type="paragraph" w:styleId="NoSpacing">
    <w:name w:val="No Spacing"/>
    <w:basedOn w:val="Normal"/>
    <w:link w:val="NoSpacingChar"/>
    <w:uiPriority w:val="1"/>
    <w:qFormat/>
    <w:rsid w:val="00CE37C2"/>
    <w:rPr>
      <w:szCs w:val="20"/>
    </w:rPr>
  </w:style>
  <w:style w:type="paragraph" w:styleId="Quote">
    <w:name w:val="Quote"/>
    <w:basedOn w:val="Normal"/>
    <w:next w:val="Normal"/>
    <w:link w:val="QuoteChar"/>
    <w:uiPriority w:val="29"/>
    <w:qFormat/>
    <w:rsid w:val="00CE37C2"/>
    <w:pPr>
      <w:spacing w:before="200" w:after="200" w:line="276" w:lineRule="auto"/>
    </w:pPr>
    <w:rPr>
      <w:i/>
      <w:iCs/>
      <w:szCs w:val="20"/>
    </w:rPr>
  </w:style>
  <w:style w:type="character" w:customStyle="1" w:styleId="QuoteChar">
    <w:name w:val="Quote Char"/>
    <w:basedOn w:val="DefaultParagraphFont"/>
    <w:link w:val="Quote"/>
    <w:uiPriority w:val="29"/>
    <w:rsid w:val="00CE37C2"/>
    <w:rPr>
      <w:rFonts w:ascii="Calibri" w:hAnsi="Calibri"/>
      <w:i/>
      <w:iCs/>
    </w:rPr>
  </w:style>
  <w:style w:type="paragraph" w:styleId="IntenseQuote">
    <w:name w:val="Intense Quote"/>
    <w:basedOn w:val="Normal"/>
    <w:next w:val="Normal"/>
    <w:link w:val="IntenseQuoteChar"/>
    <w:uiPriority w:val="30"/>
    <w:qFormat/>
    <w:rsid w:val="00CE37C2"/>
    <w:pPr>
      <w:pBdr>
        <w:top w:val="single" w:sz="4" w:space="10" w:color="4F81BD"/>
        <w:left w:val="single" w:sz="4" w:space="10" w:color="4F81BD"/>
      </w:pBdr>
      <w:spacing w:before="200" w:line="276" w:lineRule="auto"/>
      <w:ind w:left="1296" w:right="1152"/>
      <w:jc w:val="both"/>
    </w:pPr>
    <w:rPr>
      <w:i/>
      <w:iCs/>
      <w:color w:val="4F81BD"/>
      <w:szCs w:val="20"/>
    </w:rPr>
  </w:style>
  <w:style w:type="character" w:customStyle="1" w:styleId="IntenseQuoteChar">
    <w:name w:val="Intense Quote Char"/>
    <w:basedOn w:val="DefaultParagraphFont"/>
    <w:link w:val="IntenseQuote"/>
    <w:uiPriority w:val="30"/>
    <w:rsid w:val="00CE37C2"/>
    <w:rPr>
      <w:rFonts w:ascii="Calibri" w:hAnsi="Calibri"/>
      <w:i/>
      <w:iCs/>
      <w:color w:val="4F81BD"/>
    </w:rPr>
  </w:style>
  <w:style w:type="character" w:styleId="SubtleEmphasis">
    <w:name w:val="Subtle Emphasis"/>
    <w:uiPriority w:val="19"/>
    <w:qFormat/>
    <w:rsid w:val="00CE37C2"/>
    <w:rPr>
      <w:i/>
      <w:iCs/>
      <w:color w:val="243F60"/>
    </w:rPr>
  </w:style>
  <w:style w:type="character" w:styleId="IntenseEmphasis">
    <w:name w:val="Intense Emphasis"/>
    <w:uiPriority w:val="21"/>
    <w:qFormat/>
    <w:rsid w:val="00CE37C2"/>
    <w:rPr>
      <w:b/>
      <w:bCs/>
      <w:caps/>
      <w:color w:val="243F60"/>
      <w:spacing w:val="10"/>
    </w:rPr>
  </w:style>
  <w:style w:type="character" w:styleId="SubtleReference">
    <w:name w:val="Subtle Reference"/>
    <w:uiPriority w:val="31"/>
    <w:qFormat/>
    <w:rsid w:val="00CE37C2"/>
    <w:rPr>
      <w:b/>
      <w:bCs/>
      <w:color w:val="4F81BD"/>
    </w:rPr>
  </w:style>
  <w:style w:type="character" w:styleId="IntenseReference">
    <w:name w:val="Intense Reference"/>
    <w:uiPriority w:val="32"/>
    <w:qFormat/>
    <w:rsid w:val="00CE37C2"/>
    <w:rPr>
      <w:b/>
      <w:bCs/>
      <w:i/>
      <w:iCs/>
      <w:caps/>
      <w:color w:val="4F81BD"/>
    </w:rPr>
  </w:style>
  <w:style w:type="character" w:styleId="BookTitle">
    <w:name w:val="Book Title"/>
    <w:uiPriority w:val="33"/>
    <w:qFormat/>
    <w:rsid w:val="00CE37C2"/>
    <w:rPr>
      <w:b/>
      <w:bCs/>
      <w:i/>
      <w:iCs/>
      <w:spacing w:val="9"/>
    </w:rPr>
  </w:style>
  <w:style w:type="paragraph" w:styleId="TOCHeading">
    <w:name w:val="TOC Heading"/>
    <w:basedOn w:val="Heading1"/>
    <w:next w:val="Normal"/>
    <w:uiPriority w:val="39"/>
    <w:unhideWhenUsed/>
    <w:qFormat/>
    <w:rsid w:val="00CE37C2"/>
    <w:pPr>
      <w:numPr>
        <w:numId w:val="0"/>
      </w:numPr>
      <w:pBdr>
        <w:top w:val="single" w:sz="8" w:space="0" w:color="0F243E"/>
        <w:left w:val="single" w:sz="8" w:space="0" w:color="0F243E"/>
        <w:bottom w:val="single" w:sz="8" w:space="0" w:color="0F243E"/>
        <w:right w:val="single" w:sz="8" w:space="0" w:color="0F243E"/>
      </w:pBdr>
      <w:shd w:val="clear" w:color="auto" w:fill="0F243E"/>
      <w:spacing w:before="200" w:after="0" w:line="276" w:lineRule="auto"/>
      <w:outlineLvl w:val="9"/>
    </w:pPr>
    <w:rPr>
      <w:rFonts w:ascii="Franklin Gothic Book" w:eastAsia="Times New Roman" w:hAnsi="Franklin Gothic Book" w:cs="Times New Roman"/>
      <w:bCs/>
      <w:caps/>
      <w:color w:val="FFFFFF"/>
      <w:spacing w:val="15"/>
      <w:sz w:val="22"/>
      <w:szCs w:val="22"/>
      <w:lang w:bidi="en-US"/>
    </w:rPr>
  </w:style>
  <w:style w:type="character" w:customStyle="1" w:styleId="NoSpacingChar">
    <w:name w:val="No Spacing Char"/>
    <w:basedOn w:val="DefaultParagraphFont"/>
    <w:link w:val="NoSpacing"/>
    <w:uiPriority w:val="1"/>
    <w:rsid w:val="00CE37C2"/>
    <w:rPr>
      <w:rFonts w:ascii="Calibri" w:hAnsi="Calibri"/>
    </w:rPr>
  </w:style>
  <w:style w:type="character" w:styleId="Hyperlink">
    <w:name w:val="Hyperlink"/>
    <w:basedOn w:val="DefaultParagraphFont"/>
    <w:uiPriority w:val="99"/>
    <w:unhideWhenUsed/>
    <w:rsid w:val="00CE37C2"/>
    <w:rPr>
      <w:color w:val="0000FF"/>
      <w:u w:val="single"/>
    </w:rPr>
  </w:style>
  <w:style w:type="paragraph" w:customStyle="1" w:styleId="pagedecription">
    <w:name w:val="page_decription"/>
    <w:basedOn w:val="Normal"/>
    <w:rsid w:val="00CE37C2"/>
    <w:pPr>
      <w:spacing w:before="100" w:beforeAutospacing="1" w:after="100" w:afterAutospacing="1"/>
    </w:pPr>
    <w:rPr>
      <w:i/>
      <w:iCs/>
      <w:color w:val="000101"/>
      <w:sz w:val="29"/>
      <w:szCs w:val="29"/>
    </w:rPr>
  </w:style>
  <w:style w:type="paragraph" w:styleId="z-TopofForm">
    <w:name w:val="HTML Top of Form"/>
    <w:basedOn w:val="Normal"/>
    <w:next w:val="Normal"/>
    <w:link w:val="z-TopofFormChar"/>
    <w:hidden/>
    <w:uiPriority w:val="99"/>
    <w:unhideWhenUsed/>
    <w:rsid w:val="00D71A1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D71A1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71A1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D71A12"/>
    <w:rPr>
      <w:rFonts w:ascii="Arial" w:hAnsi="Arial" w:cs="Arial"/>
      <w:vanish/>
      <w:sz w:val="16"/>
      <w:szCs w:val="16"/>
    </w:rPr>
  </w:style>
  <w:style w:type="paragraph" w:customStyle="1" w:styleId="NumberedList">
    <w:name w:val="Numbered List"/>
    <w:basedOn w:val="Normal"/>
    <w:qFormat/>
    <w:rsid w:val="00581B46"/>
    <w:pPr>
      <w:numPr>
        <w:numId w:val="14"/>
      </w:numPr>
      <w:spacing w:before="60"/>
      <w:ind w:left="714" w:hanging="357"/>
    </w:pPr>
  </w:style>
  <w:style w:type="paragraph" w:customStyle="1" w:styleId="ListParagraphSummary">
    <w:name w:val="List Paragraph Summary"/>
    <w:basedOn w:val="Normal"/>
    <w:qFormat/>
    <w:rsid w:val="00AE1327"/>
    <w:pPr>
      <w:numPr>
        <w:numId w:val="10"/>
      </w:numPr>
      <w:spacing w:before="60"/>
    </w:pPr>
    <w:rPr>
      <w:rFonts w:ascii="Calibri" w:hAnsi="Calibri" w:cs="Calibri"/>
      <w:szCs w:val="22"/>
    </w:rPr>
  </w:style>
  <w:style w:type="paragraph" w:styleId="TOC3">
    <w:name w:val="toc 3"/>
    <w:basedOn w:val="Normal"/>
    <w:next w:val="Normal"/>
    <w:autoRedefine/>
    <w:uiPriority w:val="39"/>
    <w:qFormat/>
    <w:rsid w:val="000D766B"/>
    <w:pPr>
      <w:tabs>
        <w:tab w:val="left" w:pos="1560"/>
        <w:tab w:val="right" w:leader="dot" w:pos="9781"/>
      </w:tabs>
      <w:spacing w:before="80" w:after="80"/>
      <w:ind w:left="851" w:hanging="142"/>
    </w:pPr>
    <w:rPr>
      <w:noProof/>
    </w:rPr>
  </w:style>
  <w:style w:type="paragraph" w:styleId="ListNumber2">
    <w:name w:val="List Number 2"/>
    <w:basedOn w:val="bt"/>
    <w:uiPriority w:val="99"/>
    <w:unhideWhenUsed/>
    <w:qFormat/>
    <w:rsid w:val="00B52C7D"/>
    <w:pPr>
      <w:numPr>
        <w:numId w:val="16"/>
      </w:numPr>
      <w:tabs>
        <w:tab w:val="clear" w:pos="643"/>
        <w:tab w:val="num" w:pos="1134"/>
      </w:tabs>
      <w:ind w:left="1134" w:hanging="283"/>
      <w:contextualSpacing/>
    </w:pPr>
  </w:style>
  <w:style w:type="paragraph" w:styleId="ListNumber">
    <w:name w:val="List Number"/>
    <w:basedOn w:val="bt"/>
    <w:uiPriority w:val="99"/>
    <w:unhideWhenUsed/>
    <w:qFormat/>
    <w:rsid w:val="00DE56B4"/>
    <w:pPr>
      <w:numPr>
        <w:numId w:val="17"/>
      </w:numPr>
      <w:tabs>
        <w:tab w:val="clear" w:pos="360"/>
        <w:tab w:val="num" w:pos="851"/>
      </w:tabs>
      <w:ind w:left="851" w:hanging="284"/>
      <w:contextualSpacing/>
    </w:pPr>
  </w:style>
  <w:style w:type="paragraph" w:customStyle="1" w:styleId="btbold">
    <w:name w:val="bt_bold"/>
    <w:basedOn w:val="bt"/>
    <w:next w:val="bt"/>
    <w:qFormat/>
    <w:rsid w:val="00DE56B4"/>
    <w:pPr>
      <w:spacing w:after="120"/>
    </w:pPr>
    <w:rPr>
      <w:b/>
      <w:sz w:val="24"/>
    </w:rPr>
  </w:style>
  <w:style w:type="paragraph" w:styleId="Revision">
    <w:name w:val="Revision"/>
    <w:hidden/>
    <w:uiPriority w:val="99"/>
    <w:semiHidden/>
    <w:rsid w:val="003D3883"/>
    <w:rPr>
      <w:rFonts w:ascii="Calibri" w:hAnsi="Calibri"/>
      <w:sz w:val="22"/>
      <w:szCs w:val="24"/>
    </w:rPr>
  </w:style>
  <w:style w:type="character" w:customStyle="1" w:styleId="ListParagraphChar">
    <w:name w:val="List Paragraph Char"/>
    <w:aliases w:val="Bullet List Char"/>
    <w:link w:val="ListParagraph"/>
    <w:uiPriority w:val="99"/>
    <w:locked/>
    <w:rsid w:val="004E348F"/>
    <w:rPr>
      <w:rFonts w:asciiTheme="minorHAnsi" w:hAnsiTheme="minorHAnsi"/>
      <w:szCs w:val="16"/>
      <w:lang w:val="en-US" w:eastAsia="en-US"/>
    </w:rPr>
  </w:style>
  <w:style w:type="paragraph" w:styleId="TOC4">
    <w:name w:val="toc 4"/>
    <w:basedOn w:val="Normal"/>
    <w:next w:val="Normal"/>
    <w:autoRedefine/>
    <w:uiPriority w:val="39"/>
    <w:unhideWhenUsed/>
    <w:rsid w:val="00871E7A"/>
    <w:pPr>
      <w:spacing w:before="60" w:after="60" w:line="276" w:lineRule="auto"/>
      <w:ind w:left="113"/>
    </w:pPr>
    <w:rPr>
      <w:rFonts w:ascii="Arial" w:eastAsiaTheme="minorEastAsia" w:hAnsi="Arial" w:cstheme="minorBidi"/>
      <w:b/>
      <w:color w:val="595959" w:themeColor="text1" w:themeTint="A6"/>
      <w:szCs w:val="22"/>
    </w:rPr>
  </w:style>
  <w:style w:type="paragraph" w:styleId="TOC5">
    <w:name w:val="toc 5"/>
    <w:basedOn w:val="Normal"/>
    <w:next w:val="Normal"/>
    <w:autoRedefine/>
    <w:uiPriority w:val="39"/>
    <w:unhideWhenUsed/>
    <w:rsid w:val="0030315F"/>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30315F"/>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30315F"/>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30315F"/>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30315F"/>
    <w:pPr>
      <w:spacing w:after="100" w:line="276" w:lineRule="auto"/>
      <w:ind w:left="1760"/>
    </w:pPr>
    <w:rPr>
      <w:rFonts w:eastAsiaTheme="minorEastAsia" w:cstheme="minorBidi"/>
      <w:sz w:val="22"/>
      <w:szCs w:val="22"/>
    </w:rPr>
  </w:style>
  <w:style w:type="paragraph" w:customStyle="1" w:styleId="AF9C0D89C6C84DA28525CD0352CAF9E2">
    <w:name w:val="AF9C0D89C6C84DA28525CD0352CAF9E2"/>
    <w:rsid w:val="007C60DE"/>
    <w:pPr>
      <w:spacing w:after="200" w:line="276" w:lineRule="auto"/>
    </w:pPr>
    <w:rPr>
      <w:rFonts w:asciiTheme="minorHAnsi" w:eastAsiaTheme="minorEastAsia" w:hAnsiTheme="minorHAnsi" w:cstheme="minorBidi"/>
      <w:sz w:val="22"/>
      <w:szCs w:val="22"/>
      <w:lang w:val="en-US" w:eastAsia="en-US"/>
    </w:rPr>
  </w:style>
  <w:style w:type="paragraph" w:styleId="TableofFigures">
    <w:name w:val="table of figures"/>
    <w:basedOn w:val="Normal"/>
    <w:next w:val="Normal"/>
    <w:autoRedefine/>
    <w:uiPriority w:val="99"/>
    <w:qFormat/>
    <w:rsid w:val="000D766B"/>
    <w:pPr>
      <w:tabs>
        <w:tab w:val="right" w:leader="dot" w:pos="9781"/>
      </w:tabs>
      <w:spacing w:before="80" w:after="80"/>
    </w:pPr>
    <w:rPr>
      <w:noProof/>
    </w:rPr>
  </w:style>
  <w:style w:type="character" w:styleId="FollowedHyperlink">
    <w:name w:val="FollowedHyperlink"/>
    <w:basedOn w:val="DefaultParagraphFont"/>
    <w:rsid w:val="00335A31"/>
    <w:rPr>
      <w:color w:val="800080" w:themeColor="followedHyperlink"/>
      <w:u w:val="single"/>
    </w:rPr>
  </w:style>
  <w:style w:type="character" w:styleId="PageNumber">
    <w:name w:val="page number"/>
    <w:basedOn w:val="DefaultParagraphFont"/>
    <w:rsid w:val="00AC7AEC"/>
  </w:style>
  <w:style w:type="paragraph" w:customStyle="1" w:styleId="Source">
    <w:name w:val="Source"/>
    <w:basedOn w:val="bt"/>
    <w:next w:val="bt"/>
    <w:link w:val="SourceChar"/>
    <w:qFormat/>
    <w:rsid w:val="005E01DE"/>
    <w:pPr>
      <w:spacing w:before="0" w:after="0" w:line="240" w:lineRule="auto"/>
    </w:pPr>
    <w:rPr>
      <w:rFonts w:asciiTheme="minorHAnsi" w:hAnsiTheme="minorHAnsi"/>
      <w:i/>
      <w:noProof/>
      <w:sz w:val="18"/>
      <w:szCs w:val="16"/>
    </w:rPr>
  </w:style>
  <w:style w:type="paragraph" w:customStyle="1" w:styleId="HeaderStyle">
    <w:name w:val="HeaderStyle"/>
    <w:basedOn w:val="Heading20"/>
    <w:link w:val="HeaderStyleChar"/>
    <w:qFormat/>
    <w:rsid w:val="00F12CBA"/>
    <w:pPr>
      <w:spacing w:before="0" w:after="0"/>
    </w:pPr>
    <w:rPr>
      <w:rFonts w:ascii="Verdana" w:hAnsi="Verdana"/>
      <w:noProof/>
      <w:sz w:val="20"/>
      <w:lang w:val="en-US"/>
    </w:rPr>
  </w:style>
  <w:style w:type="character" w:customStyle="1" w:styleId="SourceChar">
    <w:name w:val="Source Char"/>
    <w:basedOn w:val="DefaultParagraphFont"/>
    <w:link w:val="Source"/>
    <w:rsid w:val="005E01DE"/>
    <w:rPr>
      <w:rFonts w:asciiTheme="minorHAnsi" w:hAnsiTheme="minorHAnsi"/>
      <w:i/>
      <w:noProof/>
      <w:sz w:val="18"/>
      <w:szCs w:val="16"/>
    </w:rPr>
  </w:style>
  <w:style w:type="character" w:customStyle="1" w:styleId="Heading2Char0">
    <w:name w:val="^Heading 2 Char"/>
    <w:basedOn w:val="Heading2Char"/>
    <w:link w:val="Heading20"/>
    <w:rsid w:val="00F12CBA"/>
    <w:rPr>
      <w:rFonts w:ascii="DINOT-Medium" w:eastAsia="MS Gothic" w:hAnsi="DINOT-Medium" w:cs="Trebuchet MS"/>
      <w:b/>
      <w:bCs/>
      <w:color w:val="E7CF66"/>
      <w:sz w:val="26"/>
      <w:szCs w:val="26"/>
      <w:lang w:val="en-US" w:eastAsia="en-US"/>
    </w:rPr>
  </w:style>
  <w:style w:type="character" w:customStyle="1" w:styleId="HeaderStyleChar">
    <w:name w:val="HeaderStyle Char"/>
    <w:basedOn w:val="Heading2Char0"/>
    <w:link w:val="HeaderStyle"/>
    <w:rsid w:val="00F12CBA"/>
    <w:rPr>
      <w:rFonts w:ascii="Verdana" w:eastAsia="MS Gothic" w:hAnsi="Verdana" w:cs="Trebuchet MS"/>
      <w:b/>
      <w:bCs/>
      <w:noProof/>
      <w:color w:val="E7CF66"/>
      <w:sz w:val="26"/>
      <w:szCs w:val="26"/>
      <w:lang w:val="en-US" w:eastAsia="en-US"/>
    </w:rPr>
  </w:style>
  <w:style w:type="paragraph" w:styleId="ListBullet2">
    <w:name w:val="List Bullet 2"/>
    <w:basedOn w:val="Normal"/>
    <w:rsid w:val="004D424D"/>
    <w:pPr>
      <w:numPr>
        <w:numId w:val="20"/>
      </w:numPr>
      <w:spacing w:before="40" w:after="240"/>
      <w:ind w:left="811" w:hanging="357"/>
      <w:contextualSpacing/>
    </w:pPr>
  </w:style>
  <w:style w:type="paragraph" w:styleId="ListBullet">
    <w:name w:val="List Bullet"/>
    <w:basedOn w:val="Normal"/>
    <w:rsid w:val="004D424D"/>
    <w:pPr>
      <w:numPr>
        <w:numId w:val="19"/>
      </w:numPr>
      <w:ind w:left="584" w:hanging="357"/>
      <w:contextualSpacing/>
    </w:pPr>
  </w:style>
  <w:style w:type="paragraph" w:customStyle="1" w:styleId="TableofContents-heading">
    <w:name w:val="TableofContents-heading"/>
    <w:basedOn w:val="TOC1"/>
    <w:link w:val="TableofContents-headingChar"/>
    <w:qFormat/>
    <w:rsid w:val="00D34F87"/>
    <w:pPr>
      <w:tabs>
        <w:tab w:val="left" w:pos="480"/>
        <w:tab w:val="right" w:pos="8280"/>
      </w:tabs>
    </w:pPr>
    <w:rPr>
      <w:rFonts w:eastAsia="Times New Roman" w:cstheme="minorBidi"/>
      <w:b/>
      <w:color w:val="E8C454"/>
      <w:sz w:val="34"/>
      <w:szCs w:val="34"/>
      <w:lang w:eastAsia="en-AU"/>
    </w:rPr>
  </w:style>
  <w:style w:type="character" w:customStyle="1" w:styleId="TableofContents-headingChar">
    <w:name w:val="TableofContents-heading Char"/>
    <w:basedOn w:val="DefaultParagraphFont"/>
    <w:link w:val="TableofContents-heading"/>
    <w:rsid w:val="00D34F87"/>
    <w:rPr>
      <w:rFonts w:asciiTheme="minorHAnsi" w:hAnsiTheme="minorHAnsi" w:cstheme="minorBidi"/>
      <w:b/>
      <w:noProof/>
      <w:color w:val="E8C454"/>
      <w:sz w:val="34"/>
      <w:szCs w:val="34"/>
    </w:rPr>
  </w:style>
  <w:style w:type="paragraph" w:customStyle="1" w:styleId="Subsubheading">
    <w:name w:val="Sub sub heading"/>
    <w:basedOn w:val="Heading3"/>
    <w:rsid w:val="00D34F87"/>
    <w:pPr>
      <w:keepNext/>
      <w:numPr>
        <w:numId w:val="22"/>
      </w:numPr>
      <w:tabs>
        <w:tab w:val="clear" w:pos="907"/>
        <w:tab w:val="clear" w:pos="4536"/>
        <w:tab w:val="left" w:pos="900"/>
      </w:tabs>
      <w:spacing w:before="360" w:after="120"/>
      <w:ind w:left="709" w:hanging="709"/>
    </w:pPr>
    <w:rPr>
      <w:rFonts w:ascii="Calibri" w:eastAsia="Times New Roman" w:hAnsi="Calibri" w:cs="Times New Roman"/>
      <w:b w:val="0"/>
      <w:bCs/>
      <w:iCs w:val="0"/>
      <w:szCs w:val="18"/>
      <w:lang w:val="en-AU"/>
    </w:rPr>
  </w:style>
  <w:style w:type="paragraph" w:styleId="List">
    <w:name w:val="List"/>
    <w:basedOn w:val="Normal"/>
    <w:rsid w:val="008C43A2"/>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2150">
      <w:bodyDiv w:val="1"/>
      <w:marLeft w:val="0"/>
      <w:marRight w:val="0"/>
      <w:marTop w:val="0"/>
      <w:marBottom w:val="0"/>
      <w:divBdr>
        <w:top w:val="none" w:sz="0" w:space="0" w:color="auto"/>
        <w:left w:val="none" w:sz="0" w:space="0" w:color="auto"/>
        <w:bottom w:val="none" w:sz="0" w:space="0" w:color="auto"/>
        <w:right w:val="none" w:sz="0" w:space="0" w:color="auto"/>
      </w:divBdr>
    </w:div>
    <w:div w:id="44302887">
      <w:bodyDiv w:val="1"/>
      <w:marLeft w:val="0"/>
      <w:marRight w:val="0"/>
      <w:marTop w:val="0"/>
      <w:marBottom w:val="0"/>
      <w:divBdr>
        <w:top w:val="none" w:sz="0" w:space="0" w:color="auto"/>
        <w:left w:val="none" w:sz="0" w:space="0" w:color="auto"/>
        <w:bottom w:val="none" w:sz="0" w:space="0" w:color="auto"/>
        <w:right w:val="none" w:sz="0" w:space="0" w:color="auto"/>
      </w:divBdr>
    </w:div>
    <w:div w:id="59443456">
      <w:bodyDiv w:val="1"/>
      <w:marLeft w:val="0"/>
      <w:marRight w:val="0"/>
      <w:marTop w:val="0"/>
      <w:marBottom w:val="0"/>
      <w:divBdr>
        <w:top w:val="none" w:sz="0" w:space="0" w:color="auto"/>
        <w:left w:val="none" w:sz="0" w:space="0" w:color="auto"/>
        <w:bottom w:val="none" w:sz="0" w:space="0" w:color="auto"/>
        <w:right w:val="none" w:sz="0" w:space="0" w:color="auto"/>
      </w:divBdr>
    </w:div>
    <w:div w:id="70009045">
      <w:bodyDiv w:val="1"/>
      <w:marLeft w:val="0"/>
      <w:marRight w:val="0"/>
      <w:marTop w:val="0"/>
      <w:marBottom w:val="0"/>
      <w:divBdr>
        <w:top w:val="none" w:sz="0" w:space="0" w:color="auto"/>
        <w:left w:val="none" w:sz="0" w:space="0" w:color="auto"/>
        <w:bottom w:val="none" w:sz="0" w:space="0" w:color="auto"/>
        <w:right w:val="none" w:sz="0" w:space="0" w:color="auto"/>
      </w:divBdr>
    </w:div>
    <w:div w:id="94526027">
      <w:bodyDiv w:val="1"/>
      <w:marLeft w:val="0"/>
      <w:marRight w:val="0"/>
      <w:marTop w:val="0"/>
      <w:marBottom w:val="0"/>
      <w:divBdr>
        <w:top w:val="none" w:sz="0" w:space="0" w:color="auto"/>
        <w:left w:val="none" w:sz="0" w:space="0" w:color="auto"/>
        <w:bottom w:val="none" w:sz="0" w:space="0" w:color="auto"/>
        <w:right w:val="none" w:sz="0" w:space="0" w:color="auto"/>
      </w:divBdr>
    </w:div>
    <w:div w:id="206456793">
      <w:bodyDiv w:val="1"/>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1387097223">
              <w:marLeft w:val="0"/>
              <w:marRight w:val="0"/>
              <w:marTop w:val="0"/>
              <w:marBottom w:val="0"/>
              <w:divBdr>
                <w:top w:val="none" w:sz="0" w:space="0" w:color="auto"/>
                <w:left w:val="none" w:sz="0" w:space="0" w:color="auto"/>
                <w:bottom w:val="none" w:sz="0" w:space="0" w:color="auto"/>
                <w:right w:val="none" w:sz="0" w:space="0" w:color="auto"/>
              </w:divBdr>
              <w:divsChild>
                <w:div w:id="1680083927">
                  <w:marLeft w:val="0"/>
                  <w:marRight w:val="0"/>
                  <w:marTop w:val="0"/>
                  <w:marBottom w:val="0"/>
                  <w:divBdr>
                    <w:top w:val="none" w:sz="0" w:space="0" w:color="auto"/>
                    <w:left w:val="none" w:sz="0" w:space="0" w:color="auto"/>
                    <w:bottom w:val="none" w:sz="0" w:space="0" w:color="auto"/>
                    <w:right w:val="none" w:sz="0" w:space="0" w:color="auto"/>
                  </w:divBdr>
                  <w:divsChild>
                    <w:div w:id="369457396">
                      <w:marLeft w:val="0"/>
                      <w:marRight w:val="0"/>
                      <w:marTop w:val="0"/>
                      <w:marBottom w:val="0"/>
                      <w:divBdr>
                        <w:top w:val="none" w:sz="0" w:space="0" w:color="auto"/>
                        <w:left w:val="none" w:sz="0" w:space="0" w:color="auto"/>
                        <w:bottom w:val="none" w:sz="0" w:space="0" w:color="auto"/>
                        <w:right w:val="none" w:sz="0" w:space="0" w:color="auto"/>
                      </w:divBdr>
                      <w:divsChild>
                        <w:div w:id="594096939">
                          <w:marLeft w:val="0"/>
                          <w:marRight w:val="0"/>
                          <w:marTop w:val="0"/>
                          <w:marBottom w:val="0"/>
                          <w:divBdr>
                            <w:top w:val="none" w:sz="0" w:space="0" w:color="auto"/>
                            <w:left w:val="none" w:sz="0" w:space="0" w:color="auto"/>
                            <w:bottom w:val="none" w:sz="0" w:space="0" w:color="auto"/>
                            <w:right w:val="none" w:sz="0" w:space="0" w:color="auto"/>
                          </w:divBdr>
                          <w:divsChild>
                            <w:div w:id="1885680267">
                              <w:marLeft w:val="0"/>
                              <w:marRight w:val="0"/>
                              <w:marTop w:val="0"/>
                              <w:marBottom w:val="0"/>
                              <w:divBdr>
                                <w:top w:val="none" w:sz="0" w:space="0" w:color="auto"/>
                                <w:left w:val="none" w:sz="0" w:space="0" w:color="auto"/>
                                <w:bottom w:val="none" w:sz="0" w:space="0" w:color="auto"/>
                                <w:right w:val="none" w:sz="0" w:space="0" w:color="auto"/>
                              </w:divBdr>
                              <w:divsChild>
                                <w:div w:id="2014408841">
                                  <w:marLeft w:val="0"/>
                                  <w:marRight w:val="0"/>
                                  <w:marTop w:val="0"/>
                                  <w:marBottom w:val="0"/>
                                  <w:divBdr>
                                    <w:top w:val="none" w:sz="0" w:space="0" w:color="auto"/>
                                    <w:left w:val="none" w:sz="0" w:space="0" w:color="auto"/>
                                    <w:bottom w:val="none" w:sz="0" w:space="0" w:color="auto"/>
                                    <w:right w:val="none" w:sz="0" w:space="0" w:color="auto"/>
                                  </w:divBdr>
                                  <w:divsChild>
                                    <w:div w:id="1035160528">
                                      <w:marLeft w:val="0"/>
                                      <w:marRight w:val="0"/>
                                      <w:marTop w:val="0"/>
                                      <w:marBottom w:val="0"/>
                                      <w:divBdr>
                                        <w:top w:val="none" w:sz="0" w:space="0" w:color="auto"/>
                                        <w:left w:val="none" w:sz="0" w:space="0" w:color="auto"/>
                                        <w:bottom w:val="none" w:sz="0" w:space="0" w:color="auto"/>
                                        <w:right w:val="none" w:sz="0" w:space="0" w:color="auto"/>
                                      </w:divBdr>
                                      <w:divsChild>
                                        <w:div w:id="298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8952998">
      <w:bodyDiv w:val="1"/>
      <w:marLeft w:val="0"/>
      <w:marRight w:val="0"/>
      <w:marTop w:val="0"/>
      <w:marBottom w:val="0"/>
      <w:divBdr>
        <w:top w:val="none" w:sz="0" w:space="0" w:color="auto"/>
        <w:left w:val="none" w:sz="0" w:space="0" w:color="auto"/>
        <w:bottom w:val="none" w:sz="0" w:space="0" w:color="auto"/>
        <w:right w:val="none" w:sz="0" w:space="0" w:color="auto"/>
      </w:divBdr>
    </w:div>
    <w:div w:id="347026481">
      <w:bodyDiv w:val="1"/>
      <w:marLeft w:val="0"/>
      <w:marRight w:val="0"/>
      <w:marTop w:val="0"/>
      <w:marBottom w:val="0"/>
      <w:divBdr>
        <w:top w:val="none" w:sz="0" w:space="0" w:color="auto"/>
        <w:left w:val="none" w:sz="0" w:space="0" w:color="auto"/>
        <w:bottom w:val="none" w:sz="0" w:space="0" w:color="auto"/>
        <w:right w:val="none" w:sz="0" w:space="0" w:color="auto"/>
      </w:divBdr>
    </w:div>
    <w:div w:id="378281363">
      <w:bodyDiv w:val="1"/>
      <w:marLeft w:val="0"/>
      <w:marRight w:val="0"/>
      <w:marTop w:val="0"/>
      <w:marBottom w:val="0"/>
      <w:divBdr>
        <w:top w:val="none" w:sz="0" w:space="0" w:color="auto"/>
        <w:left w:val="none" w:sz="0" w:space="0" w:color="auto"/>
        <w:bottom w:val="none" w:sz="0" w:space="0" w:color="auto"/>
        <w:right w:val="none" w:sz="0" w:space="0" w:color="auto"/>
      </w:divBdr>
    </w:div>
    <w:div w:id="437146612">
      <w:bodyDiv w:val="1"/>
      <w:marLeft w:val="0"/>
      <w:marRight w:val="0"/>
      <w:marTop w:val="0"/>
      <w:marBottom w:val="0"/>
      <w:divBdr>
        <w:top w:val="none" w:sz="0" w:space="0" w:color="auto"/>
        <w:left w:val="none" w:sz="0" w:space="0" w:color="auto"/>
        <w:bottom w:val="none" w:sz="0" w:space="0" w:color="auto"/>
        <w:right w:val="none" w:sz="0" w:space="0" w:color="auto"/>
      </w:divBdr>
      <w:divsChild>
        <w:div w:id="303313574">
          <w:marLeft w:val="0"/>
          <w:marRight w:val="0"/>
          <w:marTop w:val="0"/>
          <w:marBottom w:val="0"/>
          <w:divBdr>
            <w:top w:val="none" w:sz="0" w:space="0" w:color="auto"/>
            <w:left w:val="none" w:sz="0" w:space="0" w:color="auto"/>
            <w:bottom w:val="none" w:sz="0" w:space="0" w:color="auto"/>
            <w:right w:val="none" w:sz="0" w:space="0" w:color="auto"/>
          </w:divBdr>
          <w:divsChild>
            <w:div w:id="1381127424">
              <w:marLeft w:val="0"/>
              <w:marRight w:val="0"/>
              <w:marTop w:val="0"/>
              <w:marBottom w:val="0"/>
              <w:divBdr>
                <w:top w:val="none" w:sz="0" w:space="0" w:color="auto"/>
                <w:left w:val="none" w:sz="0" w:space="0" w:color="auto"/>
                <w:bottom w:val="none" w:sz="0" w:space="0" w:color="auto"/>
                <w:right w:val="none" w:sz="0" w:space="0" w:color="auto"/>
              </w:divBdr>
              <w:divsChild>
                <w:div w:id="1597709519">
                  <w:marLeft w:val="0"/>
                  <w:marRight w:val="0"/>
                  <w:marTop w:val="0"/>
                  <w:marBottom w:val="0"/>
                  <w:divBdr>
                    <w:top w:val="none" w:sz="0" w:space="0" w:color="auto"/>
                    <w:left w:val="none" w:sz="0" w:space="0" w:color="auto"/>
                    <w:bottom w:val="none" w:sz="0" w:space="0" w:color="auto"/>
                    <w:right w:val="none" w:sz="0" w:space="0" w:color="auto"/>
                  </w:divBdr>
                  <w:divsChild>
                    <w:div w:id="5794869">
                      <w:marLeft w:val="0"/>
                      <w:marRight w:val="0"/>
                      <w:marTop w:val="0"/>
                      <w:marBottom w:val="0"/>
                      <w:divBdr>
                        <w:top w:val="none" w:sz="0" w:space="0" w:color="auto"/>
                        <w:left w:val="none" w:sz="0" w:space="0" w:color="auto"/>
                        <w:bottom w:val="none" w:sz="0" w:space="0" w:color="auto"/>
                        <w:right w:val="none" w:sz="0" w:space="0" w:color="auto"/>
                      </w:divBdr>
                      <w:divsChild>
                        <w:div w:id="180364614">
                          <w:marLeft w:val="0"/>
                          <w:marRight w:val="0"/>
                          <w:marTop w:val="0"/>
                          <w:marBottom w:val="0"/>
                          <w:divBdr>
                            <w:top w:val="none" w:sz="0" w:space="0" w:color="auto"/>
                            <w:left w:val="none" w:sz="0" w:space="0" w:color="auto"/>
                            <w:bottom w:val="none" w:sz="0" w:space="0" w:color="auto"/>
                            <w:right w:val="none" w:sz="0" w:space="0" w:color="auto"/>
                          </w:divBdr>
                          <w:divsChild>
                            <w:div w:id="292835047">
                              <w:marLeft w:val="0"/>
                              <w:marRight w:val="0"/>
                              <w:marTop w:val="0"/>
                              <w:marBottom w:val="0"/>
                              <w:divBdr>
                                <w:top w:val="none" w:sz="0" w:space="0" w:color="auto"/>
                                <w:left w:val="none" w:sz="0" w:space="0" w:color="auto"/>
                                <w:bottom w:val="none" w:sz="0" w:space="0" w:color="auto"/>
                                <w:right w:val="none" w:sz="0" w:space="0" w:color="auto"/>
                              </w:divBdr>
                              <w:divsChild>
                                <w:div w:id="74163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804209">
      <w:bodyDiv w:val="1"/>
      <w:marLeft w:val="0"/>
      <w:marRight w:val="0"/>
      <w:marTop w:val="0"/>
      <w:marBottom w:val="0"/>
      <w:divBdr>
        <w:top w:val="none" w:sz="0" w:space="0" w:color="auto"/>
        <w:left w:val="none" w:sz="0" w:space="0" w:color="auto"/>
        <w:bottom w:val="none" w:sz="0" w:space="0" w:color="auto"/>
        <w:right w:val="none" w:sz="0" w:space="0" w:color="auto"/>
      </w:divBdr>
      <w:divsChild>
        <w:div w:id="685057838">
          <w:marLeft w:val="0"/>
          <w:marRight w:val="0"/>
          <w:marTop w:val="0"/>
          <w:marBottom w:val="0"/>
          <w:divBdr>
            <w:top w:val="none" w:sz="0" w:space="0" w:color="auto"/>
            <w:left w:val="none" w:sz="0" w:space="0" w:color="auto"/>
            <w:bottom w:val="none" w:sz="0" w:space="0" w:color="auto"/>
            <w:right w:val="none" w:sz="0" w:space="0" w:color="auto"/>
          </w:divBdr>
          <w:divsChild>
            <w:div w:id="589898135">
              <w:marLeft w:val="0"/>
              <w:marRight w:val="0"/>
              <w:marTop w:val="0"/>
              <w:marBottom w:val="0"/>
              <w:divBdr>
                <w:top w:val="none" w:sz="0" w:space="0" w:color="auto"/>
                <w:left w:val="none" w:sz="0" w:space="0" w:color="auto"/>
                <w:bottom w:val="none" w:sz="0" w:space="0" w:color="auto"/>
                <w:right w:val="none" w:sz="0" w:space="0" w:color="auto"/>
              </w:divBdr>
              <w:divsChild>
                <w:div w:id="104105453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sChild>
                        <w:div w:id="683824717">
                          <w:marLeft w:val="0"/>
                          <w:marRight w:val="0"/>
                          <w:marTop w:val="0"/>
                          <w:marBottom w:val="0"/>
                          <w:divBdr>
                            <w:top w:val="none" w:sz="0" w:space="0" w:color="auto"/>
                            <w:left w:val="none" w:sz="0" w:space="0" w:color="auto"/>
                            <w:bottom w:val="none" w:sz="0" w:space="0" w:color="auto"/>
                            <w:right w:val="none" w:sz="0" w:space="0" w:color="auto"/>
                          </w:divBdr>
                          <w:divsChild>
                            <w:div w:id="1220555153">
                              <w:marLeft w:val="0"/>
                              <w:marRight w:val="0"/>
                              <w:marTop w:val="0"/>
                              <w:marBottom w:val="0"/>
                              <w:divBdr>
                                <w:top w:val="none" w:sz="0" w:space="0" w:color="auto"/>
                                <w:left w:val="none" w:sz="0" w:space="0" w:color="auto"/>
                                <w:bottom w:val="none" w:sz="0" w:space="0" w:color="auto"/>
                                <w:right w:val="none" w:sz="0" w:space="0" w:color="auto"/>
                              </w:divBdr>
                              <w:divsChild>
                                <w:div w:id="285622865">
                                  <w:marLeft w:val="0"/>
                                  <w:marRight w:val="0"/>
                                  <w:marTop w:val="0"/>
                                  <w:marBottom w:val="0"/>
                                  <w:divBdr>
                                    <w:top w:val="none" w:sz="0" w:space="0" w:color="auto"/>
                                    <w:left w:val="none" w:sz="0" w:space="0" w:color="auto"/>
                                    <w:bottom w:val="none" w:sz="0" w:space="0" w:color="auto"/>
                                    <w:right w:val="none" w:sz="0" w:space="0" w:color="auto"/>
                                  </w:divBdr>
                                  <w:divsChild>
                                    <w:div w:id="1641495413">
                                      <w:marLeft w:val="0"/>
                                      <w:marRight w:val="0"/>
                                      <w:marTop w:val="0"/>
                                      <w:marBottom w:val="0"/>
                                      <w:divBdr>
                                        <w:top w:val="none" w:sz="0" w:space="0" w:color="auto"/>
                                        <w:left w:val="none" w:sz="0" w:space="0" w:color="auto"/>
                                        <w:bottom w:val="none" w:sz="0" w:space="0" w:color="auto"/>
                                        <w:right w:val="none" w:sz="0" w:space="0" w:color="auto"/>
                                      </w:divBdr>
                                      <w:divsChild>
                                        <w:div w:id="14830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318676">
      <w:bodyDiv w:val="1"/>
      <w:marLeft w:val="0"/>
      <w:marRight w:val="0"/>
      <w:marTop w:val="0"/>
      <w:marBottom w:val="0"/>
      <w:divBdr>
        <w:top w:val="none" w:sz="0" w:space="0" w:color="auto"/>
        <w:left w:val="none" w:sz="0" w:space="0" w:color="auto"/>
        <w:bottom w:val="none" w:sz="0" w:space="0" w:color="auto"/>
        <w:right w:val="none" w:sz="0" w:space="0" w:color="auto"/>
      </w:divBdr>
      <w:divsChild>
        <w:div w:id="1822429770">
          <w:marLeft w:val="0"/>
          <w:marRight w:val="0"/>
          <w:marTop w:val="0"/>
          <w:marBottom w:val="0"/>
          <w:divBdr>
            <w:top w:val="none" w:sz="0" w:space="0" w:color="auto"/>
            <w:left w:val="none" w:sz="0" w:space="0" w:color="auto"/>
            <w:bottom w:val="none" w:sz="0" w:space="0" w:color="auto"/>
            <w:right w:val="none" w:sz="0" w:space="0" w:color="auto"/>
          </w:divBdr>
          <w:divsChild>
            <w:div w:id="611864161">
              <w:marLeft w:val="0"/>
              <w:marRight w:val="0"/>
              <w:marTop w:val="0"/>
              <w:marBottom w:val="0"/>
              <w:divBdr>
                <w:top w:val="none" w:sz="0" w:space="0" w:color="auto"/>
                <w:left w:val="none" w:sz="0" w:space="0" w:color="auto"/>
                <w:bottom w:val="none" w:sz="0" w:space="0" w:color="auto"/>
                <w:right w:val="none" w:sz="0" w:space="0" w:color="auto"/>
              </w:divBdr>
              <w:divsChild>
                <w:div w:id="1122387560">
                  <w:marLeft w:val="0"/>
                  <w:marRight w:val="0"/>
                  <w:marTop w:val="0"/>
                  <w:marBottom w:val="0"/>
                  <w:divBdr>
                    <w:top w:val="none" w:sz="0" w:space="0" w:color="auto"/>
                    <w:left w:val="none" w:sz="0" w:space="0" w:color="auto"/>
                    <w:bottom w:val="none" w:sz="0" w:space="0" w:color="auto"/>
                    <w:right w:val="none" w:sz="0" w:space="0" w:color="auto"/>
                  </w:divBdr>
                  <w:divsChild>
                    <w:div w:id="1054232063">
                      <w:marLeft w:val="0"/>
                      <w:marRight w:val="0"/>
                      <w:marTop w:val="0"/>
                      <w:marBottom w:val="0"/>
                      <w:divBdr>
                        <w:top w:val="none" w:sz="0" w:space="0" w:color="auto"/>
                        <w:left w:val="none" w:sz="0" w:space="0" w:color="auto"/>
                        <w:bottom w:val="none" w:sz="0" w:space="0" w:color="auto"/>
                        <w:right w:val="none" w:sz="0" w:space="0" w:color="auto"/>
                      </w:divBdr>
                      <w:divsChild>
                        <w:div w:id="1523131116">
                          <w:marLeft w:val="0"/>
                          <w:marRight w:val="0"/>
                          <w:marTop w:val="0"/>
                          <w:marBottom w:val="0"/>
                          <w:divBdr>
                            <w:top w:val="none" w:sz="0" w:space="0" w:color="auto"/>
                            <w:left w:val="none" w:sz="0" w:space="0" w:color="auto"/>
                            <w:bottom w:val="none" w:sz="0" w:space="0" w:color="auto"/>
                            <w:right w:val="none" w:sz="0" w:space="0" w:color="auto"/>
                          </w:divBdr>
                          <w:divsChild>
                            <w:div w:id="85343298">
                              <w:marLeft w:val="0"/>
                              <w:marRight w:val="0"/>
                              <w:marTop w:val="0"/>
                              <w:marBottom w:val="0"/>
                              <w:divBdr>
                                <w:top w:val="none" w:sz="0" w:space="0" w:color="auto"/>
                                <w:left w:val="none" w:sz="0" w:space="0" w:color="auto"/>
                                <w:bottom w:val="none" w:sz="0" w:space="0" w:color="auto"/>
                                <w:right w:val="none" w:sz="0" w:space="0" w:color="auto"/>
                              </w:divBdr>
                              <w:divsChild>
                                <w:div w:id="1112212957">
                                  <w:marLeft w:val="0"/>
                                  <w:marRight w:val="0"/>
                                  <w:marTop w:val="0"/>
                                  <w:marBottom w:val="0"/>
                                  <w:divBdr>
                                    <w:top w:val="none" w:sz="0" w:space="0" w:color="auto"/>
                                    <w:left w:val="none" w:sz="0" w:space="0" w:color="auto"/>
                                    <w:bottom w:val="none" w:sz="0" w:space="0" w:color="auto"/>
                                    <w:right w:val="none" w:sz="0" w:space="0" w:color="auto"/>
                                  </w:divBdr>
                                  <w:divsChild>
                                    <w:div w:id="498934251">
                                      <w:marLeft w:val="0"/>
                                      <w:marRight w:val="0"/>
                                      <w:marTop w:val="0"/>
                                      <w:marBottom w:val="0"/>
                                      <w:divBdr>
                                        <w:top w:val="none" w:sz="0" w:space="0" w:color="auto"/>
                                        <w:left w:val="none" w:sz="0" w:space="0" w:color="auto"/>
                                        <w:bottom w:val="none" w:sz="0" w:space="0" w:color="auto"/>
                                        <w:right w:val="none" w:sz="0" w:space="0" w:color="auto"/>
                                      </w:divBdr>
                                      <w:divsChild>
                                        <w:div w:id="196038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159347">
      <w:bodyDiv w:val="1"/>
      <w:marLeft w:val="0"/>
      <w:marRight w:val="0"/>
      <w:marTop w:val="0"/>
      <w:marBottom w:val="0"/>
      <w:divBdr>
        <w:top w:val="none" w:sz="0" w:space="0" w:color="auto"/>
        <w:left w:val="none" w:sz="0" w:space="0" w:color="auto"/>
        <w:bottom w:val="none" w:sz="0" w:space="0" w:color="auto"/>
        <w:right w:val="none" w:sz="0" w:space="0" w:color="auto"/>
      </w:divBdr>
    </w:div>
    <w:div w:id="517669056">
      <w:bodyDiv w:val="1"/>
      <w:marLeft w:val="0"/>
      <w:marRight w:val="0"/>
      <w:marTop w:val="0"/>
      <w:marBottom w:val="0"/>
      <w:divBdr>
        <w:top w:val="none" w:sz="0" w:space="0" w:color="auto"/>
        <w:left w:val="none" w:sz="0" w:space="0" w:color="auto"/>
        <w:bottom w:val="none" w:sz="0" w:space="0" w:color="auto"/>
        <w:right w:val="none" w:sz="0" w:space="0" w:color="auto"/>
      </w:divBdr>
      <w:divsChild>
        <w:div w:id="135998468">
          <w:marLeft w:val="0"/>
          <w:marRight w:val="0"/>
          <w:marTop w:val="0"/>
          <w:marBottom w:val="0"/>
          <w:divBdr>
            <w:top w:val="none" w:sz="0" w:space="0" w:color="auto"/>
            <w:left w:val="none" w:sz="0" w:space="0" w:color="auto"/>
            <w:bottom w:val="none" w:sz="0" w:space="0" w:color="auto"/>
            <w:right w:val="none" w:sz="0" w:space="0" w:color="auto"/>
          </w:divBdr>
          <w:divsChild>
            <w:div w:id="302587993">
              <w:marLeft w:val="0"/>
              <w:marRight w:val="0"/>
              <w:marTop w:val="0"/>
              <w:marBottom w:val="0"/>
              <w:divBdr>
                <w:top w:val="none" w:sz="0" w:space="0" w:color="auto"/>
                <w:left w:val="none" w:sz="0" w:space="0" w:color="auto"/>
                <w:bottom w:val="none" w:sz="0" w:space="0" w:color="auto"/>
                <w:right w:val="none" w:sz="0" w:space="0" w:color="auto"/>
              </w:divBdr>
              <w:divsChild>
                <w:div w:id="156263461">
                  <w:marLeft w:val="0"/>
                  <w:marRight w:val="0"/>
                  <w:marTop w:val="0"/>
                  <w:marBottom w:val="0"/>
                  <w:divBdr>
                    <w:top w:val="none" w:sz="0" w:space="0" w:color="auto"/>
                    <w:left w:val="none" w:sz="0" w:space="0" w:color="auto"/>
                    <w:bottom w:val="none" w:sz="0" w:space="0" w:color="auto"/>
                    <w:right w:val="none" w:sz="0" w:space="0" w:color="auto"/>
                  </w:divBdr>
                  <w:divsChild>
                    <w:div w:id="1883900689">
                      <w:marLeft w:val="0"/>
                      <w:marRight w:val="0"/>
                      <w:marTop w:val="0"/>
                      <w:marBottom w:val="0"/>
                      <w:divBdr>
                        <w:top w:val="none" w:sz="0" w:space="0" w:color="auto"/>
                        <w:left w:val="none" w:sz="0" w:space="0" w:color="auto"/>
                        <w:bottom w:val="none" w:sz="0" w:space="0" w:color="auto"/>
                        <w:right w:val="none" w:sz="0" w:space="0" w:color="auto"/>
                      </w:divBdr>
                      <w:divsChild>
                        <w:div w:id="451175941">
                          <w:marLeft w:val="0"/>
                          <w:marRight w:val="0"/>
                          <w:marTop w:val="0"/>
                          <w:marBottom w:val="0"/>
                          <w:divBdr>
                            <w:top w:val="none" w:sz="0" w:space="0" w:color="auto"/>
                            <w:left w:val="none" w:sz="0" w:space="0" w:color="auto"/>
                            <w:bottom w:val="none" w:sz="0" w:space="0" w:color="auto"/>
                            <w:right w:val="none" w:sz="0" w:space="0" w:color="auto"/>
                          </w:divBdr>
                          <w:divsChild>
                            <w:div w:id="706375331">
                              <w:marLeft w:val="0"/>
                              <w:marRight w:val="0"/>
                              <w:marTop w:val="0"/>
                              <w:marBottom w:val="0"/>
                              <w:divBdr>
                                <w:top w:val="none" w:sz="0" w:space="0" w:color="auto"/>
                                <w:left w:val="none" w:sz="0" w:space="0" w:color="auto"/>
                                <w:bottom w:val="none" w:sz="0" w:space="0" w:color="auto"/>
                                <w:right w:val="none" w:sz="0" w:space="0" w:color="auto"/>
                              </w:divBdr>
                              <w:divsChild>
                                <w:div w:id="177281687">
                                  <w:marLeft w:val="0"/>
                                  <w:marRight w:val="0"/>
                                  <w:marTop w:val="0"/>
                                  <w:marBottom w:val="0"/>
                                  <w:divBdr>
                                    <w:top w:val="none" w:sz="0" w:space="0" w:color="auto"/>
                                    <w:left w:val="none" w:sz="0" w:space="0" w:color="auto"/>
                                    <w:bottom w:val="none" w:sz="0" w:space="0" w:color="auto"/>
                                    <w:right w:val="none" w:sz="0" w:space="0" w:color="auto"/>
                                  </w:divBdr>
                                  <w:divsChild>
                                    <w:div w:id="130369738">
                                      <w:marLeft w:val="0"/>
                                      <w:marRight w:val="0"/>
                                      <w:marTop w:val="0"/>
                                      <w:marBottom w:val="0"/>
                                      <w:divBdr>
                                        <w:top w:val="none" w:sz="0" w:space="0" w:color="auto"/>
                                        <w:left w:val="none" w:sz="0" w:space="0" w:color="auto"/>
                                        <w:bottom w:val="none" w:sz="0" w:space="0" w:color="auto"/>
                                        <w:right w:val="none" w:sz="0" w:space="0" w:color="auto"/>
                                      </w:divBdr>
                                      <w:divsChild>
                                        <w:div w:id="18955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1941042">
      <w:bodyDiv w:val="1"/>
      <w:marLeft w:val="0"/>
      <w:marRight w:val="0"/>
      <w:marTop w:val="0"/>
      <w:marBottom w:val="0"/>
      <w:divBdr>
        <w:top w:val="none" w:sz="0" w:space="0" w:color="auto"/>
        <w:left w:val="none" w:sz="0" w:space="0" w:color="auto"/>
        <w:bottom w:val="none" w:sz="0" w:space="0" w:color="auto"/>
        <w:right w:val="none" w:sz="0" w:space="0" w:color="auto"/>
      </w:divBdr>
    </w:div>
    <w:div w:id="534470291">
      <w:bodyDiv w:val="1"/>
      <w:marLeft w:val="0"/>
      <w:marRight w:val="0"/>
      <w:marTop w:val="0"/>
      <w:marBottom w:val="0"/>
      <w:divBdr>
        <w:top w:val="none" w:sz="0" w:space="0" w:color="auto"/>
        <w:left w:val="none" w:sz="0" w:space="0" w:color="auto"/>
        <w:bottom w:val="none" w:sz="0" w:space="0" w:color="auto"/>
        <w:right w:val="none" w:sz="0" w:space="0" w:color="auto"/>
      </w:divBdr>
    </w:div>
    <w:div w:id="583563474">
      <w:bodyDiv w:val="1"/>
      <w:marLeft w:val="0"/>
      <w:marRight w:val="0"/>
      <w:marTop w:val="0"/>
      <w:marBottom w:val="0"/>
      <w:divBdr>
        <w:top w:val="none" w:sz="0" w:space="0" w:color="auto"/>
        <w:left w:val="none" w:sz="0" w:space="0" w:color="auto"/>
        <w:bottom w:val="none" w:sz="0" w:space="0" w:color="auto"/>
        <w:right w:val="none" w:sz="0" w:space="0" w:color="auto"/>
      </w:divBdr>
    </w:div>
    <w:div w:id="635372223">
      <w:bodyDiv w:val="1"/>
      <w:marLeft w:val="0"/>
      <w:marRight w:val="0"/>
      <w:marTop w:val="0"/>
      <w:marBottom w:val="0"/>
      <w:divBdr>
        <w:top w:val="none" w:sz="0" w:space="0" w:color="auto"/>
        <w:left w:val="none" w:sz="0" w:space="0" w:color="auto"/>
        <w:bottom w:val="none" w:sz="0" w:space="0" w:color="auto"/>
        <w:right w:val="none" w:sz="0" w:space="0" w:color="auto"/>
      </w:divBdr>
    </w:div>
    <w:div w:id="642278118">
      <w:bodyDiv w:val="1"/>
      <w:marLeft w:val="0"/>
      <w:marRight w:val="0"/>
      <w:marTop w:val="0"/>
      <w:marBottom w:val="0"/>
      <w:divBdr>
        <w:top w:val="none" w:sz="0" w:space="0" w:color="auto"/>
        <w:left w:val="none" w:sz="0" w:space="0" w:color="auto"/>
        <w:bottom w:val="none" w:sz="0" w:space="0" w:color="auto"/>
        <w:right w:val="none" w:sz="0" w:space="0" w:color="auto"/>
      </w:divBdr>
    </w:div>
    <w:div w:id="799959988">
      <w:bodyDiv w:val="1"/>
      <w:marLeft w:val="0"/>
      <w:marRight w:val="0"/>
      <w:marTop w:val="0"/>
      <w:marBottom w:val="0"/>
      <w:divBdr>
        <w:top w:val="none" w:sz="0" w:space="0" w:color="auto"/>
        <w:left w:val="none" w:sz="0" w:space="0" w:color="auto"/>
        <w:bottom w:val="none" w:sz="0" w:space="0" w:color="auto"/>
        <w:right w:val="none" w:sz="0" w:space="0" w:color="auto"/>
      </w:divBdr>
    </w:div>
    <w:div w:id="840700494">
      <w:bodyDiv w:val="1"/>
      <w:marLeft w:val="0"/>
      <w:marRight w:val="0"/>
      <w:marTop w:val="0"/>
      <w:marBottom w:val="0"/>
      <w:divBdr>
        <w:top w:val="none" w:sz="0" w:space="0" w:color="auto"/>
        <w:left w:val="none" w:sz="0" w:space="0" w:color="auto"/>
        <w:bottom w:val="none" w:sz="0" w:space="0" w:color="auto"/>
        <w:right w:val="none" w:sz="0" w:space="0" w:color="auto"/>
      </w:divBdr>
    </w:div>
    <w:div w:id="852038955">
      <w:bodyDiv w:val="1"/>
      <w:marLeft w:val="0"/>
      <w:marRight w:val="0"/>
      <w:marTop w:val="0"/>
      <w:marBottom w:val="0"/>
      <w:divBdr>
        <w:top w:val="none" w:sz="0" w:space="0" w:color="auto"/>
        <w:left w:val="none" w:sz="0" w:space="0" w:color="auto"/>
        <w:bottom w:val="none" w:sz="0" w:space="0" w:color="auto"/>
        <w:right w:val="none" w:sz="0" w:space="0" w:color="auto"/>
      </w:divBdr>
    </w:div>
    <w:div w:id="925580246">
      <w:bodyDiv w:val="1"/>
      <w:marLeft w:val="0"/>
      <w:marRight w:val="0"/>
      <w:marTop w:val="0"/>
      <w:marBottom w:val="0"/>
      <w:divBdr>
        <w:top w:val="none" w:sz="0" w:space="0" w:color="auto"/>
        <w:left w:val="none" w:sz="0" w:space="0" w:color="auto"/>
        <w:bottom w:val="none" w:sz="0" w:space="0" w:color="auto"/>
        <w:right w:val="none" w:sz="0" w:space="0" w:color="auto"/>
      </w:divBdr>
    </w:div>
    <w:div w:id="1004475791">
      <w:bodyDiv w:val="1"/>
      <w:marLeft w:val="0"/>
      <w:marRight w:val="0"/>
      <w:marTop w:val="0"/>
      <w:marBottom w:val="0"/>
      <w:divBdr>
        <w:top w:val="none" w:sz="0" w:space="0" w:color="auto"/>
        <w:left w:val="none" w:sz="0" w:space="0" w:color="auto"/>
        <w:bottom w:val="none" w:sz="0" w:space="0" w:color="auto"/>
        <w:right w:val="none" w:sz="0" w:space="0" w:color="auto"/>
      </w:divBdr>
    </w:div>
    <w:div w:id="1032219783">
      <w:bodyDiv w:val="1"/>
      <w:marLeft w:val="0"/>
      <w:marRight w:val="0"/>
      <w:marTop w:val="0"/>
      <w:marBottom w:val="0"/>
      <w:divBdr>
        <w:top w:val="none" w:sz="0" w:space="0" w:color="auto"/>
        <w:left w:val="none" w:sz="0" w:space="0" w:color="auto"/>
        <w:bottom w:val="none" w:sz="0" w:space="0" w:color="auto"/>
        <w:right w:val="none" w:sz="0" w:space="0" w:color="auto"/>
      </w:divBdr>
      <w:divsChild>
        <w:div w:id="429618803">
          <w:marLeft w:val="0"/>
          <w:marRight w:val="0"/>
          <w:marTop w:val="0"/>
          <w:marBottom w:val="0"/>
          <w:divBdr>
            <w:top w:val="none" w:sz="0" w:space="0" w:color="auto"/>
            <w:left w:val="none" w:sz="0" w:space="0" w:color="auto"/>
            <w:bottom w:val="none" w:sz="0" w:space="0" w:color="auto"/>
            <w:right w:val="none" w:sz="0" w:space="0" w:color="auto"/>
          </w:divBdr>
          <w:divsChild>
            <w:div w:id="456264478">
              <w:marLeft w:val="0"/>
              <w:marRight w:val="0"/>
              <w:marTop w:val="0"/>
              <w:marBottom w:val="0"/>
              <w:divBdr>
                <w:top w:val="none" w:sz="0" w:space="0" w:color="auto"/>
                <w:left w:val="none" w:sz="0" w:space="0" w:color="auto"/>
                <w:bottom w:val="none" w:sz="0" w:space="0" w:color="auto"/>
                <w:right w:val="none" w:sz="0" w:space="0" w:color="auto"/>
              </w:divBdr>
              <w:divsChild>
                <w:div w:id="413284203">
                  <w:marLeft w:val="0"/>
                  <w:marRight w:val="0"/>
                  <w:marTop w:val="0"/>
                  <w:marBottom w:val="0"/>
                  <w:divBdr>
                    <w:top w:val="none" w:sz="0" w:space="0" w:color="auto"/>
                    <w:left w:val="none" w:sz="0" w:space="0" w:color="auto"/>
                    <w:bottom w:val="none" w:sz="0" w:space="0" w:color="auto"/>
                    <w:right w:val="none" w:sz="0" w:space="0" w:color="auto"/>
                  </w:divBdr>
                  <w:divsChild>
                    <w:div w:id="447700405">
                      <w:marLeft w:val="0"/>
                      <w:marRight w:val="0"/>
                      <w:marTop w:val="0"/>
                      <w:marBottom w:val="0"/>
                      <w:divBdr>
                        <w:top w:val="none" w:sz="0" w:space="0" w:color="auto"/>
                        <w:left w:val="none" w:sz="0" w:space="0" w:color="auto"/>
                        <w:bottom w:val="none" w:sz="0" w:space="0" w:color="auto"/>
                        <w:right w:val="none" w:sz="0" w:space="0" w:color="auto"/>
                      </w:divBdr>
                      <w:divsChild>
                        <w:div w:id="100339787">
                          <w:marLeft w:val="0"/>
                          <w:marRight w:val="0"/>
                          <w:marTop w:val="0"/>
                          <w:marBottom w:val="0"/>
                          <w:divBdr>
                            <w:top w:val="none" w:sz="0" w:space="0" w:color="auto"/>
                            <w:left w:val="none" w:sz="0" w:space="0" w:color="auto"/>
                            <w:bottom w:val="none" w:sz="0" w:space="0" w:color="auto"/>
                            <w:right w:val="none" w:sz="0" w:space="0" w:color="auto"/>
                          </w:divBdr>
                          <w:divsChild>
                            <w:div w:id="1507788497">
                              <w:marLeft w:val="0"/>
                              <w:marRight w:val="0"/>
                              <w:marTop w:val="0"/>
                              <w:marBottom w:val="0"/>
                              <w:divBdr>
                                <w:top w:val="none" w:sz="0" w:space="0" w:color="auto"/>
                                <w:left w:val="none" w:sz="0" w:space="0" w:color="auto"/>
                                <w:bottom w:val="none" w:sz="0" w:space="0" w:color="auto"/>
                                <w:right w:val="none" w:sz="0" w:space="0" w:color="auto"/>
                              </w:divBdr>
                              <w:divsChild>
                                <w:div w:id="21516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19941">
      <w:bodyDiv w:val="1"/>
      <w:marLeft w:val="0"/>
      <w:marRight w:val="0"/>
      <w:marTop w:val="0"/>
      <w:marBottom w:val="0"/>
      <w:divBdr>
        <w:top w:val="none" w:sz="0" w:space="0" w:color="auto"/>
        <w:left w:val="none" w:sz="0" w:space="0" w:color="auto"/>
        <w:bottom w:val="none" w:sz="0" w:space="0" w:color="auto"/>
        <w:right w:val="none" w:sz="0" w:space="0" w:color="auto"/>
      </w:divBdr>
    </w:div>
    <w:div w:id="1077047189">
      <w:bodyDiv w:val="1"/>
      <w:marLeft w:val="0"/>
      <w:marRight w:val="0"/>
      <w:marTop w:val="0"/>
      <w:marBottom w:val="0"/>
      <w:divBdr>
        <w:top w:val="none" w:sz="0" w:space="0" w:color="auto"/>
        <w:left w:val="none" w:sz="0" w:space="0" w:color="auto"/>
        <w:bottom w:val="none" w:sz="0" w:space="0" w:color="auto"/>
        <w:right w:val="none" w:sz="0" w:space="0" w:color="auto"/>
      </w:divBdr>
    </w:div>
    <w:div w:id="1096174045">
      <w:bodyDiv w:val="1"/>
      <w:marLeft w:val="0"/>
      <w:marRight w:val="0"/>
      <w:marTop w:val="0"/>
      <w:marBottom w:val="0"/>
      <w:divBdr>
        <w:top w:val="none" w:sz="0" w:space="0" w:color="auto"/>
        <w:left w:val="none" w:sz="0" w:space="0" w:color="auto"/>
        <w:bottom w:val="none" w:sz="0" w:space="0" w:color="auto"/>
        <w:right w:val="none" w:sz="0" w:space="0" w:color="auto"/>
      </w:divBdr>
    </w:div>
    <w:div w:id="1193415999">
      <w:bodyDiv w:val="1"/>
      <w:marLeft w:val="0"/>
      <w:marRight w:val="0"/>
      <w:marTop w:val="0"/>
      <w:marBottom w:val="0"/>
      <w:divBdr>
        <w:top w:val="none" w:sz="0" w:space="0" w:color="auto"/>
        <w:left w:val="none" w:sz="0" w:space="0" w:color="auto"/>
        <w:bottom w:val="none" w:sz="0" w:space="0" w:color="auto"/>
        <w:right w:val="none" w:sz="0" w:space="0" w:color="auto"/>
      </w:divBdr>
    </w:div>
    <w:div w:id="1206287682">
      <w:bodyDiv w:val="1"/>
      <w:marLeft w:val="0"/>
      <w:marRight w:val="0"/>
      <w:marTop w:val="0"/>
      <w:marBottom w:val="0"/>
      <w:divBdr>
        <w:top w:val="none" w:sz="0" w:space="0" w:color="auto"/>
        <w:left w:val="none" w:sz="0" w:space="0" w:color="auto"/>
        <w:bottom w:val="none" w:sz="0" w:space="0" w:color="auto"/>
        <w:right w:val="none" w:sz="0" w:space="0" w:color="auto"/>
      </w:divBdr>
    </w:div>
    <w:div w:id="1209532490">
      <w:bodyDiv w:val="1"/>
      <w:marLeft w:val="0"/>
      <w:marRight w:val="0"/>
      <w:marTop w:val="0"/>
      <w:marBottom w:val="0"/>
      <w:divBdr>
        <w:top w:val="none" w:sz="0" w:space="0" w:color="auto"/>
        <w:left w:val="none" w:sz="0" w:space="0" w:color="auto"/>
        <w:bottom w:val="none" w:sz="0" w:space="0" w:color="auto"/>
        <w:right w:val="none" w:sz="0" w:space="0" w:color="auto"/>
      </w:divBdr>
    </w:div>
    <w:div w:id="1246183446">
      <w:bodyDiv w:val="1"/>
      <w:marLeft w:val="0"/>
      <w:marRight w:val="0"/>
      <w:marTop w:val="0"/>
      <w:marBottom w:val="0"/>
      <w:divBdr>
        <w:top w:val="none" w:sz="0" w:space="0" w:color="auto"/>
        <w:left w:val="none" w:sz="0" w:space="0" w:color="auto"/>
        <w:bottom w:val="none" w:sz="0" w:space="0" w:color="auto"/>
        <w:right w:val="none" w:sz="0" w:space="0" w:color="auto"/>
      </w:divBdr>
      <w:divsChild>
        <w:div w:id="1976518599">
          <w:marLeft w:val="0"/>
          <w:marRight w:val="0"/>
          <w:marTop w:val="0"/>
          <w:marBottom w:val="0"/>
          <w:divBdr>
            <w:top w:val="none" w:sz="0" w:space="0" w:color="auto"/>
            <w:left w:val="none" w:sz="0" w:space="0" w:color="auto"/>
            <w:bottom w:val="none" w:sz="0" w:space="0" w:color="auto"/>
            <w:right w:val="none" w:sz="0" w:space="0" w:color="auto"/>
          </w:divBdr>
          <w:divsChild>
            <w:div w:id="1893693982">
              <w:marLeft w:val="0"/>
              <w:marRight w:val="0"/>
              <w:marTop w:val="0"/>
              <w:marBottom w:val="0"/>
              <w:divBdr>
                <w:top w:val="none" w:sz="0" w:space="0" w:color="auto"/>
                <w:left w:val="none" w:sz="0" w:space="0" w:color="auto"/>
                <w:bottom w:val="none" w:sz="0" w:space="0" w:color="auto"/>
                <w:right w:val="none" w:sz="0" w:space="0" w:color="auto"/>
              </w:divBdr>
              <w:divsChild>
                <w:div w:id="322898190">
                  <w:marLeft w:val="0"/>
                  <w:marRight w:val="0"/>
                  <w:marTop w:val="0"/>
                  <w:marBottom w:val="0"/>
                  <w:divBdr>
                    <w:top w:val="none" w:sz="0" w:space="0" w:color="auto"/>
                    <w:left w:val="none" w:sz="0" w:space="0" w:color="auto"/>
                    <w:bottom w:val="none" w:sz="0" w:space="0" w:color="auto"/>
                    <w:right w:val="none" w:sz="0" w:space="0" w:color="auto"/>
                  </w:divBdr>
                  <w:divsChild>
                    <w:div w:id="1558861383">
                      <w:marLeft w:val="0"/>
                      <w:marRight w:val="0"/>
                      <w:marTop w:val="0"/>
                      <w:marBottom w:val="0"/>
                      <w:divBdr>
                        <w:top w:val="none" w:sz="0" w:space="0" w:color="auto"/>
                        <w:left w:val="none" w:sz="0" w:space="0" w:color="auto"/>
                        <w:bottom w:val="none" w:sz="0" w:space="0" w:color="auto"/>
                        <w:right w:val="none" w:sz="0" w:space="0" w:color="auto"/>
                      </w:divBdr>
                      <w:divsChild>
                        <w:div w:id="2061590087">
                          <w:marLeft w:val="0"/>
                          <w:marRight w:val="0"/>
                          <w:marTop w:val="0"/>
                          <w:marBottom w:val="0"/>
                          <w:divBdr>
                            <w:top w:val="none" w:sz="0" w:space="0" w:color="auto"/>
                            <w:left w:val="none" w:sz="0" w:space="0" w:color="auto"/>
                            <w:bottom w:val="none" w:sz="0" w:space="0" w:color="auto"/>
                            <w:right w:val="none" w:sz="0" w:space="0" w:color="auto"/>
                          </w:divBdr>
                          <w:divsChild>
                            <w:div w:id="1336419907">
                              <w:marLeft w:val="0"/>
                              <w:marRight w:val="0"/>
                              <w:marTop w:val="0"/>
                              <w:marBottom w:val="0"/>
                              <w:divBdr>
                                <w:top w:val="none" w:sz="0" w:space="0" w:color="auto"/>
                                <w:left w:val="none" w:sz="0" w:space="0" w:color="auto"/>
                                <w:bottom w:val="none" w:sz="0" w:space="0" w:color="auto"/>
                                <w:right w:val="none" w:sz="0" w:space="0" w:color="auto"/>
                              </w:divBdr>
                              <w:divsChild>
                                <w:div w:id="1236160633">
                                  <w:marLeft w:val="0"/>
                                  <w:marRight w:val="0"/>
                                  <w:marTop w:val="0"/>
                                  <w:marBottom w:val="0"/>
                                  <w:divBdr>
                                    <w:top w:val="none" w:sz="0" w:space="0" w:color="auto"/>
                                    <w:left w:val="none" w:sz="0" w:space="0" w:color="auto"/>
                                    <w:bottom w:val="none" w:sz="0" w:space="0" w:color="auto"/>
                                    <w:right w:val="none" w:sz="0" w:space="0" w:color="auto"/>
                                  </w:divBdr>
                                  <w:divsChild>
                                    <w:div w:id="1980646830">
                                      <w:marLeft w:val="0"/>
                                      <w:marRight w:val="0"/>
                                      <w:marTop w:val="0"/>
                                      <w:marBottom w:val="0"/>
                                      <w:divBdr>
                                        <w:top w:val="none" w:sz="0" w:space="0" w:color="auto"/>
                                        <w:left w:val="none" w:sz="0" w:space="0" w:color="auto"/>
                                        <w:bottom w:val="none" w:sz="0" w:space="0" w:color="auto"/>
                                        <w:right w:val="none" w:sz="0" w:space="0" w:color="auto"/>
                                      </w:divBdr>
                                      <w:divsChild>
                                        <w:div w:id="6795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395715">
      <w:bodyDiv w:val="1"/>
      <w:marLeft w:val="0"/>
      <w:marRight w:val="0"/>
      <w:marTop w:val="0"/>
      <w:marBottom w:val="0"/>
      <w:divBdr>
        <w:top w:val="none" w:sz="0" w:space="0" w:color="auto"/>
        <w:left w:val="none" w:sz="0" w:space="0" w:color="auto"/>
        <w:bottom w:val="none" w:sz="0" w:space="0" w:color="auto"/>
        <w:right w:val="none" w:sz="0" w:space="0" w:color="auto"/>
      </w:divBdr>
    </w:div>
    <w:div w:id="1359891956">
      <w:bodyDiv w:val="1"/>
      <w:marLeft w:val="0"/>
      <w:marRight w:val="0"/>
      <w:marTop w:val="0"/>
      <w:marBottom w:val="0"/>
      <w:divBdr>
        <w:top w:val="none" w:sz="0" w:space="0" w:color="auto"/>
        <w:left w:val="none" w:sz="0" w:space="0" w:color="auto"/>
        <w:bottom w:val="none" w:sz="0" w:space="0" w:color="auto"/>
        <w:right w:val="none" w:sz="0" w:space="0" w:color="auto"/>
      </w:divBdr>
    </w:div>
    <w:div w:id="1367559059">
      <w:bodyDiv w:val="1"/>
      <w:marLeft w:val="0"/>
      <w:marRight w:val="0"/>
      <w:marTop w:val="0"/>
      <w:marBottom w:val="0"/>
      <w:divBdr>
        <w:top w:val="none" w:sz="0" w:space="0" w:color="auto"/>
        <w:left w:val="none" w:sz="0" w:space="0" w:color="auto"/>
        <w:bottom w:val="none" w:sz="0" w:space="0" w:color="auto"/>
        <w:right w:val="none" w:sz="0" w:space="0" w:color="auto"/>
      </w:divBdr>
    </w:div>
    <w:div w:id="1411852345">
      <w:bodyDiv w:val="1"/>
      <w:marLeft w:val="0"/>
      <w:marRight w:val="0"/>
      <w:marTop w:val="0"/>
      <w:marBottom w:val="0"/>
      <w:divBdr>
        <w:top w:val="none" w:sz="0" w:space="0" w:color="auto"/>
        <w:left w:val="none" w:sz="0" w:space="0" w:color="auto"/>
        <w:bottom w:val="none" w:sz="0" w:space="0" w:color="auto"/>
        <w:right w:val="none" w:sz="0" w:space="0" w:color="auto"/>
      </w:divBdr>
    </w:div>
    <w:div w:id="1482424863">
      <w:bodyDiv w:val="1"/>
      <w:marLeft w:val="0"/>
      <w:marRight w:val="0"/>
      <w:marTop w:val="0"/>
      <w:marBottom w:val="0"/>
      <w:divBdr>
        <w:top w:val="none" w:sz="0" w:space="0" w:color="auto"/>
        <w:left w:val="none" w:sz="0" w:space="0" w:color="auto"/>
        <w:bottom w:val="none" w:sz="0" w:space="0" w:color="auto"/>
        <w:right w:val="none" w:sz="0" w:space="0" w:color="auto"/>
      </w:divBdr>
    </w:div>
    <w:div w:id="1554151192">
      <w:bodyDiv w:val="1"/>
      <w:marLeft w:val="0"/>
      <w:marRight w:val="0"/>
      <w:marTop w:val="0"/>
      <w:marBottom w:val="0"/>
      <w:divBdr>
        <w:top w:val="none" w:sz="0" w:space="0" w:color="auto"/>
        <w:left w:val="none" w:sz="0" w:space="0" w:color="auto"/>
        <w:bottom w:val="none" w:sz="0" w:space="0" w:color="auto"/>
        <w:right w:val="none" w:sz="0" w:space="0" w:color="auto"/>
      </w:divBdr>
    </w:div>
    <w:div w:id="1564680193">
      <w:bodyDiv w:val="1"/>
      <w:marLeft w:val="0"/>
      <w:marRight w:val="0"/>
      <w:marTop w:val="0"/>
      <w:marBottom w:val="0"/>
      <w:divBdr>
        <w:top w:val="none" w:sz="0" w:space="0" w:color="auto"/>
        <w:left w:val="none" w:sz="0" w:space="0" w:color="auto"/>
        <w:bottom w:val="none" w:sz="0" w:space="0" w:color="auto"/>
        <w:right w:val="none" w:sz="0" w:space="0" w:color="auto"/>
      </w:divBdr>
    </w:div>
    <w:div w:id="1602489202">
      <w:bodyDiv w:val="1"/>
      <w:marLeft w:val="0"/>
      <w:marRight w:val="0"/>
      <w:marTop w:val="0"/>
      <w:marBottom w:val="0"/>
      <w:divBdr>
        <w:top w:val="none" w:sz="0" w:space="0" w:color="auto"/>
        <w:left w:val="none" w:sz="0" w:space="0" w:color="auto"/>
        <w:bottom w:val="none" w:sz="0" w:space="0" w:color="auto"/>
        <w:right w:val="none" w:sz="0" w:space="0" w:color="auto"/>
      </w:divBdr>
      <w:divsChild>
        <w:div w:id="2052027272">
          <w:marLeft w:val="0"/>
          <w:marRight w:val="0"/>
          <w:marTop w:val="0"/>
          <w:marBottom w:val="0"/>
          <w:divBdr>
            <w:top w:val="none" w:sz="0" w:space="0" w:color="auto"/>
            <w:left w:val="none" w:sz="0" w:space="0" w:color="auto"/>
            <w:bottom w:val="none" w:sz="0" w:space="0" w:color="auto"/>
            <w:right w:val="none" w:sz="0" w:space="0" w:color="auto"/>
          </w:divBdr>
          <w:divsChild>
            <w:div w:id="114762888">
              <w:marLeft w:val="0"/>
              <w:marRight w:val="0"/>
              <w:marTop w:val="0"/>
              <w:marBottom w:val="0"/>
              <w:divBdr>
                <w:top w:val="none" w:sz="0" w:space="0" w:color="auto"/>
                <w:left w:val="none" w:sz="0" w:space="0" w:color="auto"/>
                <w:bottom w:val="none" w:sz="0" w:space="0" w:color="auto"/>
                <w:right w:val="none" w:sz="0" w:space="0" w:color="auto"/>
              </w:divBdr>
              <w:divsChild>
                <w:div w:id="757991541">
                  <w:marLeft w:val="0"/>
                  <w:marRight w:val="0"/>
                  <w:marTop w:val="0"/>
                  <w:marBottom w:val="0"/>
                  <w:divBdr>
                    <w:top w:val="none" w:sz="0" w:space="0" w:color="auto"/>
                    <w:left w:val="none" w:sz="0" w:space="0" w:color="auto"/>
                    <w:bottom w:val="none" w:sz="0" w:space="0" w:color="auto"/>
                    <w:right w:val="none" w:sz="0" w:space="0" w:color="auto"/>
                  </w:divBdr>
                  <w:divsChild>
                    <w:div w:id="690377278">
                      <w:marLeft w:val="0"/>
                      <w:marRight w:val="0"/>
                      <w:marTop w:val="0"/>
                      <w:marBottom w:val="0"/>
                      <w:divBdr>
                        <w:top w:val="none" w:sz="0" w:space="0" w:color="auto"/>
                        <w:left w:val="none" w:sz="0" w:space="0" w:color="auto"/>
                        <w:bottom w:val="none" w:sz="0" w:space="0" w:color="auto"/>
                        <w:right w:val="none" w:sz="0" w:space="0" w:color="auto"/>
                      </w:divBdr>
                      <w:divsChild>
                        <w:div w:id="744641569">
                          <w:marLeft w:val="0"/>
                          <w:marRight w:val="0"/>
                          <w:marTop w:val="0"/>
                          <w:marBottom w:val="0"/>
                          <w:divBdr>
                            <w:top w:val="none" w:sz="0" w:space="0" w:color="auto"/>
                            <w:left w:val="none" w:sz="0" w:space="0" w:color="auto"/>
                            <w:bottom w:val="none" w:sz="0" w:space="0" w:color="auto"/>
                            <w:right w:val="none" w:sz="0" w:space="0" w:color="auto"/>
                          </w:divBdr>
                          <w:divsChild>
                            <w:div w:id="1740133613">
                              <w:marLeft w:val="0"/>
                              <w:marRight w:val="0"/>
                              <w:marTop w:val="0"/>
                              <w:marBottom w:val="0"/>
                              <w:divBdr>
                                <w:top w:val="none" w:sz="0" w:space="0" w:color="auto"/>
                                <w:left w:val="none" w:sz="0" w:space="0" w:color="auto"/>
                                <w:bottom w:val="none" w:sz="0" w:space="0" w:color="auto"/>
                                <w:right w:val="none" w:sz="0" w:space="0" w:color="auto"/>
                              </w:divBdr>
                              <w:divsChild>
                                <w:div w:id="521209852">
                                  <w:marLeft w:val="0"/>
                                  <w:marRight w:val="0"/>
                                  <w:marTop w:val="0"/>
                                  <w:marBottom w:val="0"/>
                                  <w:divBdr>
                                    <w:top w:val="none" w:sz="0" w:space="0" w:color="auto"/>
                                    <w:left w:val="none" w:sz="0" w:space="0" w:color="auto"/>
                                    <w:bottom w:val="none" w:sz="0" w:space="0" w:color="auto"/>
                                    <w:right w:val="none" w:sz="0" w:space="0" w:color="auto"/>
                                  </w:divBdr>
                                  <w:divsChild>
                                    <w:div w:id="1483304782">
                                      <w:marLeft w:val="0"/>
                                      <w:marRight w:val="0"/>
                                      <w:marTop w:val="0"/>
                                      <w:marBottom w:val="0"/>
                                      <w:divBdr>
                                        <w:top w:val="none" w:sz="0" w:space="0" w:color="auto"/>
                                        <w:left w:val="none" w:sz="0" w:space="0" w:color="auto"/>
                                        <w:bottom w:val="none" w:sz="0" w:space="0" w:color="auto"/>
                                        <w:right w:val="none" w:sz="0" w:space="0" w:color="auto"/>
                                      </w:divBdr>
                                      <w:divsChild>
                                        <w:div w:id="472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863053">
      <w:bodyDiv w:val="1"/>
      <w:marLeft w:val="0"/>
      <w:marRight w:val="0"/>
      <w:marTop w:val="0"/>
      <w:marBottom w:val="0"/>
      <w:divBdr>
        <w:top w:val="none" w:sz="0" w:space="0" w:color="auto"/>
        <w:left w:val="none" w:sz="0" w:space="0" w:color="auto"/>
        <w:bottom w:val="none" w:sz="0" w:space="0" w:color="auto"/>
        <w:right w:val="none" w:sz="0" w:space="0" w:color="auto"/>
      </w:divBdr>
    </w:div>
    <w:div w:id="1671715321">
      <w:bodyDiv w:val="1"/>
      <w:marLeft w:val="0"/>
      <w:marRight w:val="0"/>
      <w:marTop w:val="0"/>
      <w:marBottom w:val="0"/>
      <w:divBdr>
        <w:top w:val="none" w:sz="0" w:space="0" w:color="auto"/>
        <w:left w:val="none" w:sz="0" w:space="0" w:color="auto"/>
        <w:bottom w:val="none" w:sz="0" w:space="0" w:color="auto"/>
        <w:right w:val="none" w:sz="0" w:space="0" w:color="auto"/>
      </w:divBdr>
    </w:div>
    <w:div w:id="1726101945">
      <w:bodyDiv w:val="1"/>
      <w:marLeft w:val="0"/>
      <w:marRight w:val="0"/>
      <w:marTop w:val="0"/>
      <w:marBottom w:val="0"/>
      <w:divBdr>
        <w:top w:val="none" w:sz="0" w:space="0" w:color="auto"/>
        <w:left w:val="none" w:sz="0" w:space="0" w:color="auto"/>
        <w:bottom w:val="none" w:sz="0" w:space="0" w:color="auto"/>
        <w:right w:val="none" w:sz="0" w:space="0" w:color="auto"/>
      </w:divBdr>
    </w:div>
    <w:div w:id="1763183512">
      <w:bodyDiv w:val="1"/>
      <w:marLeft w:val="0"/>
      <w:marRight w:val="0"/>
      <w:marTop w:val="0"/>
      <w:marBottom w:val="0"/>
      <w:divBdr>
        <w:top w:val="none" w:sz="0" w:space="0" w:color="auto"/>
        <w:left w:val="none" w:sz="0" w:space="0" w:color="auto"/>
        <w:bottom w:val="none" w:sz="0" w:space="0" w:color="auto"/>
        <w:right w:val="none" w:sz="0" w:space="0" w:color="auto"/>
      </w:divBdr>
    </w:div>
    <w:div w:id="1991590469">
      <w:bodyDiv w:val="1"/>
      <w:marLeft w:val="0"/>
      <w:marRight w:val="0"/>
      <w:marTop w:val="0"/>
      <w:marBottom w:val="0"/>
      <w:divBdr>
        <w:top w:val="none" w:sz="0" w:space="0" w:color="auto"/>
        <w:left w:val="none" w:sz="0" w:space="0" w:color="auto"/>
        <w:bottom w:val="none" w:sz="0" w:space="0" w:color="auto"/>
        <w:right w:val="none" w:sz="0" w:space="0" w:color="auto"/>
      </w:divBdr>
    </w:div>
    <w:div w:id="2043628696">
      <w:bodyDiv w:val="1"/>
      <w:marLeft w:val="0"/>
      <w:marRight w:val="0"/>
      <w:marTop w:val="0"/>
      <w:marBottom w:val="0"/>
      <w:divBdr>
        <w:top w:val="none" w:sz="0" w:space="0" w:color="auto"/>
        <w:left w:val="none" w:sz="0" w:space="0" w:color="auto"/>
        <w:bottom w:val="none" w:sz="0" w:space="0" w:color="auto"/>
        <w:right w:val="none" w:sz="0" w:space="0" w:color="auto"/>
      </w:divBdr>
    </w:div>
    <w:div w:id="211177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5.xml"/><Relationship Id="rId39" Type="http://schemas.openxmlformats.org/officeDocument/2006/relationships/image" Target="media/image18.jpeg"/><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image" Target="media/image21.emf"/><Relationship Id="rId47" Type="http://schemas.openxmlformats.org/officeDocument/2006/relationships/hyperlink" Target="http://www.coliban.com.au/projects/" TargetMode="External"/><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2.xml"/><Relationship Id="rId29" Type="http://schemas.openxmlformats.org/officeDocument/2006/relationships/footer" Target="footer4.xml"/><Relationship Id="rId41" Type="http://schemas.openxmlformats.org/officeDocument/2006/relationships/image" Target="media/image20.emf"/><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hyperlink" Target="http://www.rdv.vic.gov.au/victorian-regions/loddon-mallee/loddon-mallee-south" TargetMode="External"/><Relationship Id="rId23" Type="http://schemas.openxmlformats.org/officeDocument/2006/relationships/image" Target="media/image6.emf"/><Relationship Id="rId28" Type="http://schemas.openxmlformats.org/officeDocument/2006/relationships/header" Target="header6.xml"/><Relationship Id="rId36" Type="http://schemas.openxmlformats.org/officeDocument/2006/relationships/image" Target="media/image15.jpeg"/><Relationship Id="rId49" Type="http://schemas.openxmlformats.org/officeDocument/2006/relationships/image" Target="media/image27.jpeg"/><Relationship Id="rId10" Type="http://schemas.openxmlformats.org/officeDocument/2006/relationships/hyperlink" Target="http://www.dtpli.vic.gov.au/regionalgrowthplans" TargetMode="External"/><Relationship Id="rId19" Type="http://schemas.openxmlformats.org/officeDocument/2006/relationships/chart" Target="charts/chart1.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emf"/><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climatechange.vic.gov.au/regional-projections/north-central" TargetMode="External"/><Relationship Id="rId7" Type="http://schemas.openxmlformats.org/officeDocument/2006/relationships/hyperlink" Target="http://www.bendigo.vic.gov.au/News/Current_Projects/Waste_and_Resource_Management_Strategy" TargetMode="External"/><Relationship Id="rId2" Type="http://schemas.openxmlformats.org/officeDocument/2006/relationships/hyperlink" Target="http://www.royalcommission.vic.gov.au/Commission-Reports/Final-Report" TargetMode="External"/><Relationship Id="rId1" Type="http://schemas.openxmlformats.org/officeDocument/2006/relationships/hyperlink" Target="http://vro.dpi.vic.gov.au/dpi/vro/vrosite.nsf/pages/landuse-water-supply-catchments" TargetMode="External"/><Relationship Id="rId6" Type="http://schemas.openxmlformats.org/officeDocument/2006/relationships/hyperlink" Target="http://www.asris.csiro.au" TargetMode="External"/><Relationship Id="rId5" Type="http://schemas.openxmlformats.org/officeDocument/2006/relationships/hyperlink" Target="http://vro.dpi.vic.gov.au/dpi/vro/vrosite.nsf/pages/lwm_salinity_management_urban%20" TargetMode="External"/><Relationship Id="rId4" Type="http://schemas.openxmlformats.org/officeDocument/2006/relationships/hyperlink" Target="http://www.climatechange.vic.gov.au/what-is-climate-chan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internal.vic.gov.au\DPCD\userdirs\Loddon%20Mallee%20South%20RGP\Age%20structure,%20household%20composition%20and%20dwelling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nternal.vic.gov.au\DPCD\userdirs\Loddon%20Mallee%20South%20RGP\Age%20structure,%20household%20composition%20and%20dwellin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'Age Structure'!$G$2</c:f>
              <c:strCache>
                <c:ptCount val="1"/>
                <c:pt idx="0">
                  <c:v>LMS Region 2011</c:v>
                </c:pt>
              </c:strCache>
            </c:strRef>
          </c:tx>
          <c:invertIfNegative val="0"/>
          <c:cat>
            <c:strRef>
              <c:f>'Age Structure'!$A$3:$A$20</c:f>
              <c:strCache>
                <c:ptCount val="18"/>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 years and over</c:v>
                </c:pt>
              </c:strCache>
            </c:strRef>
          </c:cat>
          <c:val>
            <c:numRef>
              <c:f>'Age Structure'!$G$3:$G$20</c:f>
              <c:numCache>
                <c:formatCode>General</c:formatCode>
                <c:ptCount val="18"/>
                <c:pt idx="0">
                  <c:v>11333</c:v>
                </c:pt>
                <c:pt idx="1">
                  <c:v>11499</c:v>
                </c:pt>
                <c:pt idx="2">
                  <c:v>12005</c:v>
                </c:pt>
                <c:pt idx="3">
                  <c:v>12514</c:v>
                </c:pt>
                <c:pt idx="4">
                  <c:v>10339</c:v>
                </c:pt>
                <c:pt idx="5">
                  <c:v>8810</c:v>
                </c:pt>
                <c:pt idx="6">
                  <c:v>9166</c:v>
                </c:pt>
                <c:pt idx="7">
                  <c:v>11124</c:v>
                </c:pt>
                <c:pt idx="8">
                  <c:v>12410</c:v>
                </c:pt>
                <c:pt idx="9">
                  <c:v>12864</c:v>
                </c:pt>
                <c:pt idx="10">
                  <c:v>13200</c:v>
                </c:pt>
                <c:pt idx="11">
                  <c:v>12512</c:v>
                </c:pt>
                <c:pt idx="12">
                  <c:v>12150</c:v>
                </c:pt>
                <c:pt idx="13">
                  <c:v>9269</c:v>
                </c:pt>
                <c:pt idx="14">
                  <c:v>7197</c:v>
                </c:pt>
                <c:pt idx="15">
                  <c:v>5298</c:v>
                </c:pt>
                <c:pt idx="16">
                  <c:v>4327</c:v>
                </c:pt>
                <c:pt idx="17">
                  <c:v>4008</c:v>
                </c:pt>
              </c:numCache>
            </c:numRef>
          </c:val>
        </c:ser>
        <c:ser>
          <c:idx val="1"/>
          <c:order val="1"/>
          <c:tx>
            <c:strRef>
              <c:f>'Age Structure'!$I$2</c:f>
              <c:strCache>
                <c:ptCount val="1"/>
                <c:pt idx="0">
                  <c:v>LMS Region 2031</c:v>
                </c:pt>
              </c:strCache>
            </c:strRef>
          </c:tx>
          <c:invertIfNegative val="0"/>
          <c:cat>
            <c:strRef>
              <c:f>'Age Structure'!$A$3:$A$20</c:f>
              <c:strCache>
                <c:ptCount val="18"/>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 years and over</c:v>
                </c:pt>
              </c:strCache>
            </c:strRef>
          </c:cat>
          <c:val>
            <c:numRef>
              <c:f>'Age Structure'!$I$3:$I$20</c:f>
              <c:numCache>
                <c:formatCode>General</c:formatCode>
                <c:ptCount val="18"/>
                <c:pt idx="0">
                  <c:v>12631</c:v>
                </c:pt>
                <c:pt idx="1">
                  <c:v>14438</c:v>
                </c:pt>
                <c:pt idx="2">
                  <c:v>15288</c:v>
                </c:pt>
                <c:pt idx="3">
                  <c:v>15747</c:v>
                </c:pt>
                <c:pt idx="4">
                  <c:v>12480</c:v>
                </c:pt>
                <c:pt idx="5">
                  <c:v>10896</c:v>
                </c:pt>
                <c:pt idx="6">
                  <c:v>12008</c:v>
                </c:pt>
                <c:pt idx="7">
                  <c:v>13803</c:v>
                </c:pt>
                <c:pt idx="8">
                  <c:v>15515</c:v>
                </c:pt>
                <c:pt idx="9">
                  <c:v>16261</c:v>
                </c:pt>
                <c:pt idx="10">
                  <c:v>14791</c:v>
                </c:pt>
                <c:pt idx="11">
                  <c:v>14900</c:v>
                </c:pt>
                <c:pt idx="12">
                  <c:v>15164</c:v>
                </c:pt>
                <c:pt idx="13">
                  <c:v>14893</c:v>
                </c:pt>
                <c:pt idx="14">
                  <c:v>14068</c:v>
                </c:pt>
                <c:pt idx="15">
                  <c:v>12209</c:v>
                </c:pt>
                <c:pt idx="16">
                  <c:v>9215</c:v>
                </c:pt>
                <c:pt idx="17">
                  <c:v>7949</c:v>
                </c:pt>
              </c:numCache>
            </c:numRef>
          </c:val>
        </c:ser>
        <c:dLbls>
          <c:showLegendKey val="0"/>
          <c:showVal val="0"/>
          <c:showCatName val="0"/>
          <c:showSerName val="0"/>
          <c:showPercent val="0"/>
          <c:showBubbleSize val="0"/>
        </c:dLbls>
        <c:gapWidth val="150"/>
        <c:axId val="143630336"/>
        <c:axId val="153012096"/>
      </c:barChart>
      <c:catAx>
        <c:axId val="143630336"/>
        <c:scaling>
          <c:orientation val="minMax"/>
        </c:scaling>
        <c:delete val="0"/>
        <c:axPos val="b"/>
        <c:minorGridlines/>
        <c:majorTickMark val="out"/>
        <c:minorTickMark val="none"/>
        <c:tickLblPos val="nextTo"/>
        <c:txPr>
          <a:bodyPr rot="-5400000" vert="horz"/>
          <a:lstStyle/>
          <a:p>
            <a:pPr>
              <a:defRPr/>
            </a:pPr>
            <a:endParaRPr lang="en-US"/>
          </a:p>
        </c:txPr>
        <c:crossAx val="153012096"/>
        <c:crosses val="autoZero"/>
        <c:auto val="1"/>
        <c:lblAlgn val="ctr"/>
        <c:lblOffset val="100"/>
        <c:tickLblSkip val="1"/>
        <c:noMultiLvlLbl val="0"/>
      </c:catAx>
      <c:valAx>
        <c:axId val="153012096"/>
        <c:scaling>
          <c:orientation val="minMax"/>
        </c:scaling>
        <c:delete val="0"/>
        <c:axPos val="l"/>
        <c:majorGridlines/>
        <c:numFmt formatCode="General" sourceLinked="1"/>
        <c:majorTickMark val="out"/>
        <c:minorTickMark val="none"/>
        <c:tickLblPos val="nextTo"/>
        <c:crossAx val="1436303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Sheet1!$B$2</c:f>
              <c:strCache>
                <c:ptCount val="1"/>
                <c:pt idx="0">
                  <c:v>2011</c:v>
                </c:pt>
              </c:strCache>
            </c:strRef>
          </c:tx>
          <c:marker>
            <c:symbol val="none"/>
          </c:marker>
          <c:cat>
            <c:strRef>
              <c:f>Sheet1!$A$3:$A$20</c:f>
              <c:strCache>
                <c:ptCount val="18"/>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 years and over</c:v>
                </c:pt>
              </c:strCache>
            </c:strRef>
          </c:cat>
          <c:val>
            <c:numRef>
              <c:f>Sheet1!$B$3:$B$20</c:f>
              <c:numCache>
                <c:formatCode>General</c:formatCode>
                <c:ptCount val="18"/>
                <c:pt idx="0">
                  <c:v>6.3</c:v>
                </c:pt>
                <c:pt idx="1">
                  <c:v>6.4</c:v>
                </c:pt>
                <c:pt idx="2">
                  <c:v>6.7</c:v>
                </c:pt>
                <c:pt idx="3">
                  <c:v>7</c:v>
                </c:pt>
                <c:pt idx="4">
                  <c:v>5.7</c:v>
                </c:pt>
                <c:pt idx="5">
                  <c:v>4.9000000000000004</c:v>
                </c:pt>
                <c:pt idx="6">
                  <c:v>5.0999999999999996</c:v>
                </c:pt>
                <c:pt idx="7">
                  <c:v>6.2</c:v>
                </c:pt>
                <c:pt idx="8">
                  <c:v>6.9</c:v>
                </c:pt>
                <c:pt idx="9">
                  <c:v>7.1</c:v>
                </c:pt>
                <c:pt idx="10">
                  <c:v>7.3</c:v>
                </c:pt>
                <c:pt idx="11">
                  <c:v>7</c:v>
                </c:pt>
                <c:pt idx="12">
                  <c:v>6.8</c:v>
                </c:pt>
                <c:pt idx="13">
                  <c:v>5.0999999999999996</c:v>
                </c:pt>
                <c:pt idx="14">
                  <c:v>4</c:v>
                </c:pt>
                <c:pt idx="15">
                  <c:v>2.9</c:v>
                </c:pt>
                <c:pt idx="16">
                  <c:v>2.4</c:v>
                </c:pt>
                <c:pt idx="17">
                  <c:v>2.2000000000000002</c:v>
                </c:pt>
              </c:numCache>
            </c:numRef>
          </c:val>
          <c:smooth val="0"/>
        </c:ser>
        <c:ser>
          <c:idx val="1"/>
          <c:order val="1"/>
          <c:tx>
            <c:strRef>
              <c:f>Sheet1!$C$2</c:f>
              <c:strCache>
                <c:ptCount val="1"/>
                <c:pt idx="0">
                  <c:v>2031</c:v>
                </c:pt>
              </c:strCache>
            </c:strRef>
          </c:tx>
          <c:marker>
            <c:symbol val="none"/>
          </c:marker>
          <c:cat>
            <c:strRef>
              <c:f>Sheet1!$A$3:$A$20</c:f>
              <c:strCache>
                <c:ptCount val="18"/>
                <c:pt idx="0">
                  <c:v>0-4 years</c:v>
                </c:pt>
                <c:pt idx="1">
                  <c:v>5-9 years</c:v>
                </c:pt>
                <c:pt idx="2">
                  <c:v>10-14 years</c:v>
                </c:pt>
                <c:pt idx="3">
                  <c:v>15-19 years</c:v>
                </c:pt>
                <c:pt idx="4">
                  <c:v>20-24 years</c:v>
                </c:pt>
                <c:pt idx="5">
                  <c:v>25-29 years</c:v>
                </c:pt>
                <c:pt idx="6">
                  <c:v>30-34 years</c:v>
                </c:pt>
                <c:pt idx="7">
                  <c:v>35-39 years</c:v>
                </c:pt>
                <c:pt idx="8">
                  <c:v>40-44 years</c:v>
                </c:pt>
                <c:pt idx="9">
                  <c:v>45-49 years</c:v>
                </c:pt>
                <c:pt idx="10">
                  <c:v>50-54 years</c:v>
                </c:pt>
                <c:pt idx="11">
                  <c:v>55-59 years</c:v>
                </c:pt>
                <c:pt idx="12">
                  <c:v>60-64 years</c:v>
                </c:pt>
                <c:pt idx="13">
                  <c:v>65-69 years</c:v>
                </c:pt>
                <c:pt idx="14">
                  <c:v>70-74 years</c:v>
                </c:pt>
                <c:pt idx="15">
                  <c:v>75-79 years</c:v>
                </c:pt>
                <c:pt idx="16">
                  <c:v>80-84 years</c:v>
                </c:pt>
                <c:pt idx="17">
                  <c:v>85 years and over</c:v>
                </c:pt>
              </c:strCache>
            </c:strRef>
          </c:cat>
          <c:val>
            <c:numRef>
              <c:f>Sheet1!$C$3:$C$20</c:f>
              <c:numCache>
                <c:formatCode>General</c:formatCode>
                <c:ptCount val="18"/>
                <c:pt idx="0">
                  <c:v>5.2</c:v>
                </c:pt>
                <c:pt idx="1">
                  <c:v>6</c:v>
                </c:pt>
                <c:pt idx="2">
                  <c:v>6.3</c:v>
                </c:pt>
                <c:pt idx="3">
                  <c:v>6.5</c:v>
                </c:pt>
                <c:pt idx="4">
                  <c:v>5.2</c:v>
                </c:pt>
                <c:pt idx="5">
                  <c:v>4.5</c:v>
                </c:pt>
                <c:pt idx="6">
                  <c:v>5</c:v>
                </c:pt>
                <c:pt idx="7">
                  <c:v>5.7</c:v>
                </c:pt>
                <c:pt idx="8">
                  <c:v>6.4</c:v>
                </c:pt>
                <c:pt idx="9">
                  <c:v>6.7</c:v>
                </c:pt>
                <c:pt idx="10">
                  <c:v>6.1</c:v>
                </c:pt>
                <c:pt idx="11">
                  <c:v>6.1</c:v>
                </c:pt>
                <c:pt idx="12">
                  <c:v>6.2</c:v>
                </c:pt>
                <c:pt idx="13">
                  <c:v>6.2</c:v>
                </c:pt>
                <c:pt idx="14">
                  <c:v>5.8</c:v>
                </c:pt>
                <c:pt idx="15">
                  <c:v>5</c:v>
                </c:pt>
                <c:pt idx="16">
                  <c:v>3.8</c:v>
                </c:pt>
                <c:pt idx="17">
                  <c:v>3.3</c:v>
                </c:pt>
              </c:numCache>
            </c:numRef>
          </c:val>
          <c:smooth val="0"/>
        </c:ser>
        <c:dLbls>
          <c:showLegendKey val="0"/>
          <c:showVal val="0"/>
          <c:showCatName val="0"/>
          <c:showSerName val="0"/>
          <c:showPercent val="0"/>
          <c:showBubbleSize val="0"/>
        </c:dLbls>
        <c:marker val="1"/>
        <c:smooth val="0"/>
        <c:axId val="172321024"/>
        <c:axId val="172351488"/>
      </c:lineChart>
      <c:catAx>
        <c:axId val="172321024"/>
        <c:scaling>
          <c:orientation val="minMax"/>
        </c:scaling>
        <c:delete val="0"/>
        <c:axPos val="b"/>
        <c:majorTickMark val="out"/>
        <c:minorTickMark val="none"/>
        <c:tickLblPos val="nextTo"/>
        <c:crossAx val="172351488"/>
        <c:crosses val="autoZero"/>
        <c:auto val="1"/>
        <c:lblAlgn val="ctr"/>
        <c:lblOffset val="100"/>
        <c:noMultiLvlLbl val="0"/>
      </c:catAx>
      <c:valAx>
        <c:axId val="172351488"/>
        <c:scaling>
          <c:orientation val="minMax"/>
          <c:max val="8"/>
        </c:scaling>
        <c:delete val="0"/>
        <c:axPos val="l"/>
        <c:majorGridlines/>
        <c:numFmt formatCode="General" sourceLinked="1"/>
        <c:majorTickMark val="out"/>
        <c:minorTickMark val="none"/>
        <c:tickLblPos val="nextTo"/>
        <c:txPr>
          <a:bodyPr/>
          <a:lstStyle/>
          <a:p>
            <a:pPr>
              <a:defRPr baseline="0"/>
            </a:pPr>
            <a:endParaRPr lang="en-US"/>
          </a:p>
        </c:txPr>
        <c:crossAx val="1723210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71CA7-84E1-4D5D-928F-6A77CD259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34661</Words>
  <Characters>197568</Characters>
  <Application>Microsoft Office Word</Application>
  <DocSecurity>4</DocSecurity>
  <Lines>1646</Lines>
  <Paragraphs>463</Paragraphs>
  <ScaleCrop>false</ScaleCrop>
  <HeadingPairs>
    <vt:vector size="2" baseType="variant">
      <vt:variant>
        <vt:lpstr>Title</vt:lpstr>
      </vt:variant>
      <vt:variant>
        <vt:i4>1</vt:i4>
      </vt:variant>
    </vt:vector>
  </HeadingPairs>
  <TitlesOfParts>
    <vt:vector size="1" baseType="lpstr">
      <vt:lpstr>– Suggested Structure</vt:lpstr>
    </vt:vector>
  </TitlesOfParts>
  <Company>Provincial Matters</Company>
  <LinksUpToDate>false</LinksUpToDate>
  <CharactersWithSpaces>231766</CharactersWithSpaces>
  <SharedDoc>false</SharedDoc>
  <HLinks>
    <vt:vector size="456" baseType="variant">
      <vt:variant>
        <vt:i4>1179675</vt:i4>
      </vt:variant>
      <vt:variant>
        <vt:i4>399</vt:i4>
      </vt:variant>
      <vt:variant>
        <vt:i4>0</vt:i4>
      </vt:variant>
      <vt:variant>
        <vt:i4>5</vt:i4>
      </vt:variant>
      <vt:variant>
        <vt:lpwstr>http://www.rdv.vic.gov.au/victorian-regions/loddon-mallee/loddon-mallee-south</vt:lpwstr>
      </vt:variant>
      <vt:variant>
        <vt:lpwstr/>
      </vt:variant>
      <vt:variant>
        <vt:i4>1245241</vt:i4>
      </vt:variant>
      <vt:variant>
        <vt:i4>392</vt:i4>
      </vt:variant>
      <vt:variant>
        <vt:i4>0</vt:i4>
      </vt:variant>
      <vt:variant>
        <vt:i4>5</vt:i4>
      </vt:variant>
      <vt:variant>
        <vt:lpwstr/>
      </vt:variant>
      <vt:variant>
        <vt:lpwstr>_Toc347392410</vt:lpwstr>
      </vt:variant>
      <vt:variant>
        <vt:i4>1179705</vt:i4>
      </vt:variant>
      <vt:variant>
        <vt:i4>386</vt:i4>
      </vt:variant>
      <vt:variant>
        <vt:i4>0</vt:i4>
      </vt:variant>
      <vt:variant>
        <vt:i4>5</vt:i4>
      </vt:variant>
      <vt:variant>
        <vt:lpwstr/>
      </vt:variant>
      <vt:variant>
        <vt:lpwstr>_Toc347392409</vt:lpwstr>
      </vt:variant>
      <vt:variant>
        <vt:i4>1179705</vt:i4>
      </vt:variant>
      <vt:variant>
        <vt:i4>380</vt:i4>
      </vt:variant>
      <vt:variant>
        <vt:i4>0</vt:i4>
      </vt:variant>
      <vt:variant>
        <vt:i4>5</vt:i4>
      </vt:variant>
      <vt:variant>
        <vt:lpwstr/>
      </vt:variant>
      <vt:variant>
        <vt:lpwstr>_Toc347392408</vt:lpwstr>
      </vt:variant>
      <vt:variant>
        <vt:i4>1179705</vt:i4>
      </vt:variant>
      <vt:variant>
        <vt:i4>374</vt:i4>
      </vt:variant>
      <vt:variant>
        <vt:i4>0</vt:i4>
      </vt:variant>
      <vt:variant>
        <vt:i4>5</vt:i4>
      </vt:variant>
      <vt:variant>
        <vt:lpwstr/>
      </vt:variant>
      <vt:variant>
        <vt:lpwstr>_Toc347392407</vt:lpwstr>
      </vt:variant>
      <vt:variant>
        <vt:i4>1179705</vt:i4>
      </vt:variant>
      <vt:variant>
        <vt:i4>368</vt:i4>
      </vt:variant>
      <vt:variant>
        <vt:i4>0</vt:i4>
      </vt:variant>
      <vt:variant>
        <vt:i4>5</vt:i4>
      </vt:variant>
      <vt:variant>
        <vt:lpwstr/>
      </vt:variant>
      <vt:variant>
        <vt:lpwstr>_Toc347392406</vt:lpwstr>
      </vt:variant>
      <vt:variant>
        <vt:i4>1179705</vt:i4>
      </vt:variant>
      <vt:variant>
        <vt:i4>362</vt:i4>
      </vt:variant>
      <vt:variant>
        <vt:i4>0</vt:i4>
      </vt:variant>
      <vt:variant>
        <vt:i4>5</vt:i4>
      </vt:variant>
      <vt:variant>
        <vt:lpwstr/>
      </vt:variant>
      <vt:variant>
        <vt:lpwstr>_Toc347392405</vt:lpwstr>
      </vt:variant>
      <vt:variant>
        <vt:i4>1179705</vt:i4>
      </vt:variant>
      <vt:variant>
        <vt:i4>356</vt:i4>
      </vt:variant>
      <vt:variant>
        <vt:i4>0</vt:i4>
      </vt:variant>
      <vt:variant>
        <vt:i4>5</vt:i4>
      </vt:variant>
      <vt:variant>
        <vt:lpwstr/>
      </vt:variant>
      <vt:variant>
        <vt:lpwstr>_Toc347392404</vt:lpwstr>
      </vt:variant>
      <vt:variant>
        <vt:i4>1179705</vt:i4>
      </vt:variant>
      <vt:variant>
        <vt:i4>350</vt:i4>
      </vt:variant>
      <vt:variant>
        <vt:i4>0</vt:i4>
      </vt:variant>
      <vt:variant>
        <vt:i4>5</vt:i4>
      </vt:variant>
      <vt:variant>
        <vt:lpwstr/>
      </vt:variant>
      <vt:variant>
        <vt:lpwstr>_Toc347392403</vt:lpwstr>
      </vt:variant>
      <vt:variant>
        <vt:i4>1179705</vt:i4>
      </vt:variant>
      <vt:variant>
        <vt:i4>344</vt:i4>
      </vt:variant>
      <vt:variant>
        <vt:i4>0</vt:i4>
      </vt:variant>
      <vt:variant>
        <vt:i4>5</vt:i4>
      </vt:variant>
      <vt:variant>
        <vt:lpwstr/>
      </vt:variant>
      <vt:variant>
        <vt:lpwstr>_Toc347392402</vt:lpwstr>
      </vt:variant>
      <vt:variant>
        <vt:i4>1179705</vt:i4>
      </vt:variant>
      <vt:variant>
        <vt:i4>338</vt:i4>
      </vt:variant>
      <vt:variant>
        <vt:i4>0</vt:i4>
      </vt:variant>
      <vt:variant>
        <vt:i4>5</vt:i4>
      </vt:variant>
      <vt:variant>
        <vt:lpwstr/>
      </vt:variant>
      <vt:variant>
        <vt:lpwstr>_Toc347392401</vt:lpwstr>
      </vt:variant>
      <vt:variant>
        <vt:i4>1179705</vt:i4>
      </vt:variant>
      <vt:variant>
        <vt:i4>332</vt:i4>
      </vt:variant>
      <vt:variant>
        <vt:i4>0</vt:i4>
      </vt:variant>
      <vt:variant>
        <vt:i4>5</vt:i4>
      </vt:variant>
      <vt:variant>
        <vt:lpwstr/>
      </vt:variant>
      <vt:variant>
        <vt:lpwstr>_Toc347392400</vt:lpwstr>
      </vt:variant>
      <vt:variant>
        <vt:i4>1769534</vt:i4>
      </vt:variant>
      <vt:variant>
        <vt:i4>326</vt:i4>
      </vt:variant>
      <vt:variant>
        <vt:i4>0</vt:i4>
      </vt:variant>
      <vt:variant>
        <vt:i4>5</vt:i4>
      </vt:variant>
      <vt:variant>
        <vt:lpwstr/>
      </vt:variant>
      <vt:variant>
        <vt:lpwstr>_Toc347392399</vt:lpwstr>
      </vt:variant>
      <vt:variant>
        <vt:i4>1769534</vt:i4>
      </vt:variant>
      <vt:variant>
        <vt:i4>320</vt:i4>
      </vt:variant>
      <vt:variant>
        <vt:i4>0</vt:i4>
      </vt:variant>
      <vt:variant>
        <vt:i4>5</vt:i4>
      </vt:variant>
      <vt:variant>
        <vt:lpwstr/>
      </vt:variant>
      <vt:variant>
        <vt:lpwstr>_Toc347392398</vt:lpwstr>
      </vt:variant>
      <vt:variant>
        <vt:i4>1769534</vt:i4>
      </vt:variant>
      <vt:variant>
        <vt:i4>314</vt:i4>
      </vt:variant>
      <vt:variant>
        <vt:i4>0</vt:i4>
      </vt:variant>
      <vt:variant>
        <vt:i4>5</vt:i4>
      </vt:variant>
      <vt:variant>
        <vt:lpwstr/>
      </vt:variant>
      <vt:variant>
        <vt:lpwstr>_Toc347392397</vt:lpwstr>
      </vt:variant>
      <vt:variant>
        <vt:i4>1769534</vt:i4>
      </vt:variant>
      <vt:variant>
        <vt:i4>308</vt:i4>
      </vt:variant>
      <vt:variant>
        <vt:i4>0</vt:i4>
      </vt:variant>
      <vt:variant>
        <vt:i4>5</vt:i4>
      </vt:variant>
      <vt:variant>
        <vt:lpwstr/>
      </vt:variant>
      <vt:variant>
        <vt:lpwstr>_Toc347392396</vt:lpwstr>
      </vt:variant>
      <vt:variant>
        <vt:i4>1769534</vt:i4>
      </vt:variant>
      <vt:variant>
        <vt:i4>302</vt:i4>
      </vt:variant>
      <vt:variant>
        <vt:i4>0</vt:i4>
      </vt:variant>
      <vt:variant>
        <vt:i4>5</vt:i4>
      </vt:variant>
      <vt:variant>
        <vt:lpwstr/>
      </vt:variant>
      <vt:variant>
        <vt:lpwstr>_Toc347392395</vt:lpwstr>
      </vt:variant>
      <vt:variant>
        <vt:i4>1769534</vt:i4>
      </vt:variant>
      <vt:variant>
        <vt:i4>296</vt:i4>
      </vt:variant>
      <vt:variant>
        <vt:i4>0</vt:i4>
      </vt:variant>
      <vt:variant>
        <vt:i4>5</vt:i4>
      </vt:variant>
      <vt:variant>
        <vt:lpwstr/>
      </vt:variant>
      <vt:variant>
        <vt:lpwstr>_Toc347392394</vt:lpwstr>
      </vt:variant>
      <vt:variant>
        <vt:i4>1769534</vt:i4>
      </vt:variant>
      <vt:variant>
        <vt:i4>290</vt:i4>
      </vt:variant>
      <vt:variant>
        <vt:i4>0</vt:i4>
      </vt:variant>
      <vt:variant>
        <vt:i4>5</vt:i4>
      </vt:variant>
      <vt:variant>
        <vt:lpwstr/>
      </vt:variant>
      <vt:variant>
        <vt:lpwstr>_Toc347392393</vt:lpwstr>
      </vt:variant>
      <vt:variant>
        <vt:i4>1769534</vt:i4>
      </vt:variant>
      <vt:variant>
        <vt:i4>284</vt:i4>
      </vt:variant>
      <vt:variant>
        <vt:i4>0</vt:i4>
      </vt:variant>
      <vt:variant>
        <vt:i4>5</vt:i4>
      </vt:variant>
      <vt:variant>
        <vt:lpwstr/>
      </vt:variant>
      <vt:variant>
        <vt:lpwstr>_Toc347392392</vt:lpwstr>
      </vt:variant>
      <vt:variant>
        <vt:i4>1769534</vt:i4>
      </vt:variant>
      <vt:variant>
        <vt:i4>278</vt:i4>
      </vt:variant>
      <vt:variant>
        <vt:i4>0</vt:i4>
      </vt:variant>
      <vt:variant>
        <vt:i4>5</vt:i4>
      </vt:variant>
      <vt:variant>
        <vt:lpwstr/>
      </vt:variant>
      <vt:variant>
        <vt:lpwstr>_Toc347392391</vt:lpwstr>
      </vt:variant>
      <vt:variant>
        <vt:i4>1769534</vt:i4>
      </vt:variant>
      <vt:variant>
        <vt:i4>272</vt:i4>
      </vt:variant>
      <vt:variant>
        <vt:i4>0</vt:i4>
      </vt:variant>
      <vt:variant>
        <vt:i4>5</vt:i4>
      </vt:variant>
      <vt:variant>
        <vt:lpwstr/>
      </vt:variant>
      <vt:variant>
        <vt:lpwstr>_Toc347392390</vt:lpwstr>
      </vt:variant>
      <vt:variant>
        <vt:i4>1703998</vt:i4>
      </vt:variant>
      <vt:variant>
        <vt:i4>266</vt:i4>
      </vt:variant>
      <vt:variant>
        <vt:i4>0</vt:i4>
      </vt:variant>
      <vt:variant>
        <vt:i4>5</vt:i4>
      </vt:variant>
      <vt:variant>
        <vt:lpwstr/>
      </vt:variant>
      <vt:variant>
        <vt:lpwstr>_Toc347392389</vt:lpwstr>
      </vt:variant>
      <vt:variant>
        <vt:i4>1703998</vt:i4>
      </vt:variant>
      <vt:variant>
        <vt:i4>260</vt:i4>
      </vt:variant>
      <vt:variant>
        <vt:i4>0</vt:i4>
      </vt:variant>
      <vt:variant>
        <vt:i4>5</vt:i4>
      </vt:variant>
      <vt:variant>
        <vt:lpwstr/>
      </vt:variant>
      <vt:variant>
        <vt:lpwstr>_Toc347392388</vt:lpwstr>
      </vt:variant>
      <vt:variant>
        <vt:i4>1703998</vt:i4>
      </vt:variant>
      <vt:variant>
        <vt:i4>254</vt:i4>
      </vt:variant>
      <vt:variant>
        <vt:i4>0</vt:i4>
      </vt:variant>
      <vt:variant>
        <vt:i4>5</vt:i4>
      </vt:variant>
      <vt:variant>
        <vt:lpwstr/>
      </vt:variant>
      <vt:variant>
        <vt:lpwstr>_Toc347392387</vt:lpwstr>
      </vt:variant>
      <vt:variant>
        <vt:i4>1703998</vt:i4>
      </vt:variant>
      <vt:variant>
        <vt:i4>248</vt:i4>
      </vt:variant>
      <vt:variant>
        <vt:i4>0</vt:i4>
      </vt:variant>
      <vt:variant>
        <vt:i4>5</vt:i4>
      </vt:variant>
      <vt:variant>
        <vt:lpwstr/>
      </vt:variant>
      <vt:variant>
        <vt:lpwstr>_Toc347392386</vt:lpwstr>
      </vt:variant>
      <vt:variant>
        <vt:i4>1703998</vt:i4>
      </vt:variant>
      <vt:variant>
        <vt:i4>242</vt:i4>
      </vt:variant>
      <vt:variant>
        <vt:i4>0</vt:i4>
      </vt:variant>
      <vt:variant>
        <vt:i4>5</vt:i4>
      </vt:variant>
      <vt:variant>
        <vt:lpwstr/>
      </vt:variant>
      <vt:variant>
        <vt:lpwstr>_Toc347392385</vt:lpwstr>
      </vt:variant>
      <vt:variant>
        <vt:i4>1703998</vt:i4>
      </vt:variant>
      <vt:variant>
        <vt:i4>236</vt:i4>
      </vt:variant>
      <vt:variant>
        <vt:i4>0</vt:i4>
      </vt:variant>
      <vt:variant>
        <vt:i4>5</vt:i4>
      </vt:variant>
      <vt:variant>
        <vt:lpwstr/>
      </vt:variant>
      <vt:variant>
        <vt:lpwstr>_Toc347392384</vt:lpwstr>
      </vt:variant>
      <vt:variant>
        <vt:i4>1703998</vt:i4>
      </vt:variant>
      <vt:variant>
        <vt:i4>230</vt:i4>
      </vt:variant>
      <vt:variant>
        <vt:i4>0</vt:i4>
      </vt:variant>
      <vt:variant>
        <vt:i4>5</vt:i4>
      </vt:variant>
      <vt:variant>
        <vt:lpwstr/>
      </vt:variant>
      <vt:variant>
        <vt:lpwstr>_Toc347392383</vt:lpwstr>
      </vt:variant>
      <vt:variant>
        <vt:i4>1703998</vt:i4>
      </vt:variant>
      <vt:variant>
        <vt:i4>224</vt:i4>
      </vt:variant>
      <vt:variant>
        <vt:i4>0</vt:i4>
      </vt:variant>
      <vt:variant>
        <vt:i4>5</vt:i4>
      </vt:variant>
      <vt:variant>
        <vt:lpwstr/>
      </vt:variant>
      <vt:variant>
        <vt:lpwstr>_Toc347392382</vt:lpwstr>
      </vt:variant>
      <vt:variant>
        <vt:i4>1703998</vt:i4>
      </vt:variant>
      <vt:variant>
        <vt:i4>218</vt:i4>
      </vt:variant>
      <vt:variant>
        <vt:i4>0</vt:i4>
      </vt:variant>
      <vt:variant>
        <vt:i4>5</vt:i4>
      </vt:variant>
      <vt:variant>
        <vt:lpwstr/>
      </vt:variant>
      <vt:variant>
        <vt:lpwstr>_Toc347392381</vt:lpwstr>
      </vt:variant>
      <vt:variant>
        <vt:i4>1703998</vt:i4>
      </vt:variant>
      <vt:variant>
        <vt:i4>212</vt:i4>
      </vt:variant>
      <vt:variant>
        <vt:i4>0</vt:i4>
      </vt:variant>
      <vt:variant>
        <vt:i4>5</vt:i4>
      </vt:variant>
      <vt:variant>
        <vt:lpwstr/>
      </vt:variant>
      <vt:variant>
        <vt:lpwstr>_Toc347392380</vt:lpwstr>
      </vt:variant>
      <vt:variant>
        <vt:i4>1376318</vt:i4>
      </vt:variant>
      <vt:variant>
        <vt:i4>206</vt:i4>
      </vt:variant>
      <vt:variant>
        <vt:i4>0</vt:i4>
      </vt:variant>
      <vt:variant>
        <vt:i4>5</vt:i4>
      </vt:variant>
      <vt:variant>
        <vt:lpwstr/>
      </vt:variant>
      <vt:variant>
        <vt:lpwstr>_Toc347392379</vt:lpwstr>
      </vt:variant>
      <vt:variant>
        <vt:i4>1376318</vt:i4>
      </vt:variant>
      <vt:variant>
        <vt:i4>200</vt:i4>
      </vt:variant>
      <vt:variant>
        <vt:i4>0</vt:i4>
      </vt:variant>
      <vt:variant>
        <vt:i4>5</vt:i4>
      </vt:variant>
      <vt:variant>
        <vt:lpwstr/>
      </vt:variant>
      <vt:variant>
        <vt:lpwstr>_Toc347392378</vt:lpwstr>
      </vt:variant>
      <vt:variant>
        <vt:i4>1376318</vt:i4>
      </vt:variant>
      <vt:variant>
        <vt:i4>194</vt:i4>
      </vt:variant>
      <vt:variant>
        <vt:i4>0</vt:i4>
      </vt:variant>
      <vt:variant>
        <vt:i4>5</vt:i4>
      </vt:variant>
      <vt:variant>
        <vt:lpwstr/>
      </vt:variant>
      <vt:variant>
        <vt:lpwstr>_Toc347392377</vt:lpwstr>
      </vt:variant>
      <vt:variant>
        <vt:i4>1376318</vt:i4>
      </vt:variant>
      <vt:variant>
        <vt:i4>188</vt:i4>
      </vt:variant>
      <vt:variant>
        <vt:i4>0</vt:i4>
      </vt:variant>
      <vt:variant>
        <vt:i4>5</vt:i4>
      </vt:variant>
      <vt:variant>
        <vt:lpwstr/>
      </vt:variant>
      <vt:variant>
        <vt:lpwstr>_Toc347392376</vt:lpwstr>
      </vt:variant>
      <vt:variant>
        <vt:i4>1376318</vt:i4>
      </vt:variant>
      <vt:variant>
        <vt:i4>182</vt:i4>
      </vt:variant>
      <vt:variant>
        <vt:i4>0</vt:i4>
      </vt:variant>
      <vt:variant>
        <vt:i4>5</vt:i4>
      </vt:variant>
      <vt:variant>
        <vt:lpwstr/>
      </vt:variant>
      <vt:variant>
        <vt:lpwstr>_Toc347392375</vt:lpwstr>
      </vt:variant>
      <vt:variant>
        <vt:i4>1376318</vt:i4>
      </vt:variant>
      <vt:variant>
        <vt:i4>176</vt:i4>
      </vt:variant>
      <vt:variant>
        <vt:i4>0</vt:i4>
      </vt:variant>
      <vt:variant>
        <vt:i4>5</vt:i4>
      </vt:variant>
      <vt:variant>
        <vt:lpwstr/>
      </vt:variant>
      <vt:variant>
        <vt:lpwstr>_Toc347392374</vt:lpwstr>
      </vt:variant>
      <vt:variant>
        <vt:i4>1376318</vt:i4>
      </vt:variant>
      <vt:variant>
        <vt:i4>170</vt:i4>
      </vt:variant>
      <vt:variant>
        <vt:i4>0</vt:i4>
      </vt:variant>
      <vt:variant>
        <vt:i4>5</vt:i4>
      </vt:variant>
      <vt:variant>
        <vt:lpwstr/>
      </vt:variant>
      <vt:variant>
        <vt:lpwstr>_Toc347392373</vt:lpwstr>
      </vt:variant>
      <vt:variant>
        <vt:i4>1376318</vt:i4>
      </vt:variant>
      <vt:variant>
        <vt:i4>164</vt:i4>
      </vt:variant>
      <vt:variant>
        <vt:i4>0</vt:i4>
      </vt:variant>
      <vt:variant>
        <vt:i4>5</vt:i4>
      </vt:variant>
      <vt:variant>
        <vt:lpwstr/>
      </vt:variant>
      <vt:variant>
        <vt:lpwstr>_Toc347392372</vt:lpwstr>
      </vt:variant>
      <vt:variant>
        <vt:i4>1376318</vt:i4>
      </vt:variant>
      <vt:variant>
        <vt:i4>158</vt:i4>
      </vt:variant>
      <vt:variant>
        <vt:i4>0</vt:i4>
      </vt:variant>
      <vt:variant>
        <vt:i4>5</vt:i4>
      </vt:variant>
      <vt:variant>
        <vt:lpwstr/>
      </vt:variant>
      <vt:variant>
        <vt:lpwstr>_Toc347392371</vt:lpwstr>
      </vt:variant>
      <vt:variant>
        <vt:i4>1376318</vt:i4>
      </vt:variant>
      <vt:variant>
        <vt:i4>152</vt:i4>
      </vt:variant>
      <vt:variant>
        <vt:i4>0</vt:i4>
      </vt:variant>
      <vt:variant>
        <vt:i4>5</vt:i4>
      </vt:variant>
      <vt:variant>
        <vt:lpwstr/>
      </vt:variant>
      <vt:variant>
        <vt:lpwstr>_Toc347392370</vt:lpwstr>
      </vt:variant>
      <vt:variant>
        <vt:i4>1310782</vt:i4>
      </vt:variant>
      <vt:variant>
        <vt:i4>146</vt:i4>
      </vt:variant>
      <vt:variant>
        <vt:i4>0</vt:i4>
      </vt:variant>
      <vt:variant>
        <vt:i4>5</vt:i4>
      </vt:variant>
      <vt:variant>
        <vt:lpwstr/>
      </vt:variant>
      <vt:variant>
        <vt:lpwstr>_Toc347392369</vt:lpwstr>
      </vt:variant>
      <vt:variant>
        <vt:i4>1310782</vt:i4>
      </vt:variant>
      <vt:variant>
        <vt:i4>140</vt:i4>
      </vt:variant>
      <vt:variant>
        <vt:i4>0</vt:i4>
      </vt:variant>
      <vt:variant>
        <vt:i4>5</vt:i4>
      </vt:variant>
      <vt:variant>
        <vt:lpwstr/>
      </vt:variant>
      <vt:variant>
        <vt:lpwstr>_Toc347392368</vt:lpwstr>
      </vt:variant>
      <vt:variant>
        <vt:i4>1310782</vt:i4>
      </vt:variant>
      <vt:variant>
        <vt:i4>134</vt:i4>
      </vt:variant>
      <vt:variant>
        <vt:i4>0</vt:i4>
      </vt:variant>
      <vt:variant>
        <vt:i4>5</vt:i4>
      </vt:variant>
      <vt:variant>
        <vt:lpwstr/>
      </vt:variant>
      <vt:variant>
        <vt:lpwstr>_Toc347392367</vt:lpwstr>
      </vt:variant>
      <vt:variant>
        <vt:i4>1310782</vt:i4>
      </vt:variant>
      <vt:variant>
        <vt:i4>128</vt:i4>
      </vt:variant>
      <vt:variant>
        <vt:i4>0</vt:i4>
      </vt:variant>
      <vt:variant>
        <vt:i4>5</vt:i4>
      </vt:variant>
      <vt:variant>
        <vt:lpwstr/>
      </vt:variant>
      <vt:variant>
        <vt:lpwstr>_Toc347392366</vt:lpwstr>
      </vt:variant>
      <vt:variant>
        <vt:i4>1310782</vt:i4>
      </vt:variant>
      <vt:variant>
        <vt:i4>122</vt:i4>
      </vt:variant>
      <vt:variant>
        <vt:i4>0</vt:i4>
      </vt:variant>
      <vt:variant>
        <vt:i4>5</vt:i4>
      </vt:variant>
      <vt:variant>
        <vt:lpwstr/>
      </vt:variant>
      <vt:variant>
        <vt:lpwstr>_Toc347392365</vt:lpwstr>
      </vt:variant>
      <vt:variant>
        <vt:i4>1310782</vt:i4>
      </vt:variant>
      <vt:variant>
        <vt:i4>116</vt:i4>
      </vt:variant>
      <vt:variant>
        <vt:i4>0</vt:i4>
      </vt:variant>
      <vt:variant>
        <vt:i4>5</vt:i4>
      </vt:variant>
      <vt:variant>
        <vt:lpwstr/>
      </vt:variant>
      <vt:variant>
        <vt:lpwstr>_Toc347392364</vt:lpwstr>
      </vt:variant>
      <vt:variant>
        <vt:i4>1310782</vt:i4>
      </vt:variant>
      <vt:variant>
        <vt:i4>110</vt:i4>
      </vt:variant>
      <vt:variant>
        <vt:i4>0</vt:i4>
      </vt:variant>
      <vt:variant>
        <vt:i4>5</vt:i4>
      </vt:variant>
      <vt:variant>
        <vt:lpwstr/>
      </vt:variant>
      <vt:variant>
        <vt:lpwstr>_Toc347392363</vt:lpwstr>
      </vt:variant>
      <vt:variant>
        <vt:i4>1310782</vt:i4>
      </vt:variant>
      <vt:variant>
        <vt:i4>104</vt:i4>
      </vt:variant>
      <vt:variant>
        <vt:i4>0</vt:i4>
      </vt:variant>
      <vt:variant>
        <vt:i4>5</vt:i4>
      </vt:variant>
      <vt:variant>
        <vt:lpwstr/>
      </vt:variant>
      <vt:variant>
        <vt:lpwstr>_Toc347392362</vt:lpwstr>
      </vt:variant>
      <vt:variant>
        <vt:i4>1310782</vt:i4>
      </vt:variant>
      <vt:variant>
        <vt:i4>98</vt:i4>
      </vt:variant>
      <vt:variant>
        <vt:i4>0</vt:i4>
      </vt:variant>
      <vt:variant>
        <vt:i4>5</vt:i4>
      </vt:variant>
      <vt:variant>
        <vt:lpwstr/>
      </vt:variant>
      <vt:variant>
        <vt:lpwstr>_Toc347392361</vt:lpwstr>
      </vt:variant>
      <vt:variant>
        <vt:i4>1310782</vt:i4>
      </vt:variant>
      <vt:variant>
        <vt:i4>92</vt:i4>
      </vt:variant>
      <vt:variant>
        <vt:i4>0</vt:i4>
      </vt:variant>
      <vt:variant>
        <vt:i4>5</vt:i4>
      </vt:variant>
      <vt:variant>
        <vt:lpwstr/>
      </vt:variant>
      <vt:variant>
        <vt:lpwstr>_Toc347392360</vt:lpwstr>
      </vt:variant>
      <vt:variant>
        <vt:i4>1507390</vt:i4>
      </vt:variant>
      <vt:variant>
        <vt:i4>86</vt:i4>
      </vt:variant>
      <vt:variant>
        <vt:i4>0</vt:i4>
      </vt:variant>
      <vt:variant>
        <vt:i4>5</vt:i4>
      </vt:variant>
      <vt:variant>
        <vt:lpwstr/>
      </vt:variant>
      <vt:variant>
        <vt:lpwstr>_Toc347392359</vt:lpwstr>
      </vt:variant>
      <vt:variant>
        <vt:i4>1507390</vt:i4>
      </vt:variant>
      <vt:variant>
        <vt:i4>80</vt:i4>
      </vt:variant>
      <vt:variant>
        <vt:i4>0</vt:i4>
      </vt:variant>
      <vt:variant>
        <vt:i4>5</vt:i4>
      </vt:variant>
      <vt:variant>
        <vt:lpwstr/>
      </vt:variant>
      <vt:variant>
        <vt:lpwstr>_Toc347392358</vt:lpwstr>
      </vt:variant>
      <vt:variant>
        <vt:i4>1507390</vt:i4>
      </vt:variant>
      <vt:variant>
        <vt:i4>74</vt:i4>
      </vt:variant>
      <vt:variant>
        <vt:i4>0</vt:i4>
      </vt:variant>
      <vt:variant>
        <vt:i4>5</vt:i4>
      </vt:variant>
      <vt:variant>
        <vt:lpwstr/>
      </vt:variant>
      <vt:variant>
        <vt:lpwstr>_Toc347392357</vt:lpwstr>
      </vt:variant>
      <vt:variant>
        <vt:i4>1507390</vt:i4>
      </vt:variant>
      <vt:variant>
        <vt:i4>68</vt:i4>
      </vt:variant>
      <vt:variant>
        <vt:i4>0</vt:i4>
      </vt:variant>
      <vt:variant>
        <vt:i4>5</vt:i4>
      </vt:variant>
      <vt:variant>
        <vt:lpwstr/>
      </vt:variant>
      <vt:variant>
        <vt:lpwstr>_Toc347392356</vt:lpwstr>
      </vt:variant>
      <vt:variant>
        <vt:i4>1507390</vt:i4>
      </vt:variant>
      <vt:variant>
        <vt:i4>62</vt:i4>
      </vt:variant>
      <vt:variant>
        <vt:i4>0</vt:i4>
      </vt:variant>
      <vt:variant>
        <vt:i4>5</vt:i4>
      </vt:variant>
      <vt:variant>
        <vt:lpwstr/>
      </vt:variant>
      <vt:variant>
        <vt:lpwstr>_Toc347392355</vt:lpwstr>
      </vt:variant>
      <vt:variant>
        <vt:i4>1507390</vt:i4>
      </vt:variant>
      <vt:variant>
        <vt:i4>56</vt:i4>
      </vt:variant>
      <vt:variant>
        <vt:i4>0</vt:i4>
      </vt:variant>
      <vt:variant>
        <vt:i4>5</vt:i4>
      </vt:variant>
      <vt:variant>
        <vt:lpwstr/>
      </vt:variant>
      <vt:variant>
        <vt:lpwstr>_Toc347392354</vt:lpwstr>
      </vt:variant>
      <vt:variant>
        <vt:i4>1507390</vt:i4>
      </vt:variant>
      <vt:variant>
        <vt:i4>50</vt:i4>
      </vt:variant>
      <vt:variant>
        <vt:i4>0</vt:i4>
      </vt:variant>
      <vt:variant>
        <vt:i4>5</vt:i4>
      </vt:variant>
      <vt:variant>
        <vt:lpwstr/>
      </vt:variant>
      <vt:variant>
        <vt:lpwstr>_Toc347392353</vt:lpwstr>
      </vt:variant>
      <vt:variant>
        <vt:i4>1507390</vt:i4>
      </vt:variant>
      <vt:variant>
        <vt:i4>44</vt:i4>
      </vt:variant>
      <vt:variant>
        <vt:i4>0</vt:i4>
      </vt:variant>
      <vt:variant>
        <vt:i4>5</vt:i4>
      </vt:variant>
      <vt:variant>
        <vt:lpwstr/>
      </vt:variant>
      <vt:variant>
        <vt:lpwstr>_Toc347392352</vt:lpwstr>
      </vt:variant>
      <vt:variant>
        <vt:i4>1507390</vt:i4>
      </vt:variant>
      <vt:variant>
        <vt:i4>38</vt:i4>
      </vt:variant>
      <vt:variant>
        <vt:i4>0</vt:i4>
      </vt:variant>
      <vt:variant>
        <vt:i4>5</vt:i4>
      </vt:variant>
      <vt:variant>
        <vt:lpwstr/>
      </vt:variant>
      <vt:variant>
        <vt:lpwstr>_Toc347392351</vt:lpwstr>
      </vt:variant>
      <vt:variant>
        <vt:i4>1507390</vt:i4>
      </vt:variant>
      <vt:variant>
        <vt:i4>32</vt:i4>
      </vt:variant>
      <vt:variant>
        <vt:i4>0</vt:i4>
      </vt:variant>
      <vt:variant>
        <vt:i4>5</vt:i4>
      </vt:variant>
      <vt:variant>
        <vt:lpwstr/>
      </vt:variant>
      <vt:variant>
        <vt:lpwstr>_Toc347392350</vt:lpwstr>
      </vt:variant>
      <vt:variant>
        <vt:i4>1441854</vt:i4>
      </vt:variant>
      <vt:variant>
        <vt:i4>26</vt:i4>
      </vt:variant>
      <vt:variant>
        <vt:i4>0</vt:i4>
      </vt:variant>
      <vt:variant>
        <vt:i4>5</vt:i4>
      </vt:variant>
      <vt:variant>
        <vt:lpwstr/>
      </vt:variant>
      <vt:variant>
        <vt:lpwstr>_Toc347392349</vt:lpwstr>
      </vt:variant>
      <vt:variant>
        <vt:i4>1441854</vt:i4>
      </vt:variant>
      <vt:variant>
        <vt:i4>20</vt:i4>
      </vt:variant>
      <vt:variant>
        <vt:i4>0</vt:i4>
      </vt:variant>
      <vt:variant>
        <vt:i4>5</vt:i4>
      </vt:variant>
      <vt:variant>
        <vt:lpwstr/>
      </vt:variant>
      <vt:variant>
        <vt:lpwstr>_Toc347392348</vt:lpwstr>
      </vt:variant>
      <vt:variant>
        <vt:i4>1441854</vt:i4>
      </vt:variant>
      <vt:variant>
        <vt:i4>14</vt:i4>
      </vt:variant>
      <vt:variant>
        <vt:i4>0</vt:i4>
      </vt:variant>
      <vt:variant>
        <vt:i4>5</vt:i4>
      </vt:variant>
      <vt:variant>
        <vt:lpwstr/>
      </vt:variant>
      <vt:variant>
        <vt:lpwstr>_Toc347392347</vt:lpwstr>
      </vt:variant>
      <vt:variant>
        <vt:i4>1441854</vt:i4>
      </vt:variant>
      <vt:variant>
        <vt:i4>8</vt:i4>
      </vt:variant>
      <vt:variant>
        <vt:i4>0</vt:i4>
      </vt:variant>
      <vt:variant>
        <vt:i4>5</vt:i4>
      </vt:variant>
      <vt:variant>
        <vt:lpwstr/>
      </vt:variant>
      <vt:variant>
        <vt:lpwstr>_Toc347392346</vt:lpwstr>
      </vt:variant>
      <vt:variant>
        <vt:i4>1441854</vt:i4>
      </vt:variant>
      <vt:variant>
        <vt:i4>2</vt:i4>
      </vt:variant>
      <vt:variant>
        <vt:i4>0</vt:i4>
      </vt:variant>
      <vt:variant>
        <vt:i4>5</vt:i4>
      </vt:variant>
      <vt:variant>
        <vt:lpwstr/>
      </vt:variant>
      <vt:variant>
        <vt:lpwstr>_Toc347392345</vt:lpwstr>
      </vt:variant>
      <vt:variant>
        <vt:i4>6291518</vt:i4>
      </vt:variant>
      <vt:variant>
        <vt:i4>24</vt:i4>
      </vt:variant>
      <vt:variant>
        <vt:i4>0</vt:i4>
      </vt:variant>
      <vt:variant>
        <vt:i4>5</vt:i4>
      </vt:variant>
      <vt:variant>
        <vt:lpwstr>http://www.asris.csiro.au/</vt:lpwstr>
      </vt:variant>
      <vt:variant>
        <vt:lpwstr/>
      </vt:variant>
      <vt:variant>
        <vt:i4>4194349</vt:i4>
      </vt:variant>
      <vt:variant>
        <vt:i4>21</vt:i4>
      </vt:variant>
      <vt:variant>
        <vt:i4>0</vt:i4>
      </vt:variant>
      <vt:variant>
        <vt:i4>5</vt:i4>
      </vt:variant>
      <vt:variant>
        <vt:lpwstr>http://vro.dpi.vic.gov.au/dpi/vro/vrosite.nsf/pages/lwm_salinity_management_urban</vt:lpwstr>
      </vt:variant>
      <vt:variant>
        <vt:lpwstr/>
      </vt:variant>
      <vt:variant>
        <vt:i4>7274558</vt:i4>
      </vt:variant>
      <vt:variant>
        <vt:i4>18</vt:i4>
      </vt:variant>
      <vt:variant>
        <vt:i4>0</vt:i4>
      </vt:variant>
      <vt:variant>
        <vt:i4>5</vt:i4>
      </vt:variant>
      <vt:variant>
        <vt:lpwstr>http://www.climatechange.vic.gov.au/what-is-climate-change</vt:lpwstr>
      </vt:variant>
      <vt:variant>
        <vt:lpwstr/>
      </vt:variant>
      <vt:variant>
        <vt:i4>7798846</vt:i4>
      </vt:variant>
      <vt:variant>
        <vt:i4>15</vt:i4>
      </vt:variant>
      <vt:variant>
        <vt:i4>0</vt:i4>
      </vt:variant>
      <vt:variant>
        <vt:i4>5</vt:i4>
      </vt:variant>
      <vt:variant>
        <vt:lpwstr>http://www.climatechange.vic.gov.au/regional-projections/north-central</vt:lpwstr>
      </vt:variant>
      <vt:variant>
        <vt:lpwstr/>
      </vt:variant>
      <vt:variant>
        <vt:i4>1114192</vt:i4>
      </vt:variant>
      <vt:variant>
        <vt:i4>12</vt:i4>
      </vt:variant>
      <vt:variant>
        <vt:i4>0</vt:i4>
      </vt:variant>
      <vt:variant>
        <vt:i4>5</vt:i4>
      </vt:variant>
      <vt:variant>
        <vt:lpwstr>http://www.royalcommission.vic.gov.au/Commission-Reports/Final-Report</vt:lpwstr>
      </vt:variant>
      <vt:variant>
        <vt:lpwstr/>
      </vt:variant>
      <vt:variant>
        <vt:i4>1114192</vt:i4>
      </vt:variant>
      <vt:variant>
        <vt:i4>9</vt:i4>
      </vt:variant>
      <vt:variant>
        <vt:i4>0</vt:i4>
      </vt:variant>
      <vt:variant>
        <vt:i4>5</vt:i4>
      </vt:variant>
      <vt:variant>
        <vt:lpwstr>http://www.royalcommission.vic.gov.au/Commission-Reports/Final-Report</vt:lpwstr>
      </vt:variant>
      <vt:variant>
        <vt:lpwstr/>
      </vt:variant>
      <vt:variant>
        <vt:i4>3866677</vt:i4>
      </vt:variant>
      <vt:variant>
        <vt:i4>6</vt:i4>
      </vt:variant>
      <vt:variant>
        <vt:i4>0</vt:i4>
      </vt:variant>
      <vt:variant>
        <vt:i4>5</vt:i4>
      </vt:variant>
      <vt:variant>
        <vt:lpwstr>http://vro.dpi.vic.gov.au/dpi/vro/vrosite.nsf/pages/landuse-water-supply-catchments</vt:lpwstr>
      </vt:variant>
      <vt:variant>
        <vt:lpwstr/>
      </vt:variant>
      <vt:variant>
        <vt:i4>3276834</vt:i4>
      </vt:variant>
      <vt:variant>
        <vt:i4>3</vt:i4>
      </vt:variant>
      <vt:variant>
        <vt:i4>0</vt:i4>
      </vt:variant>
      <vt:variant>
        <vt:i4>5</vt:i4>
      </vt:variant>
      <vt:variant>
        <vt:lpwstr>http://www.inffer.org/</vt:lpwstr>
      </vt:variant>
      <vt:variant>
        <vt:lpwstr/>
      </vt:variant>
      <vt:variant>
        <vt:i4>3604537</vt:i4>
      </vt:variant>
      <vt:variant>
        <vt:i4>0</vt:i4>
      </vt:variant>
      <vt:variant>
        <vt:i4>0</vt:i4>
      </vt:variant>
      <vt:variant>
        <vt:i4>5</vt:i4>
      </vt:variant>
      <vt:variant>
        <vt:lpwstr>http://www.dse.vic.gov.au/conservation-and-environment/biodiversity/natureprint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Suggested Structure</dc:title>
  <dc:creator>rbc</dc:creator>
  <cp:lastModifiedBy>Sarah Keating</cp:lastModifiedBy>
  <cp:revision>2</cp:revision>
  <cp:lastPrinted>2014-02-18T02:13:00Z</cp:lastPrinted>
  <dcterms:created xsi:type="dcterms:W3CDTF">2017-07-12T04:35:00Z</dcterms:created>
  <dcterms:modified xsi:type="dcterms:W3CDTF">2017-07-12T04:35:00Z</dcterms:modified>
</cp:coreProperties>
</file>