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0E0C" w14:textId="0E22F548" w:rsidR="00A85F5A" w:rsidRDefault="00A85F5A" w:rsidP="0070373F">
      <w:r>
        <w:t>This guideline provides information on how to prepare and evaluate a proposed planning scheme or planning</w:t>
      </w:r>
      <w:r>
        <w:rPr>
          <w:spacing w:val="1"/>
        </w:rPr>
        <w:t xml:space="preserve"> </w:t>
      </w:r>
      <w:r>
        <w:t xml:space="preserve">scheme amendment to satisfy section 12(2A) of the </w:t>
      </w:r>
      <w:r>
        <w:rPr>
          <w:i/>
        </w:rPr>
        <w:t xml:space="preserve">Planning and Environment Act 1987 </w:t>
      </w:r>
      <w:r>
        <w:t xml:space="preserve">(the Act) and </w:t>
      </w:r>
      <w:r w:rsidRPr="00DE783C">
        <w:rPr>
          <w:i/>
        </w:rPr>
        <w:t>Ministerial Direction 22</w:t>
      </w:r>
      <w:r w:rsidR="00910DDA">
        <w:rPr>
          <w:i/>
        </w:rPr>
        <w:t xml:space="preserve"> -</w:t>
      </w:r>
      <w:r w:rsidRPr="00DE783C">
        <w:rPr>
          <w:i/>
          <w:spacing w:val="2"/>
        </w:rPr>
        <w:t xml:space="preserve"> </w:t>
      </w:r>
      <w:r w:rsidRPr="00DE783C">
        <w:rPr>
          <w:i/>
        </w:rPr>
        <w:t>Climate</w:t>
      </w:r>
      <w:r w:rsidRPr="00DE783C">
        <w:rPr>
          <w:i/>
          <w:spacing w:val="-1"/>
        </w:rPr>
        <w:t xml:space="preserve"> </w:t>
      </w:r>
      <w:r>
        <w:rPr>
          <w:i/>
        </w:rPr>
        <w:t>C</w:t>
      </w:r>
      <w:r w:rsidRPr="00DE783C">
        <w:rPr>
          <w:i/>
        </w:rPr>
        <w:t>hange</w:t>
      </w:r>
      <w:r w:rsidRPr="00DE783C">
        <w:rPr>
          <w:i/>
          <w:spacing w:val="-1"/>
        </w:rPr>
        <w:t xml:space="preserve"> </w:t>
      </w:r>
      <w:r>
        <w:rPr>
          <w:i/>
        </w:rPr>
        <w:t>C</w:t>
      </w:r>
      <w:r w:rsidRPr="00DE783C">
        <w:rPr>
          <w:i/>
        </w:rPr>
        <w:t>onsideration</w:t>
      </w:r>
      <w:r>
        <w:rPr>
          <w:i/>
        </w:rPr>
        <w:t xml:space="preserve"> </w:t>
      </w:r>
      <w:r>
        <w:t>(Ministerial Direction).</w:t>
      </w:r>
    </w:p>
    <w:p w14:paraId="2E9BD0AF" w14:textId="45EFA718" w:rsidR="00A85F5A" w:rsidRDefault="00A85F5A" w:rsidP="0070373F">
      <w:r>
        <w:t>Reference to</w:t>
      </w:r>
      <w:r>
        <w:rPr>
          <w:spacing w:val="-2"/>
        </w:rPr>
        <w:t xml:space="preserve"> </w:t>
      </w:r>
      <w:r>
        <w:t>climate</w:t>
      </w:r>
      <w:r>
        <w:rPr>
          <w:spacing w:val="-2"/>
        </w:rPr>
        <w:t xml:space="preserve"> </w:t>
      </w:r>
      <w:r>
        <w:t>change</w:t>
      </w:r>
      <w:r>
        <w:rPr>
          <w:spacing w:val="-2"/>
        </w:rPr>
        <w:t xml:space="preserve"> in </w:t>
      </w:r>
      <w:r>
        <w:t>this</w:t>
      </w:r>
      <w:r>
        <w:rPr>
          <w:spacing w:val="-1"/>
        </w:rPr>
        <w:t xml:space="preserve"> guideline </w:t>
      </w:r>
      <w:r>
        <w:t>includes consideration of and responses to greenhouse gas emissions reduction targets and increasing resilience to</w:t>
      </w:r>
      <w:r>
        <w:rPr>
          <w:spacing w:val="-2"/>
        </w:rPr>
        <w:t xml:space="preserve"> </w:t>
      </w:r>
      <w:r>
        <w:t>climate</w:t>
      </w:r>
      <w:r>
        <w:rPr>
          <w:spacing w:val="-2"/>
        </w:rPr>
        <w:t xml:space="preserve"> </w:t>
      </w:r>
      <w:r>
        <w:t>change</w:t>
      </w:r>
      <w:r>
        <w:rPr>
          <w:spacing w:val="-2"/>
        </w:rPr>
        <w:t xml:space="preserve"> </w:t>
      </w:r>
      <w:r>
        <w:t>risks.</w:t>
      </w:r>
    </w:p>
    <w:p w14:paraId="2AA1A450" w14:textId="788DE482" w:rsidR="00A85F5A" w:rsidRPr="00D61DB5" w:rsidRDefault="00A85F5A" w:rsidP="00080D93">
      <w:pPr>
        <w:pStyle w:val="Heading1"/>
      </w:pPr>
      <w:r w:rsidRPr="00D61DB5">
        <w:t>1.0</w:t>
      </w:r>
      <w:r w:rsidRPr="00D61DB5">
        <w:tab/>
      </w:r>
      <w:r w:rsidR="00080D93">
        <w:tab/>
      </w:r>
      <w:r w:rsidRPr="004B59E6">
        <w:t>CONTEXT</w:t>
      </w:r>
    </w:p>
    <w:p w14:paraId="162969A1" w14:textId="4A419F3A" w:rsidR="00A85F5A" w:rsidRDefault="00A85F5A" w:rsidP="00080D93">
      <w:pPr>
        <w:pStyle w:val="Heading1NoTOC"/>
      </w:pPr>
      <w:r>
        <w:t xml:space="preserve">1.1 </w:t>
      </w:r>
      <w:r w:rsidR="004B59E6">
        <w:tab/>
      </w:r>
      <w:r w:rsidR="00080D93">
        <w:tab/>
      </w:r>
      <w:r w:rsidR="00080D93">
        <w:tab/>
      </w:r>
      <w:r w:rsidRPr="00080D93">
        <w:t>Victoria’s</w:t>
      </w:r>
      <w:r w:rsidRPr="4A67C26F">
        <w:t xml:space="preserve"> </w:t>
      </w:r>
      <w:r>
        <w:t>climate action</w:t>
      </w:r>
    </w:p>
    <w:p w14:paraId="4DC613CA" w14:textId="685A9883" w:rsidR="00A85F5A" w:rsidRPr="00A727A5" w:rsidRDefault="00A85F5A" w:rsidP="00080D93">
      <w:pPr>
        <w:pStyle w:val="Heading2"/>
      </w:pPr>
      <w:r>
        <w:t>1.1.1</w:t>
      </w:r>
      <w:r w:rsidR="00080D93">
        <w:tab/>
      </w:r>
      <w:r w:rsidR="00080D93">
        <w:tab/>
      </w:r>
      <w:r w:rsidRPr="00080D93">
        <w:t>Greenhouse</w:t>
      </w:r>
      <w:r w:rsidRPr="00A727A5">
        <w:t xml:space="preserve"> gas (GHG) emissions </w:t>
      </w:r>
      <w:r>
        <w:t xml:space="preserve">reduction </w:t>
      </w:r>
      <w:r w:rsidRPr="00A727A5">
        <w:t xml:space="preserve">targets </w:t>
      </w:r>
    </w:p>
    <w:p w14:paraId="42F1FF1B" w14:textId="5E9F96CF" w:rsidR="00A85F5A" w:rsidRDefault="00A85F5A" w:rsidP="0070373F">
      <w:r>
        <w:t xml:space="preserve">Legislated GHG emissions targets under the </w:t>
      </w:r>
      <w:r w:rsidRPr="008E2573">
        <w:rPr>
          <w:i/>
        </w:rPr>
        <w:t xml:space="preserve">Climate </w:t>
      </w:r>
      <w:r>
        <w:rPr>
          <w:i/>
        </w:rPr>
        <w:t>Action</w:t>
      </w:r>
      <w:r w:rsidRPr="008E2573">
        <w:rPr>
          <w:i/>
        </w:rPr>
        <w:t xml:space="preserve"> Act 2017</w:t>
      </w:r>
      <w:r>
        <w:t xml:space="preserve"> (CA Act) include a target of net zero</w:t>
      </w:r>
      <w:r>
        <w:rPr>
          <w:spacing w:val="1"/>
        </w:rPr>
        <w:t xml:space="preserve"> </w:t>
      </w:r>
      <w:r>
        <w:t>emissions by 2045, along with interim emissions reduction targets of 28-33% by 2025, 45-50% by 2030 and 75-80% by 20</w:t>
      </w:r>
      <w:r w:rsidR="00DE0F2F">
        <w:t>40</w:t>
      </w:r>
      <w:r>
        <w:t>.</w:t>
      </w:r>
    </w:p>
    <w:p w14:paraId="58D476AA" w14:textId="16F129C1" w:rsidR="00A85F5A" w:rsidRDefault="00A85F5A" w:rsidP="0070373F">
      <w:r>
        <w:t>The state legislated GHG emissions reduction targets provide the policy context for section 12(2A)(a) of the Act, which requires planning authorities to</w:t>
      </w:r>
      <w:r w:rsidRPr="7AA80606">
        <w:t xml:space="preserve"> have regard to </w:t>
      </w:r>
      <w:r>
        <w:t>the</w:t>
      </w:r>
      <w:r w:rsidRPr="7AA80606">
        <w:t xml:space="preserve"> targets</w:t>
      </w:r>
      <w:r>
        <w:t xml:space="preserve"> when preparing a planning scheme or amendment</w:t>
      </w:r>
      <w:r w:rsidRPr="7AA80606">
        <w:t>.</w:t>
      </w:r>
    </w:p>
    <w:p w14:paraId="69D93903" w14:textId="0574D1C9" w:rsidR="00A85F5A" w:rsidRDefault="00A85F5A" w:rsidP="0070373F">
      <w:hyperlink r:id="rId14" w:history="1">
        <w:r w:rsidRPr="004F1DBF">
          <w:rPr>
            <w:rStyle w:val="Hyperlink"/>
            <w:i/>
          </w:rPr>
          <w:t xml:space="preserve">Victoria’s Climate Change </w:t>
        </w:r>
        <w:r w:rsidRPr="00455D87">
          <w:rPr>
            <w:rStyle w:val="Hyperlink"/>
            <w:i/>
          </w:rPr>
          <w:t>Strategy</w:t>
        </w:r>
      </w:hyperlink>
      <w:r w:rsidR="00C10D1B">
        <w:rPr>
          <w:i/>
        </w:rPr>
        <w:t xml:space="preserve"> </w:t>
      </w:r>
      <w:r w:rsidR="00C10D1B" w:rsidRPr="00B947AE">
        <w:t>(</w:t>
      </w:r>
      <w:r w:rsidR="00C10D1B">
        <w:t>Department of Environment, Land, Water and Planning DELWP, May 2021)</w:t>
      </w:r>
      <w:r>
        <w:t xml:space="preserve"> is issued every five years under the CA Act and outlines Victoria’s plan for reducing GHG emissions.</w:t>
      </w:r>
    </w:p>
    <w:p w14:paraId="4D6D1F73" w14:textId="63ABA995" w:rsidR="00A85F5A" w:rsidRPr="00DF3C1E" w:rsidRDefault="00A85F5A" w:rsidP="00080D93">
      <w:pPr>
        <w:pStyle w:val="Heading2"/>
      </w:pPr>
      <w:r w:rsidRPr="00DF3C1E">
        <w:t xml:space="preserve">1.1.2 </w:t>
      </w:r>
      <w:r w:rsidR="0009560E">
        <w:tab/>
      </w:r>
      <w:r w:rsidR="0009560E">
        <w:tab/>
      </w:r>
      <w:r w:rsidRPr="00DF3C1E">
        <w:t>Climate change adaptation</w:t>
      </w:r>
    </w:p>
    <w:p w14:paraId="6E5C662D" w14:textId="406A0191" w:rsidR="00A85F5A" w:rsidRDefault="00A85F5A" w:rsidP="0070373F">
      <w:r>
        <w:t xml:space="preserve">The CA Act also includes a policy objective to build the resilience of the State’s infrastructure, built environment and communities through effective adaptation and disaster preparedness action.  Adaptation objectives and priorities are outlined in </w:t>
      </w:r>
      <w:hyperlink r:id="rId15" w:history="1">
        <w:r w:rsidRPr="00B947AE">
          <w:rPr>
            <w:rStyle w:val="Hyperlink"/>
            <w:i/>
          </w:rPr>
          <w:t>Victoria’s Climate Change Strategy</w:t>
        </w:r>
      </w:hyperlink>
      <w:r w:rsidR="004F1DBF">
        <w:rPr>
          <w:i/>
        </w:rPr>
        <w:t xml:space="preserve"> </w:t>
      </w:r>
      <w:r w:rsidR="00C10D1B">
        <w:t>(</w:t>
      </w:r>
      <w:r w:rsidR="00F50071">
        <w:t>DEL</w:t>
      </w:r>
      <w:r w:rsidR="00E215EE">
        <w:t>WP</w:t>
      </w:r>
      <w:r w:rsidR="00F50071">
        <w:t>, May 2021)</w:t>
      </w:r>
      <w:r>
        <w:t xml:space="preserve"> and associated adaptation action plans (prepared every five years)</w:t>
      </w:r>
      <w:r w:rsidR="008F5EE1">
        <w:t>,</w:t>
      </w:r>
      <w:r>
        <w:t xml:space="preserve"> to support a more climate resilient built and natural environment.</w:t>
      </w:r>
    </w:p>
    <w:p w14:paraId="69C8BFA9" w14:textId="08BCAD9F" w:rsidR="00A85F5A" w:rsidRDefault="00A85F5A" w:rsidP="0070373F">
      <w:r w:rsidRPr="6C9AD58B">
        <w:t xml:space="preserve">Land use </w:t>
      </w:r>
      <w:r>
        <w:t xml:space="preserve">and development </w:t>
      </w:r>
      <w:r w:rsidRPr="6C9AD58B">
        <w:t xml:space="preserve">planning measures </w:t>
      </w:r>
      <w:r>
        <w:t xml:space="preserve">are set out in the </w:t>
      </w:r>
      <w:hyperlink r:id="rId16" w:history="1">
        <w:r w:rsidRPr="00233D95">
          <w:rPr>
            <w:rStyle w:val="Hyperlink"/>
            <w:i/>
          </w:rPr>
          <w:t xml:space="preserve">Built Environment </w:t>
        </w:r>
        <w:r w:rsidR="00A1616A" w:rsidRPr="00233D95">
          <w:rPr>
            <w:rStyle w:val="Hyperlink"/>
            <w:i/>
          </w:rPr>
          <w:t>Climate Change</w:t>
        </w:r>
        <w:r w:rsidR="00233D95" w:rsidRPr="00233D95">
          <w:rPr>
            <w:rStyle w:val="Hyperlink"/>
            <w:i/>
          </w:rPr>
          <w:t xml:space="preserve"> </w:t>
        </w:r>
        <w:r w:rsidRPr="00233D95">
          <w:rPr>
            <w:rStyle w:val="Hyperlink"/>
            <w:i/>
          </w:rPr>
          <w:t>Adaptation Action Plan</w:t>
        </w:r>
      </w:hyperlink>
      <w:r w:rsidR="00233D95" w:rsidRPr="00B947AE">
        <w:rPr>
          <w:rStyle w:val="Hyperlink"/>
        </w:rPr>
        <w:t xml:space="preserve"> 2022-2026</w:t>
      </w:r>
      <w:r w:rsidR="00CC6F4B">
        <w:rPr>
          <w:i/>
        </w:rPr>
        <w:t xml:space="preserve"> </w:t>
      </w:r>
      <w:r w:rsidR="00CC6F4B" w:rsidRPr="00B947AE">
        <w:t xml:space="preserve">(DELWP </w:t>
      </w:r>
      <w:r w:rsidR="009A7C95" w:rsidRPr="00B947AE">
        <w:t>2022)</w:t>
      </w:r>
      <w:r w:rsidRPr="00B947AE">
        <w:rPr>
          <w:i/>
        </w:rPr>
        <w:t>,</w:t>
      </w:r>
      <w:r>
        <w:t xml:space="preserve"> one of seven </w:t>
      </w:r>
      <w:r w:rsidRPr="6C9AD58B">
        <w:t>adaptation action plans.</w:t>
      </w:r>
    </w:p>
    <w:p w14:paraId="556DA536" w14:textId="71BFD58B" w:rsidR="00A85F5A" w:rsidRPr="008A1C34" w:rsidRDefault="00A85F5A" w:rsidP="00080D93">
      <w:pPr>
        <w:pStyle w:val="Heading1NoTOC"/>
      </w:pPr>
      <w:r w:rsidRPr="008A1C34">
        <w:t>1.</w:t>
      </w:r>
      <w:r>
        <w:t>2</w:t>
      </w:r>
      <w:r>
        <w:tab/>
      </w:r>
      <w:r w:rsidR="0009560E">
        <w:tab/>
      </w:r>
      <w:r w:rsidR="0009560E">
        <w:tab/>
      </w:r>
      <w:r>
        <w:t>Relevant</w:t>
      </w:r>
      <w:r w:rsidRPr="008107DA">
        <w:t xml:space="preserve"> </w:t>
      </w:r>
      <w:r w:rsidRPr="00FD7B80">
        <w:t xml:space="preserve">sections </w:t>
      </w:r>
      <w:r w:rsidRPr="008A1C34">
        <w:t xml:space="preserve">of the </w:t>
      </w:r>
      <w:r>
        <w:t xml:space="preserve">Act </w:t>
      </w:r>
    </w:p>
    <w:p w14:paraId="6A67FB41" w14:textId="2B70B794" w:rsidR="00A85F5A" w:rsidRDefault="00A85F5A" w:rsidP="005C1280">
      <w:r>
        <w:t>One of the objectives of the planning framework established by the Act</w:t>
      </w:r>
      <w:r w:rsidR="00E8096F">
        <w:t>,</w:t>
      </w:r>
      <w:r>
        <w:t xml:space="preserve"> is to provide for explicit consideration of the policies and obligations of the State relating to climate change, including but not limited to GHG emissions reduction targets and the need to increase resilience to climate change, when decisions are made about the use and development of land (</w:t>
      </w:r>
      <w:r w:rsidRPr="009154B7">
        <w:t>section 4(2)(da).</w:t>
      </w:r>
      <w:r>
        <w:t xml:space="preserve">  It guides planning authorities in their 5-yearly reviews of planning schemes and provides more explicit support for climate related provisions being included in planning schemes.</w:t>
      </w:r>
    </w:p>
    <w:p w14:paraId="321EE95F" w14:textId="77777777" w:rsidR="00A85F5A" w:rsidRDefault="00A85F5A" w:rsidP="005C1280">
      <w:r>
        <w:t>Under section 12(2A) in preparing a planning scheme or am</w:t>
      </w:r>
      <w:r w:rsidRPr="00F548B3">
        <w:t>endment, a planning authority must, in accordance with and subject to the Ministerial Direction, have regard to:</w:t>
      </w:r>
    </w:p>
    <w:p w14:paraId="66EBA58B" w14:textId="77777777" w:rsidR="00A85F5A" w:rsidRPr="006D2FC9" w:rsidRDefault="00A85F5A" w:rsidP="00C967EC">
      <w:pPr>
        <w:pStyle w:val="BodyText"/>
      </w:pPr>
      <w:r w:rsidRPr="000D1070">
        <w:t>emissions</w:t>
      </w:r>
      <w:r w:rsidRPr="006D2FC9">
        <w:t xml:space="preserve"> reduction targets</w:t>
      </w:r>
    </w:p>
    <w:p w14:paraId="793AC2FF" w14:textId="77777777" w:rsidR="00A85F5A" w:rsidRPr="006D2FC9" w:rsidRDefault="00A85F5A" w:rsidP="00C967EC">
      <w:pPr>
        <w:pStyle w:val="BodyText"/>
      </w:pPr>
      <w:r w:rsidRPr="006D2FC9">
        <w:t xml:space="preserve">any significant risk to any use or development envisaged by the scheme or amendment that arises from, or is likely to arise from, the impacts of climate change. </w:t>
      </w:r>
    </w:p>
    <w:p w14:paraId="5E57BA5A" w14:textId="5A846F94" w:rsidR="00A85F5A" w:rsidRPr="00DF3C1E" w:rsidRDefault="00A85F5A" w:rsidP="00080D93">
      <w:pPr>
        <w:pStyle w:val="Heading1NoTOC"/>
      </w:pPr>
      <w:r w:rsidRPr="00DF3C1E">
        <w:t>1.3</w:t>
      </w:r>
      <w:r w:rsidRPr="00DF3C1E">
        <w:tab/>
      </w:r>
      <w:r w:rsidR="007F6668">
        <w:tab/>
      </w:r>
      <w:r w:rsidR="007F6668">
        <w:tab/>
      </w:r>
      <w:r w:rsidRPr="00DF3C1E">
        <w:t>Ministerial Direction</w:t>
      </w:r>
    </w:p>
    <w:p w14:paraId="66950980" w14:textId="77777777" w:rsidR="00A85F5A" w:rsidRDefault="00A85F5A" w:rsidP="005C1280">
      <w:r>
        <w:t>The Ministerial</w:t>
      </w:r>
      <w:r>
        <w:rPr>
          <w:spacing w:val="-4"/>
        </w:rPr>
        <w:t xml:space="preserve"> </w:t>
      </w:r>
      <w:r>
        <w:t>Direction</w:t>
      </w:r>
      <w:r>
        <w:rPr>
          <w:spacing w:val="-1"/>
        </w:rPr>
        <w:t xml:space="preserve"> </w:t>
      </w:r>
      <w:r>
        <w:t>specifies:</w:t>
      </w:r>
    </w:p>
    <w:p w14:paraId="7E9A6889" w14:textId="4F9DF94D" w:rsidR="00A85F5A" w:rsidRPr="00063C4A" w:rsidRDefault="00A85F5A" w:rsidP="00C967EC">
      <w:pPr>
        <w:pStyle w:val="BodyText"/>
      </w:pPr>
      <w:r w:rsidRPr="00063C4A">
        <w:t xml:space="preserve">the type of planning scheme amendments to which the requirement in section 12(2A) </w:t>
      </w:r>
      <w:r w:rsidR="00560A14">
        <w:t xml:space="preserve">of the Act </w:t>
      </w:r>
      <w:r w:rsidRPr="00063C4A">
        <w:t>applies (Section 2.0 of this guideline)</w:t>
      </w:r>
    </w:p>
    <w:p w14:paraId="04A94556" w14:textId="4A1B6D88" w:rsidR="00A85F5A" w:rsidRPr="00063C4A" w:rsidRDefault="00A85F5A" w:rsidP="00C967EC">
      <w:pPr>
        <w:pStyle w:val="BodyText"/>
      </w:pPr>
      <w:r w:rsidRPr="00063C4A">
        <w:t>the matters relating to climate change</w:t>
      </w:r>
      <w:r w:rsidR="0056275E">
        <w:t>,</w:t>
      </w:r>
      <w:r w:rsidRPr="00063C4A">
        <w:t xml:space="preserve"> a planning authority must have regard to or is not required to have regard to (Section 3.0 of this guideline)</w:t>
      </w:r>
    </w:p>
    <w:p w14:paraId="6CD5A791" w14:textId="2480ABD9" w:rsidR="00A85F5A" w:rsidRPr="00063C4A" w:rsidRDefault="00A85F5A" w:rsidP="00C967EC">
      <w:pPr>
        <w:pStyle w:val="BodyText"/>
      </w:pPr>
      <w:r w:rsidRPr="00063C4A">
        <w:t>how the requirement under section 12(2A)</w:t>
      </w:r>
      <w:r w:rsidR="00560A14">
        <w:t xml:space="preserve"> of the Act</w:t>
      </w:r>
      <w:r w:rsidRPr="00063C4A">
        <w:t xml:space="preserve"> is to be satisfied (Section 4.0 of this guideline).</w:t>
      </w:r>
    </w:p>
    <w:p w14:paraId="5B8A4FC6" w14:textId="77777777" w:rsidR="00A85F5A" w:rsidRDefault="00A85F5A" w:rsidP="005C1280">
      <w:r>
        <w:t>The Ministerial Direction focuses on strategic planning scheme decisions, highlighting the benefits of early integration of Victoria’s climate change objectives into the land use and development process.</w:t>
      </w:r>
    </w:p>
    <w:p w14:paraId="3770A1CA" w14:textId="706AE664" w:rsidR="00A85F5A" w:rsidRPr="00CE65A4" w:rsidRDefault="00A85F5A" w:rsidP="00393C43">
      <w:r>
        <w:t xml:space="preserve">A planning authority must also have regard to the Victoria Planning Provisions (VPP) and any </w:t>
      </w:r>
      <w:r w:rsidRPr="006D2FC9">
        <w:t>policy</w:t>
      </w:r>
      <w:r>
        <w:t xml:space="preserve"> statement which forms part of the planning scheme. </w:t>
      </w:r>
      <w:r w:rsidRPr="00CE65A4">
        <w:t>The VPP and all planning schemes contain existing policy and statutory controls which support:</w:t>
      </w:r>
    </w:p>
    <w:p w14:paraId="76FB952D" w14:textId="77777777" w:rsidR="00A85F5A" w:rsidRDefault="00A85F5A" w:rsidP="00C967EC">
      <w:pPr>
        <w:pStyle w:val="BodyText"/>
      </w:pPr>
      <w:r w:rsidRPr="00CE65A4">
        <w:t>emissions reduction, including through reducing fossil gas use, enhancing energy efficiency, increasing use of active and public transport and facilitating renewable energy</w:t>
      </w:r>
    </w:p>
    <w:p w14:paraId="2C96D489" w14:textId="77777777" w:rsidR="00A85F5A" w:rsidRPr="008F2DF0" w:rsidRDefault="00A85F5A" w:rsidP="00C967EC">
      <w:pPr>
        <w:pStyle w:val="BodyText"/>
      </w:pPr>
      <w:r w:rsidRPr="008F2DF0">
        <w:t xml:space="preserve">increasing resilience to climate change, including in relation to coastal inundation and erosion, bushfire, flood, landslip and landslide, and additional impacts relating to drought and heatwave as highlighted through the Ministerial Direction. </w:t>
      </w:r>
    </w:p>
    <w:p w14:paraId="316468E8" w14:textId="7935F223" w:rsidR="00A85F5A" w:rsidRPr="00DF3C1E" w:rsidRDefault="00A85F5A" w:rsidP="00080D93">
      <w:pPr>
        <w:pStyle w:val="Heading1NoTOC"/>
      </w:pPr>
      <w:r w:rsidRPr="00DF3C1E">
        <w:t>1.4</w:t>
      </w:r>
      <w:r w:rsidRPr="00DF3C1E">
        <w:tab/>
      </w:r>
      <w:r w:rsidR="007F6668">
        <w:tab/>
      </w:r>
      <w:r w:rsidR="007F6668">
        <w:tab/>
      </w:r>
      <w:r w:rsidRPr="00DF3C1E">
        <w:t>Transitional provisions</w:t>
      </w:r>
      <w:r w:rsidR="00DE1412">
        <w:t xml:space="preserve"> under the Act</w:t>
      </w:r>
    </w:p>
    <w:p w14:paraId="74195DA7" w14:textId="77777777" w:rsidR="00A85F5A" w:rsidRPr="001B0385" w:rsidRDefault="00A85F5A" w:rsidP="00C967EC">
      <w:pPr>
        <w:rPr>
          <w:color w:val="000000"/>
        </w:rPr>
      </w:pPr>
      <w:r>
        <w:t>Under the transitional provisions (</w:t>
      </w:r>
      <w:r w:rsidRPr="00D4164A">
        <w:t>section</w:t>
      </w:r>
      <w:r w:rsidRPr="00D4164A">
        <w:rPr>
          <w:spacing w:val="-3"/>
        </w:rPr>
        <w:t xml:space="preserve"> 230 of the Act</w:t>
      </w:r>
      <w:r>
        <w:rPr>
          <w:spacing w:val="-3"/>
        </w:rPr>
        <w:t xml:space="preserve">) section </w:t>
      </w:r>
      <w:r w:rsidRPr="007C2145">
        <w:t>12(2A)</w:t>
      </w:r>
      <w:r w:rsidRPr="007C2145">
        <w:rPr>
          <w:spacing w:val="-2"/>
        </w:rPr>
        <w:t xml:space="preserve"> </w:t>
      </w:r>
      <w:r w:rsidRPr="007C2145">
        <w:rPr>
          <w:b/>
        </w:rPr>
        <w:t>does</w:t>
      </w:r>
      <w:r w:rsidRPr="007C2145">
        <w:rPr>
          <w:b/>
          <w:spacing w:val="-2"/>
        </w:rPr>
        <w:t xml:space="preserve"> </w:t>
      </w:r>
      <w:r w:rsidRPr="007C2145">
        <w:rPr>
          <w:b/>
        </w:rPr>
        <w:t>not</w:t>
      </w:r>
      <w:r w:rsidRPr="007C2145">
        <w:rPr>
          <w:b/>
          <w:spacing w:val="-1"/>
        </w:rPr>
        <w:t xml:space="preserve"> </w:t>
      </w:r>
      <w:r w:rsidRPr="007C2145">
        <w:t>apply</w:t>
      </w:r>
      <w:r w:rsidRPr="007C2145">
        <w:rPr>
          <w:spacing w:val="-1"/>
        </w:rPr>
        <w:t xml:space="preserve"> </w:t>
      </w:r>
      <w:r w:rsidRPr="007C2145">
        <w:t>to</w:t>
      </w:r>
      <w:r w:rsidRPr="007C2145">
        <w:rPr>
          <w:spacing w:val="-1"/>
        </w:rPr>
        <w:t xml:space="preserve"> </w:t>
      </w:r>
      <w:r w:rsidRPr="007C2145">
        <w:t>the</w:t>
      </w:r>
      <w:r w:rsidRPr="007C2145">
        <w:rPr>
          <w:spacing w:val="-1"/>
        </w:rPr>
        <w:t xml:space="preserve"> </w:t>
      </w:r>
      <w:r w:rsidRPr="007C2145">
        <w:t>preparation</w:t>
      </w:r>
      <w:r w:rsidRPr="007C2145">
        <w:rPr>
          <w:spacing w:val="-2"/>
        </w:rPr>
        <w:t xml:space="preserve"> </w:t>
      </w:r>
      <w:r w:rsidRPr="007C2145">
        <w:t>of</w:t>
      </w:r>
      <w:r w:rsidRPr="007C2145">
        <w:rPr>
          <w:spacing w:val="-1"/>
        </w:rPr>
        <w:t xml:space="preserve"> </w:t>
      </w:r>
      <w:r w:rsidRPr="007C2145">
        <w:t>an</w:t>
      </w:r>
      <w:r w:rsidRPr="007C2145">
        <w:rPr>
          <w:spacing w:val="-1"/>
        </w:rPr>
        <w:t xml:space="preserve"> </w:t>
      </w:r>
      <w:r w:rsidRPr="007C2145">
        <w:t>amendment if one</w:t>
      </w:r>
      <w:r w:rsidRPr="001B0385">
        <w:rPr>
          <w:color w:val="000000"/>
        </w:rPr>
        <w:t xml:space="preserve"> or more of the following steps has been taken</w:t>
      </w:r>
      <w:r>
        <w:rPr>
          <w:color w:val="000000"/>
        </w:rPr>
        <w:t xml:space="preserve"> before 26 March 2025:</w:t>
      </w:r>
      <w:r w:rsidRPr="001B0385">
        <w:rPr>
          <w:color w:val="000000"/>
        </w:rPr>
        <w:t xml:space="preserve"> </w:t>
      </w:r>
    </w:p>
    <w:p w14:paraId="0C2AB38D" w14:textId="25971B48" w:rsidR="00A85F5A" w:rsidRPr="001B0385" w:rsidRDefault="00A85F5A" w:rsidP="00C967EC">
      <w:pPr>
        <w:pStyle w:val="BodyText"/>
        <w:rPr>
          <w:color w:val="000000"/>
        </w:rPr>
      </w:pPr>
      <w:r>
        <w:t>T</w:t>
      </w:r>
      <w:r w:rsidRPr="1C445209">
        <w:t>he planning authority has given notice of the preparation of the amendment in accordance with section 19</w:t>
      </w:r>
      <w:r>
        <w:t>.</w:t>
      </w:r>
    </w:p>
    <w:p w14:paraId="5D36E0A4" w14:textId="30FE68A8" w:rsidR="00A85F5A" w:rsidRPr="001B0385" w:rsidRDefault="00A85F5A" w:rsidP="00C967EC">
      <w:pPr>
        <w:pStyle w:val="BodyText"/>
        <w:rPr>
          <w:color w:val="000000"/>
        </w:rPr>
      </w:pPr>
      <w:r>
        <w:t>Th</w:t>
      </w:r>
      <w:r w:rsidRPr="1C445209">
        <w:t>e planning authority has applied to the Minister under section 20(1) for an exemption in respect of the amendment</w:t>
      </w:r>
      <w:r>
        <w:t>.</w:t>
      </w:r>
    </w:p>
    <w:p w14:paraId="1D54EB2B" w14:textId="77777777" w:rsidR="00A85F5A" w:rsidRPr="001B0385" w:rsidRDefault="00A85F5A" w:rsidP="00C967EC">
      <w:pPr>
        <w:pStyle w:val="BodyText"/>
        <w:rPr>
          <w:color w:val="000000"/>
        </w:rPr>
      </w:pPr>
      <w:r>
        <w:t>A</w:t>
      </w:r>
      <w:r w:rsidRPr="1C445209">
        <w:t>ny person has</w:t>
      </w:r>
      <w:r>
        <w:rPr>
          <w:color w:val="000000"/>
        </w:rPr>
        <w:t>:</w:t>
      </w:r>
    </w:p>
    <w:p w14:paraId="5DCE8033" w14:textId="77777777" w:rsidR="00A85F5A" w:rsidRPr="001B0385" w:rsidRDefault="00A85F5A" w:rsidP="00C967EC">
      <w:pPr>
        <w:pStyle w:val="ListBullet2"/>
        <w:rPr>
          <w:color w:val="000000"/>
        </w:rPr>
      </w:pPr>
      <w:r w:rsidRPr="063345D7">
        <w:t>made a request for the preparation of the amendment</w:t>
      </w:r>
    </w:p>
    <w:p w14:paraId="56190B7A" w14:textId="2B01C428" w:rsidR="00A85F5A" w:rsidRPr="001B0385" w:rsidRDefault="00A85F5A" w:rsidP="00C967EC">
      <w:pPr>
        <w:pStyle w:val="ListBullet2"/>
        <w:rPr>
          <w:color w:val="000000"/>
        </w:rPr>
      </w:pPr>
      <w:r w:rsidRPr="063345D7">
        <w:t>applied for an exemption under section 20(4) from any of the requirements of section 19 in respect of the amendment</w:t>
      </w:r>
      <w:r>
        <w:t>.</w:t>
      </w:r>
    </w:p>
    <w:p w14:paraId="19DA3731" w14:textId="2B696C2D" w:rsidR="00A85F5A" w:rsidRPr="001B0385" w:rsidRDefault="00A85F5A" w:rsidP="00C967EC">
      <w:pPr>
        <w:pStyle w:val="BodyText"/>
      </w:pPr>
      <w:r>
        <w:t>T</w:t>
      </w:r>
      <w:r w:rsidRPr="001B0385">
        <w:t>he Minister has exercised a power of exemption under section 20(2) or (4) in respect of the amendment</w:t>
      </w:r>
      <w:r w:rsidR="00433537">
        <w:t>.</w:t>
      </w:r>
    </w:p>
    <w:p w14:paraId="63840D8B" w14:textId="0667C02F" w:rsidR="00A85F5A" w:rsidRPr="001B0385" w:rsidRDefault="00A85F5A" w:rsidP="00C967EC">
      <w:pPr>
        <w:pStyle w:val="BodyText"/>
      </w:pPr>
      <w:r>
        <w:t>T</w:t>
      </w:r>
      <w:r w:rsidRPr="001B0385">
        <w:t>he Minister has determined under section 20A(2) to prepare the amendment</w:t>
      </w:r>
      <w:r w:rsidR="00D9551C">
        <w:t>.</w:t>
      </w:r>
    </w:p>
    <w:p w14:paraId="5C0876EB" w14:textId="77777777" w:rsidR="00A85F5A" w:rsidRPr="001B0385" w:rsidRDefault="00A85F5A" w:rsidP="00C967EC">
      <w:pPr>
        <w:pStyle w:val="BodyText"/>
      </w:pPr>
      <w:r>
        <w:t>T</w:t>
      </w:r>
      <w:r w:rsidRPr="001B0385">
        <w:t>he Minister has either</w:t>
      </w:r>
      <w:r>
        <w:t>:</w:t>
      </w:r>
    </w:p>
    <w:p w14:paraId="4BC70504" w14:textId="3500B11C" w:rsidR="00A85F5A" w:rsidRPr="00DF3C1E" w:rsidRDefault="00A85F5A" w:rsidP="00DF3C1E">
      <w:pPr>
        <w:pStyle w:val="ListBullet2"/>
      </w:pPr>
      <w:r w:rsidRPr="00DF3C1E">
        <w:t xml:space="preserve">established a committee under </w:t>
      </w:r>
      <w:r w:rsidRPr="00CA70CC">
        <w:t>section 151</w:t>
      </w:r>
      <w:r w:rsidRPr="00DF3C1E">
        <w:t xml:space="preserve"> to advise on the amendment or the preparation of the amendment; or</w:t>
      </w:r>
    </w:p>
    <w:p w14:paraId="14F59A75" w14:textId="76975DBA" w:rsidR="00A85F5A" w:rsidRPr="00FB5AD2" w:rsidRDefault="00A85F5A" w:rsidP="00080D93">
      <w:pPr>
        <w:pStyle w:val="ListBullet2"/>
      </w:pPr>
      <w:r w:rsidRPr="00DF3C1E">
        <w:t>referred the amendment or the preparation of the amendment to a committee established under section 151 for advice.</w:t>
      </w:r>
    </w:p>
    <w:p w14:paraId="2D3342A9" w14:textId="27D55A71" w:rsidR="00A85F5A" w:rsidRPr="001B0385" w:rsidRDefault="00A85F5A" w:rsidP="00080D93">
      <w:pPr>
        <w:pStyle w:val="Heading1"/>
      </w:pPr>
      <w:r w:rsidRPr="001B0385">
        <w:t>2.0</w:t>
      </w:r>
      <w:r w:rsidR="0009560E">
        <w:tab/>
      </w:r>
      <w:r>
        <w:tab/>
      </w:r>
      <w:r w:rsidRPr="001B0385">
        <w:t>APPLICATION</w:t>
      </w:r>
    </w:p>
    <w:p w14:paraId="2291242A" w14:textId="23B2E4F8" w:rsidR="00A85F5A" w:rsidRPr="00DF3C1E" w:rsidRDefault="00A85F5A" w:rsidP="00AD62F0">
      <w:pPr>
        <w:pStyle w:val="Heading1NoTOC"/>
      </w:pPr>
      <w:r w:rsidRPr="00DF3C1E">
        <w:t>2.1</w:t>
      </w:r>
      <w:r w:rsidRPr="00DF3C1E">
        <w:tab/>
      </w:r>
      <w:r w:rsidR="00DF3C1E">
        <w:tab/>
      </w:r>
      <w:r w:rsidR="007F6668">
        <w:tab/>
      </w:r>
      <w:r w:rsidRPr="00DF3C1E">
        <w:t>What does section 12(2A)</w:t>
      </w:r>
      <w:r w:rsidR="00FE2E84">
        <w:t xml:space="preserve"> of the Act</w:t>
      </w:r>
      <w:r w:rsidRPr="00DF3C1E">
        <w:t xml:space="preserve"> apply to?</w:t>
      </w:r>
    </w:p>
    <w:p w14:paraId="35251FC6" w14:textId="77777777" w:rsidR="00A85F5A" w:rsidRDefault="00A85F5A" w:rsidP="000A0D3E">
      <w:r>
        <w:t>The</w:t>
      </w:r>
      <w:r>
        <w:rPr>
          <w:spacing w:val="-3"/>
        </w:rPr>
        <w:t xml:space="preserve"> </w:t>
      </w:r>
      <w:r>
        <w:t>requirement</w:t>
      </w:r>
      <w:r>
        <w:rPr>
          <w:spacing w:val="-1"/>
        </w:rPr>
        <w:t xml:space="preserve"> </w:t>
      </w:r>
      <w:r>
        <w:t>to</w:t>
      </w:r>
      <w:r>
        <w:rPr>
          <w:spacing w:val="-1"/>
        </w:rPr>
        <w:t xml:space="preserve"> </w:t>
      </w:r>
      <w:r>
        <w:t>have</w:t>
      </w:r>
      <w:r>
        <w:rPr>
          <w:spacing w:val="-3"/>
        </w:rPr>
        <w:t xml:space="preserve"> </w:t>
      </w:r>
      <w:r>
        <w:t>regard</w:t>
      </w:r>
      <w:r>
        <w:rPr>
          <w:spacing w:val="-3"/>
        </w:rPr>
        <w:t xml:space="preserve"> </w:t>
      </w:r>
      <w:r>
        <w:t>to</w:t>
      </w:r>
      <w:r>
        <w:rPr>
          <w:spacing w:val="-1"/>
        </w:rPr>
        <w:t xml:space="preserve"> </w:t>
      </w:r>
      <w:r>
        <w:t>climate</w:t>
      </w:r>
      <w:r>
        <w:rPr>
          <w:spacing w:val="-2"/>
        </w:rPr>
        <w:t xml:space="preserve"> </w:t>
      </w:r>
      <w:r>
        <w:t>change</w:t>
      </w:r>
      <w:r>
        <w:rPr>
          <w:spacing w:val="-3"/>
        </w:rPr>
        <w:t xml:space="preserve"> </w:t>
      </w:r>
      <w:r>
        <w:t>matters</w:t>
      </w:r>
      <w:r>
        <w:rPr>
          <w:spacing w:val="-1"/>
        </w:rPr>
        <w:t xml:space="preserve"> </w:t>
      </w:r>
      <w:r>
        <w:t>under</w:t>
      </w:r>
      <w:r>
        <w:rPr>
          <w:spacing w:val="-3"/>
        </w:rPr>
        <w:t xml:space="preserve"> </w:t>
      </w:r>
      <w:r>
        <w:t>section</w:t>
      </w:r>
      <w:r>
        <w:rPr>
          <w:spacing w:val="-1"/>
        </w:rPr>
        <w:t xml:space="preserve"> </w:t>
      </w:r>
      <w:r>
        <w:t>12(2A)</w:t>
      </w:r>
      <w:r>
        <w:rPr>
          <w:spacing w:val="-1"/>
        </w:rPr>
        <w:t xml:space="preserve"> </w:t>
      </w:r>
      <w:r>
        <w:t>applies</w:t>
      </w:r>
      <w:r>
        <w:rPr>
          <w:spacing w:val="8"/>
        </w:rPr>
        <w:t xml:space="preserve"> </w:t>
      </w:r>
      <w:r>
        <w:t>to</w:t>
      </w:r>
      <w:r>
        <w:rPr>
          <w:spacing w:val="-3"/>
        </w:rPr>
        <w:t xml:space="preserve"> </w:t>
      </w:r>
      <w:r>
        <w:t>the:</w:t>
      </w:r>
    </w:p>
    <w:p w14:paraId="6C40B177" w14:textId="77777777" w:rsidR="00A85F5A" w:rsidRPr="00AF10BC" w:rsidRDefault="00A85F5A" w:rsidP="00EC4147">
      <w:pPr>
        <w:pStyle w:val="BodyText"/>
      </w:pPr>
      <w:r w:rsidRPr="00AF10BC">
        <w:t>preparation of a new planning scheme</w:t>
      </w:r>
    </w:p>
    <w:p w14:paraId="08E50776" w14:textId="77777777" w:rsidR="00A85F5A" w:rsidRPr="00AF10BC" w:rsidRDefault="00A85F5A" w:rsidP="00EC4147">
      <w:pPr>
        <w:pStyle w:val="BodyText"/>
      </w:pPr>
      <w:r w:rsidRPr="00AF10BC">
        <w:t>the type of amendments specified in the Ministerial Direction.</w:t>
      </w:r>
    </w:p>
    <w:p w14:paraId="555BFCA1" w14:textId="77777777" w:rsidR="00A85F5A" w:rsidRPr="00526CAD" w:rsidRDefault="00A85F5A" w:rsidP="00300A1D">
      <w:pPr>
        <w:rPr>
          <w:b/>
          <w:bCs/>
        </w:rPr>
      </w:pPr>
      <w:r w:rsidRPr="00526CAD">
        <w:t xml:space="preserve">Section 2.1.2 </w:t>
      </w:r>
      <w:r>
        <w:t xml:space="preserve">of this guideline </w:t>
      </w:r>
      <w:r w:rsidRPr="00526CAD">
        <w:t xml:space="preserve">outlines the type of amendments to which the requirements </w:t>
      </w:r>
      <w:r w:rsidRPr="00B947AE">
        <w:rPr>
          <w:b/>
        </w:rPr>
        <w:t>apply</w:t>
      </w:r>
      <w:r w:rsidRPr="00526CAD">
        <w:t xml:space="preserve"> and Section 2.2 the type of amendments that </w:t>
      </w:r>
      <w:r w:rsidRPr="00B947AE">
        <w:rPr>
          <w:b/>
        </w:rPr>
        <w:t>do not apply</w:t>
      </w:r>
      <w:r w:rsidRPr="00526CAD">
        <w:t>.</w:t>
      </w:r>
    </w:p>
    <w:p w14:paraId="44F78042" w14:textId="1E74D718" w:rsidR="00A85F5A" w:rsidRPr="00BA1966" w:rsidRDefault="00A85F5A" w:rsidP="00080D93">
      <w:pPr>
        <w:pStyle w:val="Heading2"/>
      </w:pPr>
      <w:r w:rsidRPr="00BA1966">
        <w:t>2.1.1</w:t>
      </w:r>
      <w:r>
        <w:tab/>
      </w:r>
      <w:r w:rsidR="007F6668">
        <w:tab/>
      </w:r>
      <w:r w:rsidRPr="005C05E7">
        <w:t>Preparation</w:t>
      </w:r>
      <w:r w:rsidRPr="004F78D8">
        <w:t xml:space="preserve"> o</w:t>
      </w:r>
      <w:r w:rsidRPr="00BA1966">
        <w:t xml:space="preserve">f a </w:t>
      </w:r>
      <w:r w:rsidRPr="00070874">
        <w:t xml:space="preserve">planning </w:t>
      </w:r>
      <w:r w:rsidRPr="00BA1966">
        <w:t>scheme</w:t>
      </w:r>
    </w:p>
    <w:p w14:paraId="660040A9" w14:textId="77777777" w:rsidR="00A85F5A" w:rsidRDefault="00A85F5A" w:rsidP="005C05E7">
      <w:pPr>
        <w:rPr>
          <w:b/>
        </w:rPr>
      </w:pPr>
      <w:r w:rsidRPr="0087427B">
        <w:t>A new planning scheme must be approved by the Minister for Planning under section 8(1) of the Act</w:t>
      </w:r>
      <w:r w:rsidRPr="00CB3BBF">
        <w:t>.</w:t>
      </w:r>
      <w:r>
        <w:t xml:space="preserve">  The planning scheme must be consistent with State planning policies relating to GHG emissions, natural hazards and climate change.</w:t>
      </w:r>
    </w:p>
    <w:p w14:paraId="32BD87AF" w14:textId="036C8013" w:rsidR="00A85F5A" w:rsidRPr="00BA1966" w:rsidRDefault="00A85F5A" w:rsidP="00080D93">
      <w:pPr>
        <w:pStyle w:val="Heading2"/>
      </w:pPr>
      <w:r w:rsidRPr="00BA1966">
        <w:t>2.1.2</w:t>
      </w:r>
      <w:r>
        <w:tab/>
      </w:r>
      <w:r w:rsidR="007F6668">
        <w:tab/>
      </w:r>
      <w:r w:rsidRPr="005C05E7">
        <w:t>Preparation</w:t>
      </w:r>
      <w:r w:rsidRPr="00BA1966">
        <w:t xml:space="preserve"> of a planning scheme amendment</w:t>
      </w:r>
    </w:p>
    <w:p w14:paraId="2C0B1AD1" w14:textId="54B95261" w:rsidR="00A85F5A" w:rsidRDefault="00A85F5A" w:rsidP="00314068">
      <w:r>
        <w:t>The requirement applies to planning scheme amendments prepared by a council or other planning authority directly or an amendment proposal initiated by a landowner or other person. If an amendment is prepared at the request of a landowner or other person, the planning authority should discuss the Ministerial Direction with the proponent, so they understand the requirements, including the preparation of relevant documentation.</w:t>
      </w:r>
    </w:p>
    <w:p w14:paraId="4110A063" w14:textId="77777777" w:rsidR="00A85F5A" w:rsidRDefault="00A85F5A" w:rsidP="00314068">
      <w:r>
        <w:t xml:space="preserve">Climate change should be an early consideration when undertaking </w:t>
      </w:r>
      <w:r w:rsidRPr="7BD93351">
        <w:t>strategic work</w:t>
      </w:r>
      <w:r>
        <w:t xml:space="preserve"> and consultation that may result in the preparation of an amendment.</w:t>
      </w:r>
      <w:r w:rsidRPr="7BD93351">
        <w:t xml:space="preserve"> </w:t>
      </w:r>
      <w:r>
        <w:t>This approach should apply regardless of the process leading to an amendment, for example undertaking a planning scheme review, or preparing a housing strategy or initiating the rezoning of land.</w:t>
      </w:r>
    </w:p>
    <w:p w14:paraId="4D3699F0" w14:textId="77777777" w:rsidR="00A85F5A" w:rsidRPr="005C05E7" w:rsidRDefault="00A85F5A" w:rsidP="00314068">
      <w:r w:rsidRPr="005C05E7" w:rsidDel="007C0CA5">
        <w:t xml:space="preserve">Note </w:t>
      </w:r>
      <w:r w:rsidRPr="005C05E7">
        <w:t>the Ministerial Direction defines:</w:t>
      </w:r>
    </w:p>
    <w:p w14:paraId="42BC6786" w14:textId="77777777" w:rsidR="00A85F5A" w:rsidRPr="005C05E7" w:rsidRDefault="00A85F5A" w:rsidP="00C967EC">
      <w:pPr>
        <w:pStyle w:val="BodyText"/>
      </w:pPr>
      <w:r w:rsidRPr="00314068">
        <w:rPr>
          <w:b/>
        </w:rPr>
        <w:t>non-urban land</w:t>
      </w:r>
      <w:r w:rsidRPr="005C05E7">
        <w:t xml:space="preserve"> as ‘land included in a non-urban zone’</w:t>
      </w:r>
    </w:p>
    <w:p w14:paraId="50DC69A1" w14:textId="77777777" w:rsidR="00A85F5A" w:rsidRPr="005C05E7" w:rsidRDefault="00A85F5A" w:rsidP="00C967EC">
      <w:pPr>
        <w:pStyle w:val="BodyText"/>
      </w:pPr>
      <w:r w:rsidRPr="00314068">
        <w:rPr>
          <w:b/>
        </w:rPr>
        <w:t>non-urban zone</w:t>
      </w:r>
      <w:r w:rsidRPr="005C05E7">
        <w:t xml:space="preserve"> as ‘a rural zone or a public land zone in the </w:t>
      </w:r>
      <w:r w:rsidRPr="00527070">
        <w:rPr>
          <w:i/>
        </w:rPr>
        <w:t>Victoria Planning Provisions’</w:t>
      </w:r>
    </w:p>
    <w:p w14:paraId="32CD192F" w14:textId="77777777" w:rsidR="00A85F5A" w:rsidRPr="005C05E7" w:rsidRDefault="00A85F5A" w:rsidP="00C967EC">
      <w:pPr>
        <w:pStyle w:val="BodyText"/>
      </w:pPr>
      <w:r w:rsidRPr="00314068">
        <w:rPr>
          <w:b/>
        </w:rPr>
        <w:t>urban land</w:t>
      </w:r>
      <w:r w:rsidRPr="005C05E7">
        <w:t xml:space="preserve"> as ‘land included in an urban zone’.</w:t>
      </w:r>
    </w:p>
    <w:p w14:paraId="014BF5CC" w14:textId="77777777" w:rsidR="00A85F5A" w:rsidRPr="005C05E7" w:rsidRDefault="00A85F5A" w:rsidP="00C967EC">
      <w:pPr>
        <w:pStyle w:val="BodyText"/>
      </w:pPr>
      <w:r w:rsidRPr="00314068">
        <w:rPr>
          <w:b/>
        </w:rPr>
        <w:t>urban zone</w:t>
      </w:r>
      <w:r w:rsidRPr="005C05E7">
        <w:t xml:space="preserve"> as ‘a residential zone, industrial zone, commercial zone or special purpose zone in the </w:t>
      </w:r>
      <w:r w:rsidRPr="00996BCF">
        <w:rPr>
          <w:i/>
        </w:rPr>
        <w:t>Victoria Planning Provisions’</w:t>
      </w:r>
      <w:r w:rsidRPr="005C05E7">
        <w:t>.</w:t>
      </w:r>
    </w:p>
    <w:p w14:paraId="5A213ECB" w14:textId="77777777" w:rsidR="00A85F5A" w:rsidRPr="005C05E7" w:rsidRDefault="00A85F5A" w:rsidP="00527070">
      <w:r w:rsidRPr="005C05E7">
        <w:t>The type of amendments that need to demonstrate that climate change has been considered include the following:</w:t>
      </w:r>
    </w:p>
    <w:p w14:paraId="4872C79D" w14:textId="77777777" w:rsidR="00A85F5A" w:rsidRPr="00AA3A84" w:rsidRDefault="00A85F5A" w:rsidP="00C967EC">
      <w:pPr>
        <w:pStyle w:val="BodyText"/>
        <w:rPr>
          <w:b/>
        </w:rPr>
      </w:pPr>
      <w:r w:rsidRPr="00AA3A84">
        <w:rPr>
          <w:b/>
        </w:rPr>
        <w:t>Enabling non-urban land to be used and developed as urban land</w:t>
      </w:r>
    </w:p>
    <w:p w14:paraId="7660BD7B" w14:textId="77777777" w:rsidR="00A85F5A" w:rsidRPr="005C05E7" w:rsidRDefault="00A85F5A" w:rsidP="00AA3A84">
      <w:pPr>
        <w:ind w:firstLine="284"/>
      </w:pPr>
      <w:r w:rsidRPr="005C05E7">
        <w:t>Example amendments where the Ministerial Direction applies include rezoning land from a:</w:t>
      </w:r>
    </w:p>
    <w:p w14:paraId="785203A7" w14:textId="77777777" w:rsidR="00A85F5A" w:rsidRPr="005C05E7" w:rsidRDefault="00A85F5A" w:rsidP="006D65D3">
      <w:pPr>
        <w:pStyle w:val="ListBullet2"/>
      </w:pPr>
      <w:r w:rsidRPr="005C05E7">
        <w:t>rural zone to urban zone (including implementing a precinct structure plan)</w:t>
      </w:r>
    </w:p>
    <w:p w14:paraId="7D631420" w14:textId="77777777" w:rsidR="00A85F5A" w:rsidRPr="005C05E7" w:rsidRDefault="00A85F5A" w:rsidP="006D65D3">
      <w:pPr>
        <w:pStyle w:val="ListBullet2"/>
      </w:pPr>
      <w:r w:rsidRPr="005C05E7">
        <w:t>Green Wedge Zone to the Urban Growth Zone</w:t>
      </w:r>
    </w:p>
    <w:p w14:paraId="5D081692" w14:textId="77777777" w:rsidR="00A85F5A" w:rsidRPr="005C05E7" w:rsidRDefault="00A85F5A" w:rsidP="006D65D3">
      <w:pPr>
        <w:pStyle w:val="ListBullet2"/>
      </w:pPr>
      <w:r w:rsidRPr="005C05E7">
        <w:t>Rural Living Zone to an Industrial, Commercial or Mixed Use Zone.</w:t>
      </w:r>
    </w:p>
    <w:p w14:paraId="1A56BE20" w14:textId="77777777" w:rsidR="00A85F5A" w:rsidRPr="00AA3A84" w:rsidRDefault="00A85F5A" w:rsidP="00C967EC">
      <w:pPr>
        <w:pStyle w:val="BodyText"/>
        <w:rPr>
          <w:b/>
        </w:rPr>
      </w:pPr>
      <w:r w:rsidRPr="00AA3A84">
        <w:rPr>
          <w:b/>
        </w:rPr>
        <w:t>Enabling significant change to and or intensification of the use and development of urban land</w:t>
      </w:r>
    </w:p>
    <w:p w14:paraId="0CC8985C" w14:textId="77777777" w:rsidR="00A85F5A" w:rsidRPr="005C05E7" w:rsidRDefault="00A85F5A" w:rsidP="00AA3A84">
      <w:pPr>
        <w:pStyle w:val="ListBullet2"/>
      </w:pPr>
      <w:r w:rsidRPr="005C05E7">
        <w:t>Example amendments where the Ministerial Direction applies include, rezoning land from the General Residential Zone to the Residential Growth Zone or applying a Development Contributions Plan to land zoned as Urban Growth Zone.</w:t>
      </w:r>
    </w:p>
    <w:p w14:paraId="0689C6E2" w14:textId="77777777" w:rsidR="00A85F5A" w:rsidRPr="00AA3A84" w:rsidRDefault="00A85F5A" w:rsidP="00C967EC">
      <w:pPr>
        <w:pStyle w:val="BodyText"/>
        <w:rPr>
          <w:b/>
        </w:rPr>
      </w:pPr>
      <w:r w:rsidRPr="00AA3A84">
        <w:rPr>
          <w:b/>
        </w:rPr>
        <w:t>Enabling a new use and development of land (whether or not subject to the grant of a planning permit) that may be exposed to a natural hazard that arises from, or is likely to arise from, the impacts of climate change</w:t>
      </w:r>
    </w:p>
    <w:p w14:paraId="6E9F8E30" w14:textId="77777777" w:rsidR="00A85F5A" w:rsidRPr="005C05E7" w:rsidRDefault="00A85F5A" w:rsidP="00110942">
      <w:pPr>
        <w:pStyle w:val="ListBullet2"/>
      </w:pPr>
      <w:r w:rsidRPr="005C05E7">
        <w:t>An amendment that has the effect of enabling a new use and development of land must consider whether that use and development has the potential to be affected by a natural hazard that arises from, or is likely to arise from, the impact of climate change.  This includes natural hazard risks relating to bushfire and flood (riverine, drainage, overland flow, coastal), erosion, landslip and landslide, heatwave and drought.</w:t>
      </w:r>
    </w:p>
    <w:p w14:paraId="7A1EA937" w14:textId="77777777" w:rsidR="00A85F5A" w:rsidRDefault="00A85F5A" w:rsidP="00456672">
      <w:pPr>
        <w:ind w:left="283" w:firstLine="1"/>
        <w:rPr>
          <w:b/>
        </w:rPr>
      </w:pPr>
      <w:r w:rsidRPr="006264A1">
        <w:t>Example amendments where the Ministerial Direction applies include</w:t>
      </w:r>
      <w:r>
        <w:t xml:space="preserve"> rezoning:</w:t>
      </w:r>
    </w:p>
    <w:p w14:paraId="054EA4D6" w14:textId="77777777" w:rsidR="00A85F5A" w:rsidRDefault="00A85F5A" w:rsidP="00110942">
      <w:pPr>
        <w:pStyle w:val="ListBullet2"/>
      </w:pPr>
      <w:r w:rsidRPr="002C02EC">
        <w:t>land from the Farming Zone to the Low Density Residential Zone in a designated bushfire prone area</w:t>
      </w:r>
    </w:p>
    <w:p w14:paraId="351650FA" w14:textId="77777777" w:rsidR="00A85F5A" w:rsidRDefault="00A85F5A" w:rsidP="00110942">
      <w:pPr>
        <w:pStyle w:val="ListBullet2"/>
      </w:pPr>
      <w:r w:rsidRPr="002C02EC">
        <w:t>surplus government land in the Land Subject to Inundation Overlay from the Public Use Zone to the Mixed Used Zone</w:t>
      </w:r>
    </w:p>
    <w:p w14:paraId="342D593E" w14:textId="2869E6F2" w:rsidR="00A85F5A" w:rsidRPr="002C02EC" w:rsidRDefault="00A85F5A" w:rsidP="00110942">
      <w:pPr>
        <w:pStyle w:val="ListBullet2"/>
      </w:pPr>
      <w:r w:rsidRPr="002C02EC">
        <w:t>land to the Residential Growth Zone</w:t>
      </w:r>
      <w:r w:rsidR="00C9331A">
        <w:t>,</w:t>
      </w:r>
      <w:r w:rsidRPr="002C02EC">
        <w:t xml:space="preserve"> if information is held by a catchment management authority or council that the land is affected by flood hazard (as indicated by information sources such as a completed flood study) including floodplain management authority advice on potential increases in flood hazard due to </w:t>
      </w:r>
      <w:r w:rsidRPr="00C46ED9">
        <w:t>climate change.</w:t>
      </w:r>
    </w:p>
    <w:p w14:paraId="4AC571DF" w14:textId="7EF4B5DD" w:rsidR="00A85F5A" w:rsidRPr="001B0385" w:rsidRDefault="00A85F5A" w:rsidP="00F82CA3">
      <w:pPr>
        <w:pStyle w:val="Heading1NoTOC"/>
      </w:pPr>
      <w:r w:rsidRPr="009E454F">
        <w:t>2.2</w:t>
      </w:r>
      <w:r>
        <w:rPr>
          <w:color w:val="595959" w:themeColor="text1" w:themeTint="A6"/>
        </w:rPr>
        <w:tab/>
      </w:r>
      <w:r w:rsidR="00031754">
        <w:rPr>
          <w:color w:val="595959" w:themeColor="text1" w:themeTint="A6"/>
        </w:rPr>
        <w:tab/>
      </w:r>
      <w:r w:rsidRPr="00F82CA3">
        <w:t>What</w:t>
      </w:r>
      <w:r w:rsidRPr="00456672">
        <w:rPr>
          <w:color w:val="000000" w:themeColor="text1"/>
        </w:rPr>
        <w:t xml:space="preserve"> </w:t>
      </w:r>
      <w:r w:rsidRPr="005C05E7">
        <w:t>amendments</w:t>
      </w:r>
      <w:r>
        <w:rPr>
          <w:color w:val="595959" w:themeColor="text1" w:themeTint="A6"/>
          <w:spacing w:val="-4"/>
        </w:rPr>
        <w:t xml:space="preserve"> </w:t>
      </w:r>
      <w:r w:rsidRPr="009902DB">
        <w:t>does</w:t>
      </w:r>
      <w:r w:rsidRPr="009902DB">
        <w:rPr>
          <w:spacing w:val="-4"/>
        </w:rPr>
        <w:t xml:space="preserve"> </w:t>
      </w:r>
      <w:r w:rsidRPr="009902DB">
        <w:t>section</w:t>
      </w:r>
      <w:r w:rsidRPr="009902DB">
        <w:rPr>
          <w:spacing w:val="-3"/>
        </w:rPr>
        <w:t xml:space="preserve"> </w:t>
      </w:r>
      <w:r w:rsidRPr="009902DB">
        <w:t>12(2A)</w:t>
      </w:r>
      <w:r w:rsidR="004115F4">
        <w:t xml:space="preserve"> of the Act</w:t>
      </w:r>
      <w:r w:rsidRPr="009902DB">
        <w:t xml:space="preserve"> not apply</w:t>
      </w:r>
      <w:r w:rsidRPr="009902DB">
        <w:rPr>
          <w:spacing w:val="-4"/>
        </w:rPr>
        <w:t xml:space="preserve"> </w:t>
      </w:r>
      <w:r w:rsidRPr="009902DB">
        <w:t>to?</w:t>
      </w:r>
    </w:p>
    <w:p w14:paraId="13AE4365" w14:textId="77777777" w:rsidR="00A85F5A" w:rsidRDefault="00A85F5A" w:rsidP="00F82CA3">
      <w:r>
        <w:t>The</w:t>
      </w:r>
      <w:r>
        <w:rPr>
          <w:spacing w:val="-3"/>
        </w:rPr>
        <w:t xml:space="preserve"> </w:t>
      </w:r>
      <w:r>
        <w:t>requirement</w:t>
      </w:r>
      <w:r>
        <w:rPr>
          <w:spacing w:val="-1"/>
        </w:rPr>
        <w:t xml:space="preserve"> </w:t>
      </w:r>
      <w:r>
        <w:t>to</w:t>
      </w:r>
      <w:r>
        <w:rPr>
          <w:spacing w:val="-1"/>
        </w:rPr>
        <w:t xml:space="preserve"> </w:t>
      </w:r>
      <w:r>
        <w:t>have</w:t>
      </w:r>
      <w:r>
        <w:rPr>
          <w:spacing w:val="-3"/>
        </w:rPr>
        <w:t xml:space="preserve"> </w:t>
      </w:r>
      <w:r>
        <w:t>regard</w:t>
      </w:r>
      <w:r>
        <w:rPr>
          <w:spacing w:val="-3"/>
        </w:rPr>
        <w:t xml:space="preserve"> </w:t>
      </w:r>
      <w:r>
        <w:t>to</w:t>
      </w:r>
      <w:r>
        <w:rPr>
          <w:spacing w:val="-1"/>
        </w:rPr>
        <w:t xml:space="preserve"> </w:t>
      </w:r>
      <w:r>
        <w:t>climate</w:t>
      </w:r>
      <w:r>
        <w:rPr>
          <w:spacing w:val="-2"/>
        </w:rPr>
        <w:t xml:space="preserve"> </w:t>
      </w:r>
      <w:r>
        <w:t>change</w:t>
      </w:r>
      <w:r>
        <w:rPr>
          <w:spacing w:val="-3"/>
        </w:rPr>
        <w:t xml:space="preserve"> </w:t>
      </w:r>
      <w:r>
        <w:t>matters</w:t>
      </w:r>
      <w:r>
        <w:rPr>
          <w:spacing w:val="-1"/>
        </w:rPr>
        <w:t xml:space="preserve"> </w:t>
      </w:r>
      <w:r>
        <w:t>under</w:t>
      </w:r>
      <w:r>
        <w:rPr>
          <w:spacing w:val="-3"/>
        </w:rPr>
        <w:t xml:space="preserve"> </w:t>
      </w:r>
      <w:r>
        <w:t>section</w:t>
      </w:r>
      <w:r>
        <w:rPr>
          <w:spacing w:val="-1"/>
        </w:rPr>
        <w:t xml:space="preserve"> </w:t>
      </w:r>
      <w:r>
        <w:t>12(2A)</w:t>
      </w:r>
      <w:r>
        <w:rPr>
          <w:spacing w:val="-1"/>
        </w:rPr>
        <w:t xml:space="preserve"> and the Ministerial Direction does not </w:t>
      </w:r>
      <w:r>
        <w:t>apply</w:t>
      </w:r>
      <w:r>
        <w:rPr>
          <w:spacing w:val="8"/>
        </w:rPr>
        <w:t xml:space="preserve"> </w:t>
      </w:r>
      <w:r>
        <w:t>to:</w:t>
      </w:r>
    </w:p>
    <w:p w14:paraId="1F5C22D4" w14:textId="77777777" w:rsidR="00A85F5A" w:rsidRPr="00B1604F" w:rsidRDefault="00A85F5A" w:rsidP="00F82CA3">
      <w:pPr>
        <w:pStyle w:val="BodyText"/>
        <w:rPr>
          <w:rFonts w:ascii="Symbol" w:hAnsi="Symbol"/>
        </w:rPr>
      </w:pPr>
      <w:r w:rsidRPr="00B1604F">
        <w:t>a class of amendment prescribed in accordance with section 20A of the Act</w:t>
      </w:r>
    </w:p>
    <w:p w14:paraId="1AACADBA" w14:textId="421E4A4F" w:rsidR="00A85F5A" w:rsidRPr="008C6F17" w:rsidRDefault="00A85F5A" w:rsidP="008C6F17">
      <w:pPr>
        <w:pStyle w:val="BodyText"/>
        <w:rPr>
          <w:rFonts w:ascii="Symbol" w:hAnsi="Symbol"/>
        </w:rPr>
      </w:pPr>
      <w:r>
        <w:t>an amendment which does not do any of the things in paragraph 3(b) and (c) of the Ministerial Direction (</w:t>
      </w:r>
      <w:r w:rsidRPr="00FC0262">
        <w:t>Sect</w:t>
      </w:r>
      <w:r>
        <w:t>ion 2.1 of this guideline).</w:t>
      </w:r>
    </w:p>
    <w:p w14:paraId="6D917975" w14:textId="3EFB7BA4" w:rsidR="00A85F5A" w:rsidRPr="001531A9" w:rsidRDefault="00A85F5A" w:rsidP="00080D93">
      <w:pPr>
        <w:pStyle w:val="Heading1"/>
      </w:pPr>
      <w:r w:rsidRPr="001531A9">
        <w:t>3.0</w:t>
      </w:r>
      <w:r>
        <w:tab/>
      </w:r>
      <w:r w:rsidR="0009560E">
        <w:tab/>
      </w:r>
      <w:r w:rsidRPr="005C05E7">
        <w:t>REQUIREMENTS</w:t>
      </w:r>
      <w:r>
        <w:t xml:space="preserve"> TO BE MET</w:t>
      </w:r>
    </w:p>
    <w:p w14:paraId="00ED62E3" w14:textId="2F59DC20" w:rsidR="00A85F5A" w:rsidRPr="00FB13EC" w:rsidRDefault="00A85F5A" w:rsidP="00F82CA3">
      <w:pPr>
        <w:rPr>
          <w:b/>
        </w:rPr>
      </w:pPr>
      <w:r w:rsidRPr="00FB13EC">
        <w:rPr>
          <w:b/>
        </w:rPr>
        <w:t>What climate change matters are not required to be considered under section 12(2A)</w:t>
      </w:r>
      <w:r w:rsidR="004115F4">
        <w:rPr>
          <w:b/>
        </w:rPr>
        <w:t xml:space="preserve"> of the Act</w:t>
      </w:r>
      <w:r w:rsidRPr="00FB13EC">
        <w:rPr>
          <w:b/>
        </w:rPr>
        <w:t>?</w:t>
      </w:r>
    </w:p>
    <w:p w14:paraId="2DF748CD" w14:textId="77777777" w:rsidR="00A85F5A" w:rsidRPr="00421695" w:rsidRDefault="00A85F5A" w:rsidP="00FB13EC">
      <w:pPr>
        <w:rPr>
          <w:spacing w:val="-2"/>
        </w:rPr>
      </w:pPr>
      <w:r w:rsidRPr="00421695">
        <w:t>The Ministerial Direction specifies that a planning authority is</w:t>
      </w:r>
      <w:r w:rsidRPr="00421695">
        <w:rPr>
          <w:spacing w:val="-1"/>
        </w:rPr>
        <w:t xml:space="preserve"> </w:t>
      </w:r>
      <w:r w:rsidRPr="00421695">
        <w:t>not</w:t>
      </w:r>
      <w:r w:rsidRPr="00421695">
        <w:rPr>
          <w:spacing w:val="-2"/>
        </w:rPr>
        <w:t xml:space="preserve"> </w:t>
      </w:r>
      <w:r w:rsidRPr="00421695">
        <w:t>required</w:t>
      </w:r>
      <w:r w:rsidRPr="00421695">
        <w:rPr>
          <w:spacing w:val="-1"/>
        </w:rPr>
        <w:t xml:space="preserve"> </w:t>
      </w:r>
      <w:r w:rsidRPr="00421695">
        <w:t>to:</w:t>
      </w:r>
    </w:p>
    <w:p w14:paraId="02B0AC01" w14:textId="77777777" w:rsidR="00A85F5A" w:rsidRPr="00421695" w:rsidRDefault="00A85F5A" w:rsidP="004256CC">
      <w:pPr>
        <w:pStyle w:val="BodyText"/>
      </w:pPr>
      <w:r w:rsidRPr="00421695">
        <w:t>quantify the direct or indirect</w:t>
      </w:r>
      <w:r w:rsidRPr="00421695">
        <w:rPr>
          <w:spacing w:val="1"/>
        </w:rPr>
        <w:t xml:space="preserve"> </w:t>
      </w:r>
      <w:r w:rsidRPr="00421695">
        <w:t>GHG emissions likely to be generated by the use or development of land envisaged by the proposed planning</w:t>
      </w:r>
      <w:r w:rsidRPr="00421695">
        <w:rPr>
          <w:spacing w:val="1"/>
        </w:rPr>
        <w:t xml:space="preserve"> </w:t>
      </w:r>
      <w:r w:rsidRPr="00421695">
        <w:t>scheme</w:t>
      </w:r>
      <w:r w:rsidRPr="00421695">
        <w:rPr>
          <w:spacing w:val="-2"/>
        </w:rPr>
        <w:t xml:space="preserve"> </w:t>
      </w:r>
      <w:r w:rsidRPr="00421695">
        <w:t>or</w:t>
      </w:r>
      <w:r w:rsidRPr="00421695">
        <w:rPr>
          <w:spacing w:val="2"/>
        </w:rPr>
        <w:t xml:space="preserve"> </w:t>
      </w:r>
      <w:r w:rsidRPr="00421695">
        <w:t>amendment</w:t>
      </w:r>
    </w:p>
    <w:p w14:paraId="390420B9" w14:textId="26715003" w:rsidR="00A85F5A" w:rsidRPr="00031754" w:rsidRDefault="00A85F5A" w:rsidP="00A5553E">
      <w:pPr>
        <w:pStyle w:val="BodyText"/>
        <w:rPr>
          <w:i/>
          <w:iCs/>
        </w:rPr>
      </w:pPr>
      <w:r w:rsidRPr="00421695">
        <w:t xml:space="preserve">consider any other matter other than the matters specified in paragraphs 5 and 6 of the Ministerial Direction (Sections 3.1 and 3.2 of this guideline). </w:t>
      </w:r>
    </w:p>
    <w:p w14:paraId="6E681D9D" w14:textId="77777777" w:rsidR="00A85F5A" w:rsidRDefault="00A85F5A" w:rsidP="00FB13EC">
      <w:r w:rsidRPr="00D672D9">
        <w:t>The Ministerial Direction does not require a planning authority to undertake quantitative assessments of abatement options against Victoria’s emissions reduction targets, nor to set site specific abatement targets for precincts or land use change enabled by planning scheme amendments.</w:t>
      </w:r>
    </w:p>
    <w:p w14:paraId="2B450A05" w14:textId="23C0762B" w:rsidR="00A85F5A" w:rsidRPr="00E079F7" w:rsidRDefault="00A85F5A" w:rsidP="00FB13EC">
      <w:r w:rsidRPr="00E079F7">
        <w:t>Th</w:t>
      </w:r>
      <w:r>
        <w:t>e</w:t>
      </w:r>
      <w:r w:rsidRPr="00E079F7">
        <w:t xml:space="preserve"> Ministerial Direction does not require </w:t>
      </w:r>
      <w:r>
        <w:t xml:space="preserve">a </w:t>
      </w:r>
      <w:r w:rsidRPr="00E079F7">
        <w:t>planning authorit</w:t>
      </w:r>
      <w:r>
        <w:t>y</w:t>
      </w:r>
      <w:r w:rsidRPr="00E079F7">
        <w:t xml:space="preserve"> to mandate building or plumbing performance standards on matters dealt with through the </w:t>
      </w:r>
      <w:r w:rsidRPr="00E079F7">
        <w:rPr>
          <w:i/>
        </w:rPr>
        <w:t>Building Act 1993</w:t>
      </w:r>
      <w:r w:rsidRPr="00E079F7">
        <w:t xml:space="preserve"> and subordinate legislation, </w:t>
      </w:r>
      <w:r w:rsidRPr="00B947AE">
        <w:rPr>
          <w:i/>
        </w:rPr>
        <w:t>Plumbing Regulations 2018</w:t>
      </w:r>
      <w:r w:rsidRPr="00E079F7">
        <w:t xml:space="preserve"> and the </w:t>
      </w:r>
      <w:hyperlink r:id="rId17" w:history="1">
        <w:r w:rsidRPr="007E54E3">
          <w:rPr>
            <w:rStyle w:val="Hyperlink"/>
          </w:rPr>
          <w:t>National Construction Code</w:t>
        </w:r>
      </w:hyperlink>
      <w:r w:rsidRPr="00E079F7">
        <w:t xml:space="preserve">, or control the discharge of GHG emissions as regulated under the </w:t>
      </w:r>
      <w:r w:rsidRPr="00E079F7">
        <w:rPr>
          <w:i/>
        </w:rPr>
        <w:t>Environment Protection Act 2017</w:t>
      </w:r>
      <w:r w:rsidRPr="00E079F7">
        <w:t>.</w:t>
      </w:r>
    </w:p>
    <w:p w14:paraId="129E3092" w14:textId="59232A33" w:rsidR="00A85F5A" w:rsidRPr="00497AB6" w:rsidRDefault="00A85F5A" w:rsidP="00497AB6">
      <w:pPr>
        <w:rPr>
          <w:b/>
        </w:rPr>
      </w:pPr>
      <w:r w:rsidRPr="00497AB6">
        <w:rPr>
          <w:b/>
        </w:rPr>
        <w:t>What climate change matters must be considered under section 12(2A)</w:t>
      </w:r>
      <w:r w:rsidR="001E1C4C">
        <w:rPr>
          <w:b/>
        </w:rPr>
        <w:t xml:space="preserve"> of the Act</w:t>
      </w:r>
      <w:r w:rsidRPr="00497AB6">
        <w:rPr>
          <w:b/>
        </w:rPr>
        <w:t xml:space="preserve">? </w:t>
      </w:r>
    </w:p>
    <w:p w14:paraId="59BA00D8" w14:textId="77777777" w:rsidR="00A85F5A" w:rsidRPr="006B0571" w:rsidRDefault="00A85F5A" w:rsidP="00497AB6">
      <w:r w:rsidRPr="006B0571">
        <w:t xml:space="preserve">The </w:t>
      </w:r>
      <w:r>
        <w:t xml:space="preserve">Ministerial Direction specifies the climate change matters that a planning authority must consider, which are </w:t>
      </w:r>
      <w:r w:rsidRPr="006B0571">
        <w:t>set out under Sections 3.1 and 3.2 of this guideline</w:t>
      </w:r>
      <w:r>
        <w:t xml:space="preserve"> as</w:t>
      </w:r>
      <w:r w:rsidRPr="006B0571">
        <w:t xml:space="preserve"> key considerations.</w:t>
      </w:r>
    </w:p>
    <w:p w14:paraId="4FBF33F6" w14:textId="349E6BED" w:rsidR="00A85F5A" w:rsidRPr="00C508C1" w:rsidRDefault="00A85F5A" w:rsidP="008C1D9E">
      <w:pPr>
        <w:pStyle w:val="Heading1NoTOC"/>
      </w:pPr>
      <w:r w:rsidRPr="00C508C1">
        <w:t>3.1</w:t>
      </w:r>
      <w:r>
        <w:tab/>
      </w:r>
      <w:r w:rsidR="00031754">
        <w:tab/>
      </w:r>
      <w:r w:rsidR="008C1D9E">
        <w:tab/>
      </w:r>
      <w:r w:rsidRPr="009E454F">
        <w:t>MINIMISING</w:t>
      </w:r>
      <w:r w:rsidRPr="00C508C1">
        <w:t xml:space="preserve"> GHG EMISSIONS</w:t>
      </w:r>
    </w:p>
    <w:p w14:paraId="753947DE" w14:textId="77777777" w:rsidR="00A85F5A" w:rsidRDefault="00A85F5A" w:rsidP="008C1D9E">
      <w:pPr>
        <w:rPr>
          <w:spacing w:val="-2"/>
        </w:rPr>
      </w:pPr>
      <w:r>
        <w:t>It is a</w:t>
      </w:r>
      <w:r w:rsidRPr="00C508C1" w:rsidDel="00D65289">
        <w:t xml:space="preserve"> </w:t>
      </w:r>
      <w:r w:rsidRPr="00C508C1">
        <w:t>requirement</w:t>
      </w:r>
      <w:r w:rsidRPr="00C508C1">
        <w:rPr>
          <w:spacing w:val="-3"/>
        </w:rPr>
        <w:t xml:space="preserve"> </w:t>
      </w:r>
      <w:r>
        <w:rPr>
          <w:spacing w:val="-3"/>
        </w:rPr>
        <w:t>for planning authorities</w:t>
      </w:r>
      <w:r w:rsidRPr="00C508C1">
        <w:rPr>
          <w:spacing w:val="-3"/>
        </w:rPr>
        <w:t xml:space="preserve"> </w:t>
      </w:r>
      <w:r>
        <w:rPr>
          <w:spacing w:val="-3"/>
        </w:rPr>
        <w:t xml:space="preserve">to have regard to the GHG emissions reduction targets by considering the likely extent to which the </w:t>
      </w:r>
      <w:r>
        <w:t>planning scheme or</w:t>
      </w:r>
      <w:r w:rsidRPr="00C508C1">
        <w:rPr>
          <w:spacing w:val="-1"/>
        </w:rPr>
        <w:t xml:space="preserve"> </w:t>
      </w:r>
      <w:r w:rsidRPr="00C508C1">
        <w:t>amendment</w:t>
      </w:r>
      <w:r>
        <w:t xml:space="preserve"> minimises GHG emissions, through measures most relevant to strategic or precinct-scale responses.</w:t>
      </w:r>
    </w:p>
    <w:p w14:paraId="3187183E" w14:textId="77777777" w:rsidR="00A85F5A" w:rsidRDefault="00A85F5A" w:rsidP="008C1D9E">
      <w:r w:rsidRPr="00C508C1">
        <w:t xml:space="preserve">Transitioning to a low </w:t>
      </w:r>
      <w:r>
        <w:t xml:space="preserve">emissions </w:t>
      </w:r>
      <w:r w:rsidRPr="00C508C1">
        <w:t>built environment is necessary to support Victoria’s GHG emission</w:t>
      </w:r>
      <w:r>
        <w:t>s</w:t>
      </w:r>
      <w:r w:rsidRPr="00C508C1">
        <w:rPr>
          <w:spacing w:val="1"/>
        </w:rPr>
        <w:t xml:space="preserve"> </w:t>
      </w:r>
      <w:r w:rsidRPr="00C508C1">
        <w:t>reduction targets. Planning scheme amendments provide an opportunity to use urban structure and layout, along</w:t>
      </w:r>
      <w:r w:rsidRPr="00C508C1">
        <w:rPr>
          <w:spacing w:val="1"/>
        </w:rPr>
        <w:t xml:space="preserve"> </w:t>
      </w:r>
      <w:r w:rsidRPr="00C508C1">
        <w:t xml:space="preserve">with consideration of infrastructure needs to </w:t>
      </w:r>
      <w:r w:rsidRPr="00472435">
        <w:t>help reduce transport</w:t>
      </w:r>
      <w:r w:rsidRPr="00472435">
        <w:rPr>
          <w:spacing w:val="-2"/>
        </w:rPr>
        <w:t xml:space="preserve"> </w:t>
      </w:r>
      <w:r w:rsidRPr="00472435">
        <w:t>related</w:t>
      </w:r>
      <w:r w:rsidRPr="00472435">
        <w:rPr>
          <w:spacing w:val="-2"/>
        </w:rPr>
        <w:t xml:space="preserve"> </w:t>
      </w:r>
      <w:r w:rsidRPr="00472435">
        <w:t>GHG</w:t>
      </w:r>
      <w:r w:rsidRPr="00472435">
        <w:rPr>
          <w:spacing w:val="-1"/>
        </w:rPr>
        <w:t xml:space="preserve"> </w:t>
      </w:r>
      <w:r w:rsidRPr="00472435">
        <w:t>emissions, reduce</w:t>
      </w:r>
      <w:r w:rsidRPr="00C508C1">
        <w:t xml:space="preserve"> energy demand, improv</w:t>
      </w:r>
      <w:r>
        <w:t>e</w:t>
      </w:r>
      <w:r w:rsidRPr="00C508C1">
        <w:t xml:space="preserve"> energy efficiency,</w:t>
      </w:r>
      <w:r w:rsidRPr="00C508C1">
        <w:rPr>
          <w:spacing w:val="1"/>
        </w:rPr>
        <w:t xml:space="preserve"> </w:t>
      </w:r>
      <w:r>
        <w:rPr>
          <w:spacing w:val="1"/>
        </w:rPr>
        <w:t xml:space="preserve">and </w:t>
      </w:r>
      <w:r w:rsidRPr="00C508C1">
        <w:t>enabl</w:t>
      </w:r>
      <w:r>
        <w:t>e</w:t>
      </w:r>
      <w:r w:rsidRPr="00C508C1">
        <w:t xml:space="preserve"> increased</w:t>
      </w:r>
      <w:r w:rsidRPr="00C508C1">
        <w:rPr>
          <w:spacing w:val="-2"/>
        </w:rPr>
        <w:t xml:space="preserve"> </w:t>
      </w:r>
      <w:r w:rsidRPr="00C508C1">
        <w:t>use</w:t>
      </w:r>
      <w:r w:rsidRPr="00C508C1">
        <w:rPr>
          <w:spacing w:val="-1"/>
        </w:rPr>
        <w:t xml:space="preserve"> </w:t>
      </w:r>
      <w:r w:rsidRPr="00C508C1">
        <w:t>of</w:t>
      </w:r>
      <w:r w:rsidRPr="00C508C1">
        <w:rPr>
          <w:spacing w:val="-3"/>
        </w:rPr>
        <w:t xml:space="preserve"> </w:t>
      </w:r>
      <w:r w:rsidRPr="00C508C1">
        <w:t>renewable</w:t>
      </w:r>
      <w:r w:rsidRPr="00C508C1">
        <w:rPr>
          <w:spacing w:val="-3"/>
        </w:rPr>
        <w:t xml:space="preserve"> </w:t>
      </w:r>
      <w:r w:rsidRPr="00C508C1">
        <w:t>energy</w:t>
      </w:r>
      <w:r w:rsidRPr="00C508C1">
        <w:rPr>
          <w:spacing w:val="-2"/>
        </w:rPr>
        <w:t xml:space="preserve"> </w:t>
      </w:r>
      <w:r w:rsidRPr="00C508C1">
        <w:t>in</w:t>
      </w:r>
      <w:r w:rsidRPr="00C508C1">
        <w:rPr>
          <w:spacing w:val="-3"/>
        </w:rPr>
        <w:t xml:space="preserve"> </w:t>
      </w:r>
      <w:r w:rsidRPr="00C508C1">
        <w:t>our</w:t>
      </w:r>
      <w:r w:rsidRPr="00C508C1">
        <w:rPr>
          <w:spacing w:val="-3"/>
        </w:rPr>
        <w:t xml:space="preserve"> </w:t>
      </w:r>
      <w:r w:rsidRPr="00C508C1">
        <w:t>cities</w:t>
      </w:r>
      <w:r w:rsidRPr="00C508C1">
        <w:rPr>
          <w:spacing w:val="-2"/>
        </w:rPr>
        <w:t xml:space="preserve"> </w:t>
      </w:r>
      <w:r w:rsidRPr="00C508C1">
        <w:t>and</w:t>
      </w:r>
      <w:r w:rsidRPr="00C508C1">
        <w:rPr>
          <w:spacing w:val="-1"/>
        </w:rPr>
        <w:t xml:space="preserve"> </w:t>
      </w:r>
      <w:r w:rsidRPr="00C508C1">
        <w:t>towns</w:t>
      </w:r>
      <w:r>
        <w:t>.</w:t>
      </w:r>
      <w:r w:rsidRPr="00C508C1">
        <w:rPr>
          <w:spacing w:val="5"/>
        </w:rPr>
        <w:t xml:space="preserve"> </w:t>
      </w:r>
    </w:p>
    <w:p w14:paraId="26B9E176" w14:textId="77777777" w:rsidR="00A85F5A" w:rsidRDefault="00A85F5A" w:rsidP="008C1D9E">
      <w:r w:rsidRPr="00EA5F06">
        <w:t xml:space="preserve">The Ministerial Direction defines </w:t>
      </w:r>
      <w:r w:rsidRPr="00096FCC">
        <w:rPr>
          <w:b/>
        </w:rPr>
        <w:t>precinct-scale</w:t>
      </w:r>
      <w:r w:rsidRPr="00EA5F06">
        <w:t xml:space="preserve"> as ‘a scale that encompasses an entire city, region, settlement, town, precinct, neighbourhood </w:t>
      </w:r>
      <w:r>
        <w:t>or</w:t>
      </w:r>
      <w:r w:rsidRPr="00EA5F06">
        <w:t xml:space="preserve"> activity centre’</w:t>
      </w:r>
      <w:r w:rsidRPr="009E454F">
        <w:t>.</w:t>
      </w:r>
    </w:p>
    <w:p w14:paraId="440B24AA" w14:textId="1BE9981A" w:rsidR="00A85F5A" w:rsidRPr="003B1836" w:rsidRDefault="00A85F5A" w:rsidP="008C1D9E">
      <w:pPr>
        <w:pStyle w:val="Heading2"/>
      </w:pPr>
      <w:r w:rsidRPr="003B1836">
        <w:t>3.1.1</w:t>
      </w:r>
      <w:r>
        <w:t xml:space="preserve">  </w:t>
      </w:r>
      <w:r w:rsidR="008B24A2">
        <w:tab/>
      </w:r>
      <w:r w:rsidR="008C1D9E">
        <w:tab/>
      </w:r>
      <w:r>
        <w:t>Key considerations</w:t>
      </w:r>
    </w:p>
    <w:p w14:paraId="7A8A5B75" w14:textId="77777777" w:rsidR="00A85F5A" w:rsidRDefault="00A85F5A" w:rsidP="008C1D9E">
      <w:r>
        <w:t>The following are suggested planning measures to help minimise GHG emissions including, land use and urban layout responses.</w:t>
      </w:r>
    </w:p>
    <w:p w14:paraId="28E37F35" w14:textId="77777777" w:rsidR="00A85F5A" w:rsidRPr="00CA6E03" w:rsidRDefault="00A85F5A" w:rsidP="008B24A2">
      <w:pPr>
        <w:pStyle w:val="Heading3"/>
      </w:pPr>
      <w:r w:rsidRPr="00CA6E03">
        <w:t>Focusing growth in established areas and designated growth areas</w:t>
      </w:r>
    </w:p>
    <w:p w14:paraId="3A93D6B7" w14:textId="77777777" w:rsidR="00A85F5A" w:rsidRPr="00FB6BCE" w:rsidRDefault="00A85F5A" w:rsidP="008B24A2">
      <w:r w:rsidRPr="004343D1">
        <w:t>Urban</w:t>
      </w:r>
      <w:r>
        <w:t xml:space="preserve"> layout measures to locate new development in and around existing urban areas and towns and designated growth areas contribute to reducing transport related emissions. </w:t>
      </w:r>
    </w:p>
    <w:p w14:paraId="11D349C8" w14:textId="77777777" w:rsidR="00B802D8" w:rsidRDefault="00A85F5A" w:rsidP="005C05E7">
      <w:r w:rsidRPr="00A12323">
        <w:t xml:space="preserve">Victoria’s Housing Statement adopts the target for 70 per cent of new homes to be built in established areas, while making sure defined growth areas deliver 30 per cent of new homes near transport, job opportunities and essential services, together helping reduce transport related emissions and embodied energy (through use of existing infrastructure). </w:t>
      </w:r>
      <w:r w:rsidRPr="28F71746">
        <w:t xml:space="preserve"> </w:t>
      </w:r>
      <w:r>
        <w:t>P</w:t>
      </w:r>
      <w:r w:rsidRPr="618FF47C">
        <w:t xml:space="preserve">lanning for urban growth should </w:t>
      </w:r>
      <w:r>
        <w:t>prioritise</w:t>
      </w:r>
      <w:r w:rsidRPr="618FF47C">
        <w:t xml:space="preserve"> opportunities for the consolidation, redevelopment and intensification of existing urban areas</w:t>
      </w:r>
      <w:r>
        <w:t xml:space="preserve">. </w:t>
      </w:r>
    </w:p>
    <w:p w14:paraId="54A108BD" w14:textId="1D86223B" w:rsidR="00A85F5A" w:rsidRDefault="00A85F5A" w:rsidP="005C05E7">
      <w:r>
        <w:t xml:space="preserve">Specifically: </w:t>
      </w:r>
    </w:p>
    <w:p w14:paraId="40D927D5" w14:textId="77777777" w:rsidR="00A85F5A" w:rsidRDefault="00A85F5A" w:rsidP="005C05E7">
      <w:r w:rsidRPr="009E454F">
        <w:t xml:space="preserve">Does the </w:t>
      </w:r>
      <w:r>
        <w:t xml:space="preserve">planning scheme amendment enable urban development focused on urban </w:t>
      </w:r>
      <w:r w:rsidRPr="009E454F">
        <w:t xml:space="preserve">consolidation, redevelopment and intensification </w:t>
      </w:r>
      <w:r>
        <w:t xml:space="preserve">of </w:t>
      </w:r>
      <w:r w:rsidRPr="009E454F">
        <w:t>existing urban areas?</w:t>
      </w:r>
    </w:p>
    <w:p w14:paraId="45F56771" w14:textId="6AC980FB" w:rsidR="008B24A2" w:rsidRPr="00965208" w:rsidRDefault="007B5366" w:rsidP="004C379A">
      <w:pPr>
        <w:pStyle w:val="Pull-outQuote"/>
      </w:pPr>
      <w:r w:rsidRPr="00B60F27">
        <w:rPr>
          <w:b/>
        </w:rPr>
        <w:t>Example response</w:t>
      </w:r>
      <w:r w:rsidRPr="007B5366">
        <w:t>: Specify the proportion of urban growth associated with the planning scheme amendment designated for existing urban areas or settlements (based on planned housing density or relative land area allocated to specific zones from high to lower urban density).</w:t>
      </w:r>
    </w:p>
    <w:p w14:paraId="66E6988C" w14:textId="77777777" w:rsidR="00A85F5A" w:rsidRPr="00F64F40" w:rsidRDefault="00A85F5A" w:rsidP="00F64F40">
      <w:pPr>
        <w:pStyle w:val="Heading3"/>
      </w:pPr>
      <w:r w:rsidRPr="00F64F40">
        <w:t>Urban structure, layout and density</w:t>
      </w:r>
    </w:p>
    <w:p w14:paraId="37771D2F" w14:textId="77777777" w:rsidR="00A85F5A" w:rsidRDefault="00A85F5A" w:rsidP="005C05E7">
      <w:pPr>
        <w:rPr>
          <w:rStyle w:val="normaltextrun"/>
          <w:color w:val="000000"/>
          <w:shd w:val="clear" w:color="auto" w:fill="FFFFFF"/>
        </w:rPr>
      </w:pPr>
      <w:r>
        <w:rPr>
          <w:rStyle w:val="normaltextrun"/>
          <w:color w:val="000000"/>
          <w:shd w:val="clear" w:color="auto" w:fill="FFFFFF"/>
        </w:rPr>
        <w:t xml:space="preserve">Design the urban structure, layout and </w:t>
      </w:r>
      <w:r w:rsidRPr="32D14A8B">
        <w:rPr>
          <w:rStyle w:val="normaltextrun"/>
        </w:rPr>
        <w:t xml:space="preserve">residential </w:t>
      </w:r>
      <w:r>
        <w:rPr>
          <w:rStyle w:val="normaltextrun"/>
          <w:color w:val="000000"/>
          <w:shd w:val="clear" w:color="auto" w:fill="FFFFFF"/>
        </w:rPr>
        <w:t xml:space="preserve">densities to support access to and use of public and active transport, including pedestrian and bicycle networks, and building energy performance through solar access. </w:t>
      </w:r>
    </w:p>
    <w:p w14:paraId="6FA7643F" w14:textId="77777777" w:rsidR="00A85F5A" w:rsidRDefault="00A85F5A" w:rsidP="005C05E7">
      <w:pPr>
        <w:rPr>
          <w:rStyle w:val="normaltextrun"/>
          <w:color w:val="000000"/>
          <w:shd w:val="clear" w:color="auto" w:fill="FFFFFF"/>
        </w:rPr>
      </w:pPr>
      <w:r>
        <w:rPr>
          <w:rStyle w:val="normaltextrun"/>
          <w:color w:val="000000"/>
          <w:shd w:val="clear" w:color="auto" w:fill="FFFFFF"/>
        </w:rPr>
        <w:t>Specifically:</w:t>
      </w:r>
    </w:p>
    <w:p w14:paraId="03BDAC5E" w14:textId="77777777" w:rsidR="00A85F5A" w:rsidRDefault="00A85F5A" w:rsidP="00F64F40">
      <w:pPr>
        <w:pStyle w:val="BodyText"/>
        <w:rPr>
          <w:rStyle w:val="normaltextrun"/>
          <w:color w:val="000000"/>
          <w:shd w:val="clear" w:color="auto" w:fill="FFFFFF"/>
        </w:rPr>
      </w:pPr>
      <w:r w:rsidRPr="00501C93">
        <w:rPr>
          <w:rStyle w:val="normaltextrun"/>
          <w:color w:val="000000"/>
          <w:shd w:val="clear" w:color="auto" w:fill="FFFFFF"/>
        </w:rPr>
        <w:t xml:space="preserve">Does the proposed urban </w:t>
      </w:r>
      <w:r>
        <w:rPr>
          <w:rStyle w:val="normaltextrun"/>
          <w:color w:val="000000"/>
          <w:shd w:val="clear" w:color="auto" w:fill="FFFFFF"/>
        </w:rPr>
        <w:t xml:space="preserve">structure, </w:t>
      </w:r>
      <w:r w:rsidRPr="00501C93">
        <w:rPr>
          <w:rStyle w:val="normaltextrun"/>
          <w:color w:val="000000"/>
          <w:shd w:val="clear" w:color="auto" w:fill="FFFFFF"/>
        </w:rPr>
        <w:t xml:space="preserve">land use layout and </w:t>
      </w:r>
      <w:r>
        <w:rPr>
          <w:rStyle w:val="normaltextrun"/>
          <w:color w:val="000000"/>
          <w:shd w:val="clear" w:color="auto" w:fill="FFFFFF"/>
        </w:rPr>
        <w:t xml:space="preserve">the design of </w:t>
      </w:r>
      <w:r w:rsidRPr="00501C93">
        <w:rPr>
          <w:rStyle w:val="normaltextrun"/>
          <w:color w:val="000000"/>
          <w:shd w:val="clear" w:color="auto" w:fill="FFFFFF"/>
        </w:rPr>
        <w:t xml:space="preserve">access routes support </w:t>
      </w:r>
      <w:r>
        <w:rPr>
          <w:rStyle w:val="normaltextrun"/>
          <w:color w:val="000000"/>
          <w:shd w:val="clear" w:color="auto" w:fill="FFFFFF"/>
        </w:rPr>
        <w:t>walkable neighbourhoods?</w:t>
      </w:r>
    </w:p>
    <w:p w14:paraId="193ADD99" w14:textId="77777777" w:rsidR="00912698" w:rsidRDefault="00912698" w:rsidP="00912698">
      <w:pPr>
        <w:pStyle w:val="BodyText"/>
        <w:numPr>
          <w:ilvl w:val="0"/>
          <w:numId w:val="0"/>
        </w:numPr>
        <w:rPr>
          <w:rStyle w:val="normaltextrun"/>
          <w:color w:val="000000"/>
          <w:shd w:val="clear" w:color="auto" w:fill="FFFFFF"/>
        </w:rPr>
      </w:pP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9922"/>
      </w:tblGrid>
      <w:tr w:rsidR="00A85F5A" w14:paraId="38BDA6E3" w14:textId="77777777" w:rsidTr="009C7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2" w:type="dxa"/>
          </w:tcPr>
          <w:p w14:paraId="1E8A3FC8" w14:textId="6F7BC177" w:rsidR="00A85F5A" w:rsidRPr="009C71AF" w:rsidRDefault="00A85F5A">
            <w:pPr>
              <w:rPr>
                <w:rStyle w:val="normaltextrun"/>
                <w:b w:val="0"/>
              </w:rPr>
            </w:pPr>
            <w:r w:rsidRPr="00B26A81">
              <w:t>Example response</w:t>
            </w:r>
            <w:r w:rsidRPr="009C71AF">
              <w:rPr>
                <w:b w:val="0"/>
              </w:rPr>
              <w:t xml:space="preserve">: Are proposed higher density areas in growth areas of over 30 lots per net developable hectare within walkable distance of existing and proposed activity centres, train stations, major transport routes and public open spaces? Applying the </w:t>
            </w:r>
            <w:hyperlink r:id="rId18" w:history="1">
              <w:r w:rsidRPr="009C71AF">
                <w:rPr>
                  <w:rStyle w:val="Hyperlink"/>
                  <w:b w:val="0"/>
                </w:rPr>
                <w:t>six 'Hallmarks'</w:t>
              </w:r>
            </w:hyperlink>
            <w:r w:rsidRPr="009C71AF">
              <w:rPr>
                <w:b w:val="0"/>
              </w:rPr>
              <w:t xml:space="preserve"> of 20-minute neighbourhoods</w:t>
            </w:r>
            <w:r w:rsidR="002E2DBE">
              <w:rPr>
                <w:b w:val="0"/>
              </w:rPr>
              <w:t xml:space="preserve">. </w:t>
            </w:r>
            <w:r w:rsidRPr="009C71AF">
              <w:rPr>
                <w:b w:val="0"/>
              </w:rPr>
              <w:t xml:space="preserve">Refer to </w:t>
            </w:r>
            <w:r w:rsidRPr="006A3A83">
              <w:rPr>
                <w:b w:val="0"/>
              </w:rPr>
              <w:t xml:space="preserve">the </w:t>
            </w:r>
            <w:hyperlink r:id="rId19" w:history="1">
              <w:r w:rsidRPr="00632AB5">
                <w:rPr>
                  <w:rStyle w:val="Hyperlink"/>
                  <w:b w:val="0"/>
                  <w:i/>
                </w:rPr>
                <w:t>20-minute neighbourhoods checklist tool</w:t>
              </w:r>
            </w:hyperlink>
            <w:r w:rsidR="00EC73F6" w:rsidRPr="00632AB5">
              <w:rPr>
                <w:b w:val="0"/>
              </w:rPr>
              <w:t xml:space="preserve"> (Department of Transport and Planning, </w:t>
            </w:r>
            <w:r w:rsidR="00F65C75" w:rsidRPr="00632AB5">
              <w:rPr>
                <w:b w:val="0"/>
              </w:rPr>
              <w:t>2023)</w:t>
            </w:r>
            <w:r w:rsidRPr="00632AB5">
              <w:rPr>
                <w:b w:val="0"/>
              </w:rPr>
              <w:t xml:space="preserve"> and the Amenity-based density model outlined in the </w:t>
            </w:r>
            <w:hyperlink r:id="rId20" w:history="1">
              <w:r w:rsidRPr="00632AB5">
                <w:rPr>
                  <w:rStyle w:val="Hyperlink"/>
                  <w:b w:val="0"/>
                  <w:i/>
                </w:rPr>
                <w:t>P</w:t>
              </w:r>
              <w:r w:rsidR="004A7E57" w:rsidRPr="00632AB5">
                <w:rPr>
                  <w:rStyle w:val="Hyperlink"/>
                  <w:b w:val="0"/>
                  <w:i/>
                </w:rPr>
                <w:t xml:space="preserve">recinct </w:t>
              </w:r>
              <w:r w:rsidRPr="00632AB5">
                <w:rPr>
                  <w:rStyle w:val="Hyperlink"/>
                  <w:b w:val="0"/>
                  <w:i/>
                </w:rPr>
                <w:t>S</w:t>
              </w:r>
              <w:r w:rsidR="004A7E57" w:rsidRPr="00632AB5">
                <w:rPr>
                  <w:rStyle w:val="Hyperlink"/>
                  <w:b w:val="0"/>
                  <w:i/>
                </w:rPr>
                <w:t xml:space="preserve">tructure </w:t>
              </w:r>
              <w:r w:rsidRPr="00632AB5">
                <w:rPr>
                  <w:rStyle w:val="Hyperlink"/>
                  <w:b w:val="0"/>
                  <w:i/>
                </w:rPr>
                <w:t>P</w:t>
              </w:r>
              <w:r w:rsidR="004A7E57" w:rsidRPr="00632AB5">
                <w:rPr>
                  <w:rStyle w:val="Hyperlink"/>
                  <w:b w:val="0"/>
                  <w:i/>
                </w:rPr>
                <w:t>lanning</w:t>
              </w:r>
              <w:r w:rsidRPr="00632AB5">
                <w:rPr>
                  <w:rStyle w:val="Hyperlink"/>
                  <w:b w:val="0"/>
                  <w:i/>
                </w:rPr>
                <w:t xml:space="preserve"> Guidelines - Part 3</w:t>
              </w:r>
            </w:hyperlink>
            <w:r w:rsidR="004D5604" w:rsidRPr="00632AB5">
              <w:rPr>
                <w:b w:val="0"/>
                <w:i/>
              </w:rPr>
              <w:t xml:space="preserve"> </w:t>
            </w:r>
            <w:r w:rsidR="004D5604" w:rsidRPr="00632AB5">
              <w:rPr>
                <w:b w:val="0"/>
              </w:rPr>
              <w:t>(</w:t>
            </w:r>
            <w:r w:rsidR="00DD7D9E" w:rsidRPr="00632AB5">
              <w:rPr>
                <w:b w:val="0"/>
              </w:rPr>
              <w:t xml:space="preserve">Victorian Planning Authority, </w:t>
            </w:r>
            <w:r w:rsidR="004D5604" w:rsidRPr="00632AB5">
              <w:rPr>
                <w:b w:val="0"/>
              </w:rPr>
              <w:t>October 2021</w:t>
            </w:r>
            <w:r w:rsidRPr="00632AB5">
              <w:rPr>
                <w:b w:val="0"/>
              </w:rPr>
              <w:t>) can help identify measures appropriate for framework and structure plans.</w:t>
            </w:r>
          </w:p>
        </w:tc>
      </w:tr>
    </w:tbl>
    <w:p w14:paraId="5EB81407" w14:textId="0B6357A0" w:rsidR="00A85F5A" w:rsidRDefault="00A85F5A" w:rsidP="002159CB">
      <w:pPr>
        <w:tabs>
          <w:tab w:val="left" w:pos="958"/>
          <w:tab w:val="left" w:pos="959"/>
        </w:tabs>
        <w:spacing w:before="0" w:after="0"/>
        <w:ind w:right="658"/>
        <w:rPr>
          <w:rStyle w:val="normaltextrun"/>
          <w:color w:val="000000"/>
          <w:shd w:val="clear" w:color="auto" w:fill="FFFFFF"/>
        </w:rPr>
      </w:pP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9922"/>
      </w:tblGrid>
      <w:tr w:rsidR="00A85F5A" w14:paraId="3038E78B" w14:textId="77777777" w:rsidTr="00B26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2" w:type="dxa"/>
          </w:tcPr>
          <w:p w14:paraId="56E527E9" w14:textId="0F684E3E" w:rsidR="00A85F5A" w:rsidRPr="00B26A81" w:rsidRDefault="00A85F5A" w:rsidP="00B26A81">
            <w:pPr>
              <w:rPr>
                <w:rStyle w:val="normaltextrun"/>
                <w:b w:val="0"/>
                <w:color w:val="000000"/>
                <w:shd w:val="clear" w:color="auto" w:fill="FFFFFF"/>
              </w:rPr>
            </w:pPr>
            <w:r w:rsidRPr="00B26A81">
              <w:rPr>
                <w:b w:val="0"/>
              </w:rPr>
              <w:t>Does lot distribution (or density) provide for 95 per cent of dwellings to be located no more than 800 metres street walking distance from the nearest existing or proposed railway station, 400 metres street walking distance from the nearest existing or proposed bus stop, and 600 metres street walking distance from the nearest existing or proposed tram stop unless</w:t>
            </w:r>
            <w:r w:rsidR="00DF453D">
              <w:rPr>
                <w:b w:val="0"/>
              </w:rPr>
              <w:t>,</w:t>
            </w:r>
            <w:r w:rsidRPr="00B26A81">
              <w:rPr>
                <w:b w:val="0"/>
              </w:rPr>
              <w:t xml:space="preserve"> constrained by existing site conditions or topographic features</w:t>
            </w:r>
            <w:r w:rsidR="00DF453D">
              <w:rPr>
                <w:b w:val="0"/>
              </w:rPr>
              <w:t>.</w:t>
            </w:r>
          </w:p>
        </w:tc>
      </w:tr>
    </w:tbl>
    <w:p w14:paraId="2BB348D3" w14:textId="77777777" w:rsidR="00A85F5A" w:rsidRDefault="00A85F5A" w:rsidP="004F3AC6">
      <w:pPr>
        <w:rPr>
          <w:rStyle w:val="normaltextrun"/>
          <w:color w:val="000000"/>
          <w:shd w:val="clear" w:color="auto" w:fill="FFFFFF"/>
        </w:rPr>
      </w:pPr>
      <w:r w:rsidRPr="00501C93">
        <w:rPr>
          <w:rStyle w:val="normaltextrun"/>
          <w:color w:val="000000"/>
          <w:shd w:val="clear" w:color="auto" w:fill="FFFFFF"/>
        </w:rPr>
        <w:t>Does the urban structure and proposed street network orientation support good solar orientation of lots and solar access for future development?</w:t>
      </w:r>
    </w:p>
    <w:p w14:paraId="17FD9388" w14:textId="3173B397" w:rsidR="00A85F5A" w:rsidRDefault="004F3AC6" w:rsidP="004F3AC6">
      <w:pPr>
        <w:pStyle w:val="Pull-outQuote"/>
        <w:rPr>
          <w:rStyle w:val="normaltextrun"/>
          <w:color w:val="000000"/>
          <w:shd w:val="clear" w:color="auto" w:fill="FFFFFF"/>
        </w:rPr>
      </w:pPr>
      <w:r w:rsidRPr="002159CB">
        <w:rPr>
          <w:b/>
        </w:rPr>
        <w:t>Example response</w:t>
      </w:r>
      <w:r>
        <w:t>: R</w:t>
      </w:r>
      <w:r w:rsidRPr="00501C93">
        <w:t>oads and streets</w:t>
      </w:r>
      <w:r>
        <w:t xml:space="preserve"> oriented</w:t>
      </w:r>
      <w:r w:rsidR="002F23D7">
        <w:t>,</w:t>
      </w:r>
      <w:r w:rsidRPr="00501C93">
        <w:t xml:space="preserve"> so north-south streets are within 20° west and 10° east of true north, and east-west streets are within 30° south and 20° north of true east</w:t>
      </w:r>
      <w:r w:rsidRPr="00501C93" w:rsidDel="00DE0189">
        <w:t xml:space="preserve"> </w:t>
      </w:r>
      <w:r>
        <w:t xml:space="preserve">(Note this </w:t>
      </w:r>
      <w:r w:rsidRPr="00501C93">
        <w:t>will help ensure</w:t>
      </w:r>
      <w:r>
        <w:t xml:space="preserve"> at </w:t>
      </w:r>
      <w:r w:rsidRPr="00501C93">
        <w:t>residential subdivision stage at least 70 percent of lots achieve appropriate solar orientation)</w:t>
      </w:r>
      <w:r w:rsidR="00803244">
        <w:t>.</w:t>
      </w:r>
    </w:p>
    <w:p w14:paraId="68CB9AFB" w14:textId="77777777" w:rsidR="00A85F5A" w:rsidRPr="00CA6E03" w:rsidRDefault="00A85F5A" w:rsidP="00F20083">
      <w:pPr>
        <w:pStyle w:val="Heading3"/>
      </w:pPr>
      <w:r w:rsidRPr="00CA6E03">
        <w:t xml:space="preserve">Planning for </w:t>
      </w:r>
      <w:r>
        <w:t xml:space="preserve">renewable energy and </w:t>
      </w:r>
      <w:r w:rsidRPr="00CA6E03">
        <w:t>zero emissions vehicles</w:t>
      </w:r>
    </w:p>
    <w:p w14:paraId="66057CBA" w14:textId="2F8E4D68" w:rsidR="00A85F5A" w:rsidRDefault="00A85F5A" w:rsidP="005C05E7">
      <w:pPr>
        <w:rPr>
          <w:rStyle w:val="normaltextrun"/>
          <w:color w:val="000000"/>
          <w:shd w:val="clear" w:color="auto" w:fill="FFFFFF"/>
        </w:rPr>
      </w:pPr>
      <w:r w:rsidRPr="00DA27F2">
        <w:rPr>
          <w:rStyle w:val="normaltextrun"/>
        </w:rPr>
        <w:t>Review opportunities</w:t>
      </w:r>
      <w:r w:rsidR="00DA27F2" w:rsidRPr="00DA27F2">
        <w:rPr>
          <w:rStyle w:val="normaltextrun"/>
        </w:rPr>
        <w:t xml:space="preserve"> for</w:t>
      </w:r>
      <w:r w:rsidRPr="00DA27F2">
        <w:rPr>
          <w:rStyle w:val="normaltextrun"/>
        </w:rPr>
        <w:t xml:space="preserve"> </w:t>
      </w:r>
      <w:r w:rsidRPr="00DA27F2">
        <w:rPr>
          <w:rStyle w:val="normaltextrun"/>
          <w:color w:val="000000"/>
          <w:shd w:val="clear" w:color="auto" w:fill="FFFFFF"/>
        </w:rPr>
        <w:t xml:space="preserve">precinct-scale planning </w:t>
      </w:r>
      <w:r w:rsidRPr="00DA27F2">
        <w:rPr>
          <w:rStyle w:val="normaltextrun"/>
        </w:rPr>
        <w:t xml:space="preserve">to support </w:t>
      </w:r>
      <w:r w:rsidRPr="00DA27F2">
        <w:rPr>
          <w:rStyle w:val="normaltextrun"/>
          <w:color w:val="000000"/>
          <w:shd w:val="clear" w:color="auto" w:fill="FFFFFF"/>
        </w:rPr>
        <w:t xml:space="preserve">renewable energy (for example, precinct scale battery storage) </w:t>
      </w:r>
      <w:r w:rsidRPr="00DA27F2">
        <w:rPr>
          <w:rStyle w:val="normaltextrun"/>
        </w:rPr>
        <w:t xml:space="preserve">and </w:t>
      </w:r>
      <w:r w:rsidRPr="00DA27F2">
        <w:rPr>
          <w:rStyle w:val="normaltextrun"/>
          <w:color w:val="000000"/>
          <w:shd w:val="clear" w:color="auto" w:fill="FFFFFF"/>
        </w:rPr>
        <w:t>projected increases in zero emissions vehicles by considering</w:t>
      </w:r>
      <w:r w:rsidR="00300DE1" w:rsidRPr="00DA27F2">
        <w:rPr>
          <w:rStyle w:val="normaltextrun"/>
          <w:color w:val="000000"/>
          <w:shd w:val="clear" w:color="auto" w:fill="FFFFFF"/>
        </w:rPr>
        <w:t xml:space="preserve"> the following</w:t>
      </w:r>
      <w:r w:rsidRPr="00DA27F2">
        <w:rPr>
          <w:rStyle w:val="normaltextrun"/>
          <w:color w:val="000000"/>
          <w:shd w:val="clear" w:color="auto" w:fill="FFFFFF"/>
        </w:rPr>
        <w:t>:</w:t>
      </w:r>
    </w:p>
    <w:p w14:paraId="7B8EDAD6" w14:textId="77777777" w:rsidR="00A85F5A" w:rsidRPr="00BA1966" w:rsidRDefault="00A85F5A" w:rsidP="003331FC">
      <w:pPr>
        <w:pStyle w:val="ListParagraph"/>
        <w:widowControl w:val="0"/>
        <w:numPr>
          <w:ilvl w:val="0"/>
          <w:numId w:val="20"/>
        </w:numPr>
        <w:tabs>
          <w:tab w:val="left" w:pos="567"/>
        </w:tabs>
        <w:autoSpaceDE w:val="0"/>
        <w:autoSpaceDN w:val="0"/>
        <w:spacing w:before="120" w:after="0"/>
        <w:ind w:left="567" w:right="658" w:hanging="425"/>
        <w:contextualSpacing w:val="0"/>
        <w:rPr>
          <w:rStyle w:val="normaltextrun"/>
          <w:color w:val="000000"/>
          <w:shd w:val="clear" w:color="auto" w:fill="FFFFFF"/>
        </w:rPr>
      </w:pPr>
      <w:r w:rsidRPr="00C87B9B">
        <w:rPr>
          <w:rStyle w:val="normaltextrun"/>
          <w:color w:val="000000"/>
          <w:shd w:val="clear" w:color="auto" w:fill="FFFFFF"/>
        </w:rPr>
        <w:t>Have any third party energy service or electric vehicle providers sought</w:t>
      </w:r>
      <w:r>
        <w:rPr>
          <w:rStyle w:val="normaltextrun"/>
          <w:color w:val="000000"/>
          <w:shd w:val="clear" w:color="auto" w:fill="FFFFFF"/>
        </w:rPr>
        <w:t xml:space="preserve"> </w:t>
      </w:r>
      <w:r w:rsidRPr="00C87B9B">
        <w:rPr>
          <w:rStyle w:val="normaltextrun"/>
        </w:rPr>
        <w:t xml:space="preserve">precinct </w:t>
      </w:r>
      <w:r w:rsidRPr="00C87B9B">
        <w:rPr>
          <w:rStyle w:val="normaltextrun"/>
          <w:color w:val="000000"/>
          <w:shd w:val="clear" w:color="auto" w:fill="FFFFFF"/>
        </w:rPr>
        <w:t>design, urban layout</w:t>
      </w:r>
      <w:r w:rsidRPr="00C87B9B">
        <w:rPr>
          <w:rStyle w:val="normaltextrun"/>
        </w:rPr>
        <w:t xml:space="preserve">, or electricity infrastructure measures to support their future initiatives? </w:t>
      </w:r>
    </w:p>
    <w:p w14:paraId="326E39D5" w14:textId="77777777" w:rsidR="00A85F5A" w:rsidRDefault="00A85F5A" w:rsidP="003331FC">
      <w:pPr>
        <w:pStyle w:val="ListParagraph"/>
        <w:widowControl w:val="0"/>
        <w:numPr>
          <w:ilvl w:val="0"/>
          <w:numId w:val="20"/>
        </w:numPr>
        <w:tabs>
          <w:tab w:val="left" w:pos="567"/>
        </w:tabs>
        <w:autoSpaceDE w:val="0"/>
        <w:autoSpaceDN w:val="0"/>
        <w:spacing w:before="120" w:after="0"/>
        <w:ind w:left="567" w:right="658" w:hanging="425"/>
        <w:contextualSpacing w:val="0"/>
        <w:rPr>
          <w:rStyle w:val="normaltextrun"/>
          <w:color w:val="000000"/>
          <w:shd w:val="clear" w:color="auto" w:fill="FFFFFF"/>
        </w:rPr>
      </w:pPr>
      <w:r w:rsidRPr="00C87B9B">
        <w:rPr>
          <w:rStyle w:val="normaltextrun"/>
        </w:rPr>
        <w:t>Has the relevant D</w:t>
      </w:r>
      <w:r w:rsidRPr="00C87B9B">
        <w:rPr>
          <w:rStyle w:val="normaltextrun"/>
          <w:color w:val="000000"/>
          <w:shd w:val="clear" w:color="auto" w:fill="FFFFFF"/>
        </w:rPr>
        <w:t>istribution and Network Service Provider (DNSP) identified any electricity grid readiness issues to meet future use of neighbourhood batteries and electric vehicles and associated infrastructure?</w:t>
      </w:r>
    </w:p>
    <w:p w14:paraId="1AFDB8A5" w14:textId="500B52FD" w:rsidR="00A85F5A" w:rsidRDefault="00A85F5A" w:rsidP="002159CB">
      <w:pPr>
        <w:pStyle w:val="Heading3"/>
      </w:pPr>
      <w:r w:rsidRPr="00F1199B">
        <w:t>3.1.</w:t>
      </w:r>
      <w:r w:rsidRPr="00B4353A">
        <w:t>2</w:t>
      </w:r>
      <w:r>
        <w:tab/>
      </w:r>
      <w:r w:rsidR="002159CB">
        <w:tab/>
      </w:r>
      <w:r w:rsidRPr="00B4353A">
        <w:t>What requirements are expected across different geographical areas</w:t>
      </w:r>
      <w:r>
        <w:t>?</w:t>
      </w:r>
    </w:p>
    <w:p w14:paraId="12A153F5" w14:textId="77777777" w:rsidR="00A85F5A" w:rsidRDefault="00A85F5A" w:rsidP="002159CB">
      <w:r>
        <w:t>The requirement to minimise GHG emissions should be considered across the different urban contexts, such as greenfield and infill areas, but responses, priorities and emphasis will vary with context.  For example, there is more scope in established urban areas to review opportunities for neighbourhood batteries due to the presence of existing community groups who may be well placed to manage such initiative</w:t>
      </w:r>
      <w:r w:rsidRPr="00A30CCE">
        <w:t>s</w:t>
      </w:r>
      <w:r>
        <w:t>.</w:t>
      </w:r>
    </w:p>
    <w:p w14:paraId="521E9274" w14:textId="77777777" w:rsidR="00A85F5A" w:rsidRDefault="00A85F5A" w:rsidP="002159CB">
      <w:r>
        <w:t>Relevant considerations will also differ based on geographical location, such as urban areas in metropolitan Melbourne</w:t>
      </w:r>
      <w:r>
        <w:rPr>
          <w:spacing w:val="1"/>
        </w:rPr>
        <w:t xml:space="preserve"> </w:t>
      </w:r>
      <w:r>
        <w:t>compared</w:t>
      </w:r>
      <w:r>
        <w:rPr>
          <w:spacing w:val="-2"/>
        </w:rPr>
        <w:t xml:space="preserve"> </w:t>
      </w:r>
      <w:r>
        <w:t>to</w:t>
      </w:r>
      <w:r>
        <w:rPr>
          <w:spacing w:val="2"/>
        </w:rPr>
        <w:t xml:space="preserve"> </w:t>
      </w:r>
      <w:r>
        <w:t>urban</w:t>
      </w:r>
      <w:r>
        <w:rPr>
          <w:spacing w:val="-1"/>
        </w:rPr>
        <w:t xml:space="preserve"> </w:t>
      </w:r>
      <w:r>
        <w:t xml:space="preserve">areas in regional Victoria. For example, the population densities of small regional settlements may limit opportunities to plan development around public transport nodes, although small regional towns may be more walkable, supporting 20-minute neighbourhoods outcomes by virtue of their size. </w:t>
      </w:r>
    </w:p>
    <w:p w14:paraId="79E54BAC" w14:textId="77777777" w:rsidR="00A85F5A" w:rsidRDefault="00A85F5A" w:rsidP="00C967EC">
      <w:pPr>
        <w:pStyle w:val="BodyText"/>
        <w:numPr>
          <w:ilvl w:val="0"/>
          <w:numId w:val="0"/>
        </w:numPr>
        <w:ind w:left="663"/>
      </w:pPr>
    </w:p>
    <w:p w14:paraId="6C94F606" w14:textId="5AE42992" w:rsidR="00A85F5A" w:rsidRPr="00026977" w:rsidRDefault="00A85F5A" w:rsidP="002159CB">
      <w:pPr>
        <w:pStyle w:val="Heading1NoTOC"/>
      </w:pPr>
      <w:r w:rsidRPr="005F1C17">
        <w:t>3.</w:t>
      </w:r>
      <w:r>
        <w:t>2</w:t>
      </w:r>
      <w:r>
        <w:tab/>
      </w:r>
      <w:r w:rsidR="00834066">
        <w:tab/>
      </w:r>
      <w:r w:rsidR="00031754">
        <w:tab/>
      </w:r>
      <w:r w:rsidRPr="005F1C17">
        <w:t>INCREASING</w:t>
      </w:r>
      <w:r w:rsidRPr="00026977">
        <w:rPr>
          <w:spacing w:val="-3"/>
        </w:rPr>
        <w:t xml:space="preserve"> </w:t>
      </w:r>
      <w:r w:rsidRPr="00026977">
        <w:t>RESILIENCE</w:t>
      </w:r>
      <w:r w:rsidRPr="00026977">
        <w:rPr>
          <w:spacing w:val="-2"/>
        </w:rPr>
        <w:t xml:space="preserve"> TO</w:t>
      </w:r>
      <w:r w:rsidRPr="00026977">
        <w:rPr>
          <w:spacing w:val="-1"/>
        </w:rPr>
        <w:t xml:space="preserve"> </w:t>
      </w:r>
      <w:r>
        <w:rPr>
          <w:spacing w:val="-1"/>
        </w:rPr>
        <w:t>CLIMATE CHANGE RISKS</w:t>
      </w:r>
    </w:p>
    <w:p w14:paraId="29AF3DCA" w14:textId="77777777" w:rsidR="00A85F5A" w:rsidRDefault="00A85F5A" w:rsidP="001D541E">
      <w:r>
        <w:t xml:space="preserve">It is a requirement to have regard to any </w:t>
      </w:r>
      <w:r w:rsidRPr="00ED387D">
        <w:t>significant risk to any use or development envisaged by the scheme or amendment that arises from, or is likely to</w:t>
      </w:r>
      <w:r w:rsidRPr="00ED387D">
        <w:rPr>
          <w:spacing w:val="-2"/>
        </w:rPr>
        <w:t xml:space="preserve"> </w:t>
      </w:r>
      <w:r w:rsidRPr="00ED387D">
        <w:t>arise</w:t>
      </w:r>
      <w:r w:rsidRPr="00ED387D">
        <w:rPr>
          <w:spacing w:val="1"/>
        </w:rPr>
        <w:t xml:space="preserve"> </w:t>
      </w:r>
      <w:r w:rsidRPr="00ED387D">
        <w:t>from,</w:t>
      </w:r>
      <w:r w:rsidRPr="00ED387D">
        <w:rPr>
          <w:spacing w:val="1"/>
        </w:rPr>
        <w:t xml:space="preserve"> </w:t>
      </w:r>
      <w:r w:rsidRPr="00ED387D">
        <w:t>the</w:t>
      </w:r>
      <w:r w:rsidRPr="00ED387D">
        <w:rPr>
          <w:spacing w:val="1"/>
        </w:rPr>
        <w:t xml:space="preserve"> </w:t>
      </w:r>
      <w:r w:rsidRPr="00ED387D">
        <w:t>impacts of</w:t>
      </w:r>
      <w:r w:rsidRPr="00ED387D">
        <w:rPr>
          <w:spacing w:val="-1"/>
        </w:rPr>
        <w:t xml:space="preserve"> </w:t>
      </w:r>
      <w:r w:rsidRPr="00ED387D">
        <w:t>climate</w:t>
      </w:r>
      <w:r w:rsidRPr="00ED387D">
        <w:rPr>
          <w:spacing w:val="-1"/>
        </w:rPr>
        <w:t xml:space="preserve"> </w:t>
      </w:r>
      <w:r w:rsidRPr="00ED387D">
        <w:t>change</w:t>
      </w:r>
      <w:r>
        <w:t xml:space="preserve"> by considering:</w:t>
      </w:r>
    </w:p>
    <w:p w14:paraId="42E240BB" w14:textId="77777777" w:rsidR="00A85F5A" w:rsidRPr="001D541E" w:rsidRDefault="00A85F5A" w:rsidP="001D541E">
      <w:pPr>
        <w:pStyle w:val="BodyText"/>
      </w:pPr>
      <w:r w:rsidRPr="001D541E">
        <w:t>the impact of climate change on natural hazards</w:t>
      </w:r>
    </w:p>
    <w:p w14:paraId="7CDA114F" w14:textId="77777777" w:rsidR="00A85F5A" w:rsidRPr="001D541E" w:rsidRDefault="00A85F5A" w:rsidP="001D541E">
      <w:pPr>
        <w:pStyle w:val="BodyText"/>
      </w:pPr>
      <w:r w:rsidRPr="001D541E">
        <w:t>how the use and development of land envisaged by the planning scheme or amendment will be resilient to the impact of, or likely impact, of climate change on natural hazards.</w:t>
      </w:r>
    </w:p>
    <w:p w14:paraId="54D6F98F" w14:textId="77777777" w:rsidR="00A85F5A" w:rsidRDefault="00A85F5A" w:rsidP="001D541E">
      <w:r w:rsidRPr="00FB089C">
        <w:t>Victoria’s built</w:t>
      </w:r>
      <w:r w:rsidRPr="00FB089C">
        <w:rPr>
          <w:spacing w:val="-1"/>
        </w:rPr>
        <w:t xml:space="preserve"> </w:t>
      </w:r>
      <w:r w:rsidRPr="00FB089C">
        <w:t>environment</w:t>
      </w:r>
      <w:r w:rsidRPr="00FB089C">
        <w:rPr>
          <w:spacing w:val="-1"/>
        </w:rPr>
        <w:t xml:space="preserve"> </w:t>
      </w:r>
      <w:r w:rsidRPr="00FB089C">
        <w:t>already</w:t>
      </w:r>
      <w:r w:rsidRPr="00FB089C">
        <w:rPr>
          <w:spacing w:val="-2"/>
        </w:rPr>
        <w:t xml:space="preserve"> </w:t>
      </w:r>
      <w:r w:rsidRPr="00FB089C">
        <w:t>contends</w:t>
      </w:r>
      <w:r w:rsidRPr="00FB089C">
        <w:rPr>
          <w:spacing w:val="-2"/>
        </w:rPr>
        <w:t xml:space="preserve"> </w:t>
      </w:r>
      <w:r w:rsidRPr="00FB089C">
        <w:t>with risks</w:t>
      </w:r>
      <w:r w:rsidRPr="00FB089C">
        <w:rPr>
          <w:spacing w:val="-2"/>
        </w:rPr>
        <w:t xml:space="preserve"> </w:t>
      </w:r>
      <w:r w:rsidRPr="00FB089C">
        <w:t>from</w:t>
      </w:r>
      <w:r w:rsidRPr="00FB089C">
        <w:rPr>
          <w:spacing w:val="-2"/>
        </w:rPr>
        <w:t xml:space="preserve"> </w:t>
      </w:r>
      <w:r w:rsidRPr="00FB089C">
        <w:t>natural</w:t>
      </w:r>
      <w:r w:rsidRPr="00FB089C">
        <w:rPr>
          <w:spacing w:val="-4"/>
        </w:rPr>
        <w:t xml:space="preserve"> </w:t>
      </w:r>
      <w:r w:rsidRPr="00FB089C">
        <w:t>hazards, including but not limited to bushfire, flood (including riverine, drainage, overland flows, coastal), coastal erosion, landslip and landslide, heatwave and drought.</w:t>
      </w:r>
    </w:p>
    <w:p w14:paraId="5630D883" w14:textId="77777777" w:rsidR="00A85F5A" w:rsidRPr="00FB089C" w:rsidRDefault="00A85F5A" w:rsidP="001D541E">
      <w:r w:rsidRPr="00FB089C">
        <w:t>Climate change is projected to increase the magnitude or intensity, frequency, duration, timing and spatial extent of</w:t>
      </w:r>
      <w:r w:rsidRPr="00FB089C">
        <w:rPr>
          <w:spacing w:val="1"/>
        </w:rPr>
        <w:t xml:space="preserve"> </w:t>
      </w:r>
      <w:r w:rsidRPr="00FB089C">
        <w:t>natural</w:t>
      </w:r>
      <w:r w:rsidRPr="00FB089C">
        <w:rPr>
          <w:spacing w:val="-4"/>
        </w:rPr>
        <w:t xml:space="preserve"> </w:t>
      </w:r>
      <w:r w:rsidRPr="00FB089C">
        <w:t>hazards</w:t>
      </w:r>
      <w:r>
        <w:t>. This increases</w:t>
      </w:r>
      <w:r w:rsidRPr="00FB089C">
        <w:rPr>
          <w:spacing w:val="-3"/>
        </w:rPr>
        <w:t xml:space="preserve"> </w:t>
      </w:r>
      <w:r>
        <w:t>risks to</w:t>
      </w:r>
      <w:r w:rsidRPr="00FB089C">
        <w:rPr>
          <w:spacing w:val="-2"/>
        </w:rPr>
        <w:t xml:space="preserve"> </w:t>
      </w:r>
      <w:r>
        <w:rPr>
          <w:spacing w:val="-2"/>
        </w:rPr>
        <w:t>human life</w:t>
      </w:r>
      <w:r>
        <w:t xml:space="preserve">, </w:t>
      </w:r>
      <w:r w:rsidRPr="00FB089C">
        <w:t>the</w:t>
      </w:r>
      <w:r w:rsidRPr="00FB089C">
        <w:rPr>
          <w:spacing w:val="-1"/>
        </w:rPr>
        <w:t xml:space="preserve"> </w:t>
      </w:r>
      <w:r w:rsidRPr="00FB089C">
        <w:t>safety</w:t>
      </w:r>
      <w:r w:rsidRPr="00FB089C">
        <w:rPr>
          <w:spacing w:val="-1"/>
        </w:rPr>
        <w:t xml:space="preserve"> </w:t>
      </w:r>
      <w:r w:rsidRPr="00FB089C">
        <w:t>and</w:t>
      </w:r>
      <w:r w:rsidRPr="00FB089C">
        <w:rPr>
          <w:spacing w:val="-3"/>
        </w:rPr>
        <w:t xml:space="preserve"> </w:t>
      </w:r>
      <w:r w:rsidRPr="00FB089C">
        <w:t>function</w:t>
      </w:r>
      <w:r w:rsidRPr="00FB089C">
        <w:rPr>
          <w:spacing w:val="-1"/>
        </w:rPr>
        <w:t xml:space="preserve"> </w:t>
      </w:r>
      <w:r w:rsidRPr="00FB089C">
        <w:t>of the</w:t>
      </w:r>
      <w:r w:rsidRPr="00FB089C">
        <w:rPr>
          <w:spacing w:val="-1"/>
        </w:rPr>
        <w:t xml:space="preserve"> </w:t>
      </w:r>
      <w:r w:rsidRPr="00FB089C">
        <w:t>built environment</w:t>
      </w:r>
      <w:r w:rsidRPr="00FB089C">
        <w:rPr>
          <w:spacing w:val="-3"/>
        </w:rPr>
        <w:t xml:space="preserve"> </w:t>
      </w:r>
      <w:r w:rsidRPr="00FB089C">
        <w:t>and</w:t>
      </w:r>
      <w:r w:rsidRPr="00FB089C">
        <w:rPr>
          <w:spacing w:val="-1"/>
        </w:rPr>
        <w:t xml:space="preserve"> </w:t>
      </w:r>
      <w:r w:rsidRPr="00FB089C">
        <w:t>its</w:t>
      </w:r>
      <w:r w:rsidRPr="00FB089C">
        <w:rPr>
          <w:spacing w:val="-1"/>
        </w:rPr>
        <w:t xml:space="preserve"> </w:t>
      </w:r>
      <w:r w:rsidRPr="00FB089C">
        <w:t>capacity</w:t>
      </w:r>
      <w:r w:rsidRPr="00FB089C">
        <w:rPr>
          <w:spacing w:val="-2"/>
        </w:rPr>
        <w:t xml:space="preserve"> </w:t>
      </w:r>
      <w:r w:rsidRPr="00FB089C">
        <w:t>to meet</w:t>
      </w:r>
      <w:r w:rsidRPr="00FB089C">
        <w:rPr>
          <w:spacing w:val="-3"/>
        </w:rPr>
        <w:t xml:space="preserve"> </w:t>
      </w:r>
      <w:r w:rsidRPr="00FB089C">
        <w:t>our</w:t>
      </w:r>
      <w:r w:rsidRPr="00FB089C">
        <w:rPr>
          <w:spacing w:val="-3"/>
        </w:rPr>
        <w:t xml:space="preserve"> </w:t>
      </w:r>
      <w:r w:rsidRPr="00FB089C">
        <w:t>present</w:t>
      </w:r>
      <w:r w:rsidRPr="00FB089C">
        <w:rPr>
          <w:spacing w:val="-2"/>
        </w:rPr>
        <w:t xml:space="preserve"> </w:t>
      </w:r>
      <w:r w:rsidRPr="00FB089C">
        <w:t>and future</w:t>
      </w:r>
      <w:r w:rsidRPr="00FB089C">
        <w:rPr>
          <w:spacing w:val="1"/>
        </w:rPr>
        <w:t xml:space="preserve"> </w:t>
      </w:r>
      <w:r w:rsidRPr="00FB089C">
        <w:t>needs.  Planning must also account for impacts that are both gradual and will occur over a long-time frame (for example,</w:t>
      </w:r>
      <w:r w:rsidRPr="0071032E">
        <w:t xml:space="preserve"> shifts </w:t>
      </w:r>
      <w:r w:rsidRPr="00495EE2">
        <w:t>in</w:t>
      </w:r>
      <w:r w:rsidRPr="00FB089C">
        <w:rPr>
          <w:spacing w:val="-2"/>
        </w:rPr>
        <w:t xml:space="preserve"> </w:t>
      </w:r>
      <w:r w:rsidRPr="00FB089C">
        <w:t>the</w:t>
      </w:r>
      <w:r w:rsidRPr="00FB089C">
        <w:rPr>
          <w:spacing w:val="-3"/>
        </w:rPr>
        <w:t xml:space="preserve"> </w:t>
      </w:r>
      <w:r w:rsidRPr="00FB089C">
        <w:t>seasonality</w:t>
      </w:r>
      <w:r w:rsidRPr="00FB089C">
        <w:rPr>
          <w:spacing w:val="-1"/>
        </w:rPr>
        <w:t xml:space="preserve"> </w:t>
      </w:r>
      <w:r w:rsidRPr="00FB089C">
        <w:t>of</w:t>
      </w:r>
      <w:r w:rsidRPr="00FB089C">
        <w:rPr>
          <w:spacing w:val="-2"/>
        </w:rPr>
        <w:t xml:space="preserve"> </w:t>
      </w:r>
      <w:r w:rsidRPr="00FB089C">
        <w:t>rainfall</w:t>
      </w:r>
      <w:r w:rsidRPr="00FB089C">
        <w:rPr>
          <w:spacing w:val="-4"/>
        </w:rPr>
        <w:t xml:space="preserve"> </w:t>
      </w:r>
      <w:r w:rsidRPr="00FB089C">
        <w:t>patterns)</w:t>
      </w:r>
      <w:r w:rsidRPr="00FB089C">
        <w:rPr>
          <w:spacing w:val="-1"/>
        </w:rPr>
        <w:t xml:space="preserve"> </w:t>
      </w:r>
      <w:r w:rsidRPr="00FB089C">
        <w:t>or</w:t>
      </w:r>
      <w:r w:rsidRPr="00FB089C">
        <w:rPr>
          <w:spacing w:val="-3"/>
        </w:rPr>
        <w:t xml:space="preserve"> </w:t>
      </w:r>
      <w:r w:rsidRPr="00FB089C">
        <w:t>can</w:t>
      </w:r>
      <w:r w:rsidRPr="00FB089C">
        <w:rPr>
          <w:spacing w:val="-2"/>
        </w:rPr>
        <w:t xml:space="preserve"> </w:t>
      </w:r>
      <w:r w:rsidRPr="00FB089C">
        <w:t>have</w:t>
      </w:r>
      <w:r w:rsidRPr="00FB089C">
        <w:rPr>
          <w:spacing w:val="-2"/>
        </w:rPr>
        <w:t xml:space="preserve"> </w:t>
      </w:r>
      <w:r w:rsidRPr="00FB089C">
        <w:t>immediate</w:t>
      </w:r>
      <w:r w:rsidRPr="00FB089C">
        <w:rPr>
          <w:spacing w:val="-3"/>
        </w:rPr>
        <w:t xml:space="preserve"> </w:t>
      </w:r>
      <w:r w:rsidRPr="00FB089C">
        <w:t>effect</w:t>
      </w:r>
      <w:r w:rsidRPr="00FB089C">
        <w:rPr>
          <w:spacing w:val="-2"/>
        </w:rPr>
        <w:t xml:space="preserve"> </w:t>
      </w:r>
      <w:r w:rsidRPr="00FB089C">
        <w:t>(for example,</w:t>
      </w:r>
      <w:r w:rsidRPr="00FB089C">
        <w:rPr>
          <w:spacing w:val="-2"/>
        </w:rPr>
        <w:t xml:space="preserve"> </w:t>
      </w:r>
      <w:r w:rsidRPr="00FB089C">
        <w:t>extreme</w:t>
      </w:r>
      <w:r w:rsidRPr="00FB089C">
        <w:rPr>
          <w:spacing w:val="-2"/>
        </w:rPr>
        <w:t xml:space="preserve"> </w:t>
      </w:r>
      <w:r w:rsidRPr="00FB089C">
        <w:t>weather</w:t>
      </w:r>
      <w:r w:rsidRPr="00FB089C">
        <w:rPr>
          <w:spacing w:val="-2"/>
        </w:rPr>
        <w:t xml:space="preserve"> </w:t>
      </w:r>
      <w:r w:rsidRPr="00FB089C">
        <w:t>events).</w:t>
      </w:r>
    </w:p>
    <w:p w14:paraId="2AEEF335" w14:textId="77777777" w:rsidR="00A85F5A" w:rsidRDefault="00A85F5A" w:rsidP="001D541E">
      <w:r w:rsidRPr="00FB089C">
        <w:t xml:space="preserve">The </w:t>
      </w:r>
      <w:r>
        <w:t xml:space="preserve">VPP and planning schemes have </w:t>
      </w:r>
      <w:r w:rsidRPr="00FB089C">
        <w:t xml:space="preserve">well established mechanisms </w:t>
      </w:r>
      <w:r>
        <w:t>for</w:t>
      </w:r>
      <w:r w:rsidRPr="00FB089C">
        <w:t xml:space="preserve"> responding to </w:t>
      </w:r>
      <w:r>
        <w:t xml:space="preserve">most </w:t>
      </w:r>
      <w:r w:rsidRPr="00FB089C">
        <w:t xml:space="preserve">natural hazards </w:t>
      </w:r>
      <w:r>
        <w:t>as part of land use</w:t>
      </w:r>
      <w:r w:rsidRPr="00FB089C">
        <w:t xml:space="preserve"> decision making.  Strategic planning </w:t>
      </w:r>
      <w:r>
        <w:t>can achieve significant prevention and adaptation outcomes by identifying, assessing and responding to natural hazard and risk when planning for future land use, urban and settlement growth and development.</w:t>
      </w:r>
    </w:p>
    <w:p w14:paraId="6F68A691" w14:textId="044464D9" w:rsidR="00A85F5A" w:rsidRPr="00834066" w:rsidRDefault="00A85F5A" w:rsidP="00834066">
      <w:pPr>
        <w:pStyle w:val="Heading2"/>
      </w:pPr>
      <w:r w:rsidRPr="00834066">
        <w:t>3.2.1</w:t>
      </w:r>
      <w:r w:rsidR="00031754" w:rsidRPr="00834066">
        <w:tab/>
      </w:r>
      <w:r w:rsidRPr="00834066">
        <w:tab/>
        <w:t>Key considerations</w:t>
      </w:r>
    </w:p>
    <w:p w14:paraId="1CCAFC25" w14:textId="77777777" w:rsidR="00A85F5A" w:rsidRDefault="00A85F5A" w:rsidP="00834066">
      <w:pPr>
        <w:rPr>
          <w:spacing w:val="-1"/>
        </w:rPr>
      </w:pPr>
      <w:r>
        <w:t xml:space="preserve">The key climate change resilience </w:t>
      </w:r>
      <w:r w:rsidRPr="00E41006">
        <w:t xml:space="preserve">considerations </w:t>
      </w:r>
      <w:r>
        <w:t xml:space="preserve">for each natural hazard that </w:t>
      </w:r>
      <w:r w:rsidRPr="00E41006">
        <w:t>must be addressed by the planning authority are</w:t>
      </w:r>
      <w:r w:rsidRPr="00E41006">
        <w:rPr>
          <w:spacing w:val="-3"/>
        </w:rPr>
        <w:t xml:space="preserve"> </w:t>
      </w:r>
      <w:r w:rsidRPr="00E41006">
        <w:t>set</w:t>
      </w:r>
      <w:r w:rsidRPr="00E41006">
        <w:rPr>
          <w:spacing w:val="-1"/>
        </w:rPr>
        <w:t xml:space="preserve"> </w:t>
      </w:r>
      <w:r w:rsidRPr="00E41006">
        <w:t>out</w:t>
      </w:r>
      <w:r>
        <w:rPr>
          <w:spacing w:val="-1"/>
        </w:rPr>
        <w:t xml:space="preserve"> in Section 3.2.2 of this guideline.</w:t>
      </w:r>
    </w:p>
    <w:p w14:paraId="3237C779" w14:textId="77777777" w:rsidR="00A85F5A" w:rsidRDefault="00A85F5A" w:rsidP="00834066">
      <w:pPr>
        <w:rPr>
          <w:rFonts w:eastAsia="Calibri"/>
          <w:b/>
          <w:i/>
          <w:u w:val="single"/>
        </w:rPr>
      </w:pPr>
      <w:r>
        <w:t>Considerations applying to all natural hazards are addressed below.</w:t>
      </w:r>
    </w:p>
    <w:p w14:paraId="20EC30FF" w14:textId="77777777" w:rsidR="00A85F5A" w:rsidRPr="00A16282" w:rsidRDefault="00A85F5A" w:rsidP="00834066">
      <w:pPr>
        <w:pStyle w:val="Heading3"/>
      </w:pPr>
      <w:r w:rsidRPr="00A16282">
        <w:t>Seeking early advice from relevant agencies</w:t>
      </w:r>
    </w:p>
    <w:p w14:paraId="2020576B" w14:textId="77777777" w:rsidR="00A85F5A" w:rsidRDefault="00A85F5A" w:rsidP="00834066">
      <w:r w:rsidRPr="40A14FB2">
        <w:t>Seeking the early advice and views of applicable emergency management and natural resource management agencies is important too:</w:t>
      </w:r>
    </w:p>
    <w:p w14:paraId="13C660DE" w14:textId="77777777" w:rsidR="00A85F5A" w:rsidRPr="00163A28" w:rsidRDefault="00A85F5A" w:rsidP="00163A28">
      <w:pPr>
        <w:pStyle w:val="BodyText"/>
      </w:pPr>
      <w:r w:rsidRPr="00163A28">
        <w:t>identify relevant information such as hazard related data to support strategic work that underpins an amendment</w:t>
      </w:r>
    </w:p>
    <w:p w14:paraId="3C7ED294" w14:textId="77777777" w:rsidR="00A85F5A" w:rsidRPr="00163A28" w:rsidRDefault="00A85F5A" w:rsidP="00163A28">
      <w:pPr>
        <w:pStyle w:val="BodyText"/>
      </w:pPr>
      <w:r w:rsidRPr="00163A28">
        <w:t xml:space="preserve">confirm the scale, detail and form of any hazard and risk assessments required for the proposal </w:t>
      </w:r>
    </w:p>
    <w:p w14:paraId="68615EDD" w14:textId="77777777" w:rsidR="00A85F5A" w:rsidRPr="00163A28" w:rsidRDefault="00A85F5A" w:rsidP="00163A28">
      <w:pPr>
        <w:pStyle w:val="BodyText"/>
      </w:pPr>
      <w:r w:rsidRPr="00163A28">
        <w:t>clarify the applicability and constraints of technical assessments</w:t>
      </w:r>
    </w:p>
    <w:p w14:paraId="7A814216" w14:textId="77777777" w:rsidR="00A85F5A" w:rsidRPr="00163A28" w:rsidRDefault="00A85F5A" w:rsidP="00163A28">
      <w:pPr>
        <w:pStyle w:val="BodyText"/>
      </w:pPr>
      <w:r w:rsidRPr="00163A28">
        <w:t>gain an initial understanding of the climate change implications of the proposed land use change.</w:t>
      </w:r>
    </w:p>
    <w:p w14:paraId="4BD14538" w14:textId="77777777" w:rsidR="00A85F5A" w:rsidRDefault="00A85F5A" w:rsidP="00163A28">
      <w:pPr>
        <w:rPr>
          <w:rFonts w:eastAsiaTheme="minorEastAsia"/>
        </w:rPr>
      </w:pPr>
      <w:r w:rsidRPr="7BD93351">
        <w:t xml:space="preserve">There are no statutory requirements on when and how </w:t>
      </w:r>
      <w:r>
        <w:t xml:space="preserve">agency advice </w:t>
      </w:r>
      <w:r w:rsidRPr="7BD93351">
        <w:t xml:space="preserve">should be </w:t>
      </w:r>
      <w:r>
        <w:t xml:space="preserve">sought </w:t>
      </w:r>
      <w:r w:rsidRPr="7BD93351">
        <w:t xml:space="preserve">as part of strategic planning. It is good practice to seek advice early, particularly in the preliminary assessment stage of strategic work prior to commencement of the amendment process.  Relevant agencies can then gain an </w:t>
      </w:r>
      <w:r>
        <w:t>initial and timely</w:t>
      </w:r>
      <w:r w:rsidRPr="7BD93351">
        <w:t xml:space="preserve"> understanding of the proposal and their advice can be incorporated from the outset. </w:t>
      </w:r>
      <w:r>
        <w:t xml:space="preserve"> Early engagement ensures that planning authorities </w:t>
      </w:r>
      <w:r w:rsidRPr="00656E82">
        <w:t>are not seeking this</w:t>
      </w:r>
      <w:r>
        <w:t xml:space="preserve"> advice during the planning scheme amendment process.  Attempting to apply retrospective advice can be problematic when strategic decisions about land use have already been taken.</w:t>
      </w:r>
    </w:p>
    <w:p w14:paraId="36595FAB" w14:textId="77777777" w:rsidR="00A85F5A" w:rsidRDefault="00A85F5A" w:rsidP="00163A28">
      <w:pPr>
        <w:rPr>
          <w:shd w:val="clear" w:color="auto" w:fill="FFFFFF"/>
        </w:rPr>
      </w:pPr>
      <w:r w:rsidRPr="00C2375C">
        <w:rPr>
          <w:rFonts w:eastAsia="Calibri"/>
        </w:rPr>
        <w:t>If the amendment</w:t>
      </w:r>
      <w:r w:rsidRPr="00C2375C">
        <w:t xml:space="preserve"> is proponent</w:t>
      </w:r>
      <w:r>
        <w:t xml:space="preserve"> </w:t>
      </w:r>
      <w:r w:rsidRPr="00C2375C">
        <w:t>led</w:t>
      </w:r>
      <w:r>
        <w:t>,</w:t>
      </w:r>
      <w:r w:rsidRPr="00C2375C">
        <w:t xml:space="preserve"> the proponent should seek the views of the applicable agency and </w:t>
      </w:r>
      <w:r>
        <w:t xml:space="preserve">provide </w:t>
      </w:r>
      <w:r w:rsidRPr="00C2375C">
        <w:t>evidence of this to the planning authority.</w:t>
      </w:r>
    </w:p>
    <w:p w14:paraId="1DB7F34C" w14:textId="77777777" w:rsidR="00A85F5A" w:rsidRPr="0046094F" w:rsidRDefault="00A85F5A" w:rsidP="00163A28">
      <w:pPr>
        <w:pStyle w:val="Heading3"/>
      </w:pPr>
      <w:r w:rsidRPr="00B266DB">
        <w:t>Table: Designated State agencies</w:t>
      </w:r>
    </w:p>
    <w:tbl>
      <w:tblPr>
        <w:tblStyle w:val="TableGrid"/>
        <w:tblpPr w:leftFromText="180" w:rightFromText="180" w:vertAnchor="text" w:horzAnchor="margin" w:tblpY="164"/>
        <w:tblW w:w="0" w:type="auto"/>
        <w:tblLook w:val="04A0" w:firstRow="1" w:lastRow="0" w:firstColumn="1" w:lastColumn="0" w:noHBand="0" w:noVBand="1"/>
      </w:tblPr>
      <w:tblGrid>
        <w:gridCol w:w="2694"/>
        <w:gridCol w:w="6662"/>
      </w:tblGrid>
      <w:tr w:rsidR="00163A28" w14:paraId="5D45C0CC" w14:textId="77777777" w:rsidTr="00E2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BD5AFDB" w14:textId="77777777" w:rsidR="00163A28" w:rsidRPr="00694E5C" w:rsidRDefault="00163A28" w:rsidP="00163A28">
            <w:pPr>
              <w:rPr>
                <w:b w:val="0"/>
              </w:rPr>
            </w:pPr>
            <w:r w:rsidRPr="00694E5C">
              <w:t>NATURAL HAZARD</w:t>
            </w:r>
          </w:p>
        </w:tc>
        <w:tc>
          <w:tcPr>
            <w:tcW w:w="6662" w:type="dxa"/>
          </w:tcPr>
          <w:p w14:paraId="1FC82BD1" w14:textId="77777777" w:rsidR="00163A28" w:rsidRPr="00694E5C" w:rsidRDefault="00163A28" w:rsidP="00163A28">
            <w:pPr>
              <w:cnfStyle w:val="100000000000" w:firstRow="1" w:lastRow="0" w:firstColumn="0" w:lastColumn="0" w:oddVBand="0" w:evenVBand="0" w:oddHBand="0" w:evenHBand="0" w:firstRowFirstColumn="0" w:firstRowLastColumn="0" w:lastRowFirstColumn="0" w:lastRowLastColumn="0"/>
              <w:rPr>
                <w:b w:val="0"/>
              </w:rPr>
            </w:pPr>
            <w:r w:rsidRPr="00694E5C">
              <w:t>AGENCY</w:t>
            </w:r>
          </w:p>
        </w:tc>
      </w:tr>
      <w:tr w:rsidR="00163A28" w14:paraId="47D9A676" w14:textId="77777777" w:rsidTr="00E26832">
        <w:tc>
          <w:tcPr>
            <w:cnfStyle w:val="001000000000" w:firstRow="0" w:lastRow="0" w:firstColumn="1" w:lastColumn="0" w:oddVBand="0" w:evenVBand="0" w:oddHBand="0" w:evenHBand="0" w:firstRowFirstColumn="0" w:firstRowLastColumn="0" w:lastRowFirstColumn="0" w:lastRowLastColumn="0"/>
            <w:tcW w:w="2694" w:type="dxa"/>
          </w:tcPr>
          <w:p w14:paraId="58024413" w14:textId="77777777" w:rsidR="00163A28" w:rsidRDefault="00163A28" w:rsidP="00163A28">
            <w:r>
              <w:t>Bushfire</w:t>
            </w:r>
          </w:p>
        </w:tc>
        <w:tc>
          <w:tcPr>
            <w:tcW w:w="6662" w:type="dxa"/>
          </w:tcPr>
          <w:p w14:paraId="69FA714E" w14:textId="77777777" w:rsidR="00163A28" w:rsidRDefault="00163A28" w:rsidP="00163A28">
            <w:pPr>
              <w:cnfStyle w:val="000000000000" w:firstRow="0" w:lastRow="0" w:firstColumn="0" w:lastColumn="0" w:oddVBand="0" w:evenVBand="0" w:oddHBand="0" w:evenHBand="0" w:firstRowFirstColumn="0" w:firstRowLastColumn="0" w:lastRowFirstColumn="0" w:lastRowLastColumn="0"/>
            </w:pPr>
            <w:r>
              <w:t>Relevant fire authority (Fire Rescue Victoria or Country Fire Authority)</w:t>
            </w:r>
          </w:p>
        </w:tc>
      </w:tr>
      <w:tr w:rsidR="00163A28" w14:paraId="126F40D9" w14:textId="77777777" w:rsidTr="00E2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D3D0A4" w14:textId="77777777" w:rsidR="00163A28" w:rsidRDefault="00163A28" w:rsidP="00163A28">
            <w:r>
              <w:t>Flood</w:t>
            </w:r>
          </w:p>
        </w:tc>
        <w:tc>
          <w:tcPr>
            <w:tcW w:w="6662" w:type="dxa"/>
          </w:tcPr>
          <w:p w14:paraId="6FF7D9E6" w14:textId="77777777" w:rsidR="00163A28" w:rsidRDefault="00163A28" w:rsidP="00163A28">
            <w:pPr>
              <w:cnfStyle w:val="000000010000" w:firstRow="0" w:lastRow="0" w:firstColumn="0" w:lastColumn="0" w:oddVBand="0" w:evenVBand="0" w:oddHBand="0" w:evenHBand="1" w:firstRowFirstColumn="0" w:firstRowLastColumn="0" w:lastRowFirstColumn="0" w:lastRowLastColumn="0"/>
            </w:pPr>
            <w:r>
              <w:t>Relevant floodplain management authority</w:t>
            </w:r>
          </w:p>
        </w:tc>
      </w:tr>
      <w:tr w:rsidR="00163A28" w14:paraId="75D17B25" w14:textId="77777777" w:rsidTr="00E26832">
        <w:tc>
          <w:tcPr>
            <w:cnfStyle w:val="001000000000" w:firstRow="0" w:lastRow="0" w:firstColumn="1" w:lastColumn="0" w:oddVBand="0" w:evenVBand="0" w:oddHBand="0" w:evenHBand="0" w:firstRowFirstColumn="0" w:firstRowLastColumn="0" w:lastRowFirstColumn="0" w:lastRowLastColumn="0"/>
            <w:tcW w:w="2694" w:type="dxa"/>
          </w:tcPr>
          <w:p w14:paraId="511774B6" w14:textId="77777777" w:rsidR="00163A28" w:rsidRDefault="00163A28" w:rsidP="00163A28">
            <w:r>
              <w:t>Coastal inundation</w:t>
            </w:r>
          </w:p>
        </w:tc>
        <w:tc>
          <w:tcPr>
            <w:tcW w:w="6662" w:type="dxa"/>
          </w:tcPr>
          <w:p w14:paraId="0BE54695" w14:textId="77777777" w:rsidR="00163A28" w:rsidRDefault="00163A28" w:rsidP="00163A28">
            <w:pPr>
              <w:cnfStyle w:val="000000000000" w:firstRow="0" w:lastRow="0" w:firstColumn="0" w:lastColumn="0" w:oddVBand="0" w:evenVBand="0" w:oddHBand="0" w:evenHBand="0" w:firstRowFirstColumn="0" w:firstRowLastColumn="0" w:lastRowFirstColumn="0" w:lastRowLastColumn="0"/>
            </w:pPr>
            <w:r>
              <w:t xml:space="preserve">Relevant floodplain management authority </w:t>
            </w:r>
          </w:p>
        </w:tc>
      </w:tr>
      <w:tr w:rsidR="00163A28" w14:paraId="6DF5CEA2" w14:textId="77777777" w:rsidTr="00E26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6E436A" w14:textId="77777777" w:rsidR="00163A28" w:rsidRDefault="00163A28" w:rsidP="00163A28">
            <w:r>
              <w:t>Drought (water supply)</w:t>
            </w:r>
          </w:p>
        </w:tc>
        <w:tc>
          <w:tcPr>
            <w:tcW w:w="6662" w:type="dxa"/>
          </w:tcPr>
          <w:p w14:paraId="211CEE7C" w14:textId="77777777" w:rsidR="00163A28" w:rsidRDefault="00163A28" w:rsidP="00163A28">
            <w:pPr>
              <w:cnfStyle w:val="000000010000" w:firstRow="0" w:lastRow="0" w:firstColumn="0" w:lastColumn="0" w:oddVBand="0" w:evenVBand="0" w:oddHBand="0" w:evenHBand="1" w:firstRowFirstColumn="0" w:firstRowLastColumn="0" w:lastRowFirstColumn="0" w:lastRowLastColumn="0"/>
            </w:pPr>
            <w:r>
              <w:t>Relevant water corporation</w:t>
            </w:r>
          </w:p>
        </w:tc>
      </w:tr>
    </w:tbl>
    <w:p w14:paraId="2FBC4246" w14:textId="77777777" w:rsidR="00163A28" w:rsidRPr="00163A28" w:rsidRDefault="00163A28" w:rsidP="00163A28"/>
    <w:p w14:paraId="7C463CD6" w14:textId="77777777" w:rsidR="00163A28" w:rsidRDefault="00163A28" w:rsidP="00163A28">
      <w:pPr>
        <w:pStyle w:val="BodyText"/>
        <w:numPr>
          <w:ilvl w:val="0"/>
          <w:numId w:val="0"/>
        </w:numPr>
        <w:ind w:left="303"/>
      </w:pPr>
    </w:p>
    <w:p w14:paraId="5A1D5A64" w14:textId="77777777" w:rsidR="00163A28" w:rsidRDefault="00163A28" w:rsidP="00163A28">
      <w:pPr>
        <w:pStyle w:val="BodyText"/>
        <w:numPr>
          <w:ilvl w:val="0"/>
          <w:numId w:val="0"/>
        </w:numPr>
        <w:ind w:left="303"/>
      </w:pPr>
    </w:p>
    <w:p w14:paraId="28ED45BC" w14:textId="77777777" w:rsidR="00163A28" w:rsidRDefault="00163A28" w:rsidP="00163A28">
      <w:pPr>
        <w:pStyle w:val="BodyText"/>
        <w:numPr>
          <w:ilvl w:val="0"/>
          <w:numId w:val="0"/>
        </w:numPr>
        <w:ind w:left="303"/>
      </w:pPr>
    </w:p>
    <w:p w14:paraId="5578F528" w14:textId="77777777" w:rsidR="00163A28" w:rsidRDefault="00163A28" w:rsidP="00163A28">
      <w:pPr>
        <w:pStyle w:val="BodyText"/>
        <w:numPr>
          <w:ilvl w:val="0"/>
          <w:numId w:val="0"/>
        </w:numPr>
        <w:ind w:left="303"/>
      </w:pPr>
    </w:p>
    <w:p w14:paraId="74CDD5CA" w14:textId="77777777" w:rsidR="00163A28" w:rsidRDefault="00163A28" w:rsidP="00163A28">
      <w:pPr>
        <w:pStyle w:val="BodyText"/>
        <w:numPr>
          <w:ilvl w:val="0"/>
          <w:numId w:val="0"/>
        </w:numPr>
        <w:ind w:left="303"/>
      </w:pPr>
    </w:p>
    <w:p w14:paraId="78D7A9A0" w14:textId="77777777" w:rsidR="00163A28" w:rsidRDefault="00163A28" w:rsidP="00163A28">
      <w:pPr>
        <w:pStyle w:val="BodyText"/>
        <w:numPr>
          <w:ilvl w:val="0"/>
          <w:numId w:val="0"/>
        </w:numPr>
        <w:ind w:left="303"/>
      </w:pPr>
    </w:p>
    <w:p w14:paraId="215BB244" w14:textId="77777777" w:rsidR="00163A28" w:rsidRDefault="00163A28" w:rsidP="00163A28">
      <w:pPr>
        <w:pStyle w:val="BodyText"/>
        <w:numPr>
          <w:ilvl w:val="0"/>
          <w:numId w:val="0"/>
        </w:numPr>
        <w:ind w:left="303"/>
      </w:pPr>
    </w:p>
    <w:p w14:paraId="04821089" w14:textId="049348C7" w:rsidR="00A85F5A" w:rsidRDefault="00A85F5A" w:rsidP="00EE49FC">
      <w:r w:rsidRPr="564C248F">
        <w:t xml:space="preserve">Note: </w:t>
      </w:r>
      <w:r>
        <w:t>T</w:t>
      </w:r>
      <w:r w:rsidRPr="564C248F">
        <w:t>here is no designated State agency for landslip</w:t>
      </w:r>
      <w:r>
        <w:t>/</w:t>
      </w:r>
      <w:r w:rsidRPr="564C248F">
        <w:t>landslide or heatwave hazards.</w:t>
      </w:r>
    </w:p>
    <w:p w14:paraId="0CC11D3C" w14:textId="77777777" w:rsidR="00A85F5A" w:rsidRPr="00F1199B" w:rsidRDefault="00A85F5A" w:rsidP="00EF0E34">
      <w:pPr>
        <w:pStyle w:val="Heading3"/>
        <w:rPr>
          <w:shd w:val="clear" w:color="auto" w:fill="FFFFFF"/>
          <w:lang w:eastAsia="en-AU"/>
        </w:rPr>
      </w:pPr>
      <w:r w:rsidRPr="00F1199B">
        <w:rPr>
          <w:shd w:val="clear" w:color="auto" w:fill="FFFFFF"/>
          <w:lang w:eastAsia="en-AU"/>
        </w:rPr>
        <w:t>Climate change data</w:t>
      </w:r>
    </w:p>
    <w:p w14:paraId="678B3983" w14:textId="77777777" w:rsidR="00A85F5A" w:rsidRDefault="00A85F5A" w:rsidP="00EF0E34">
      <w:pPr>
        <w:rPr>
          <w:shd w:val="clear" w:color="auto" w:fill="FFFFFF"/>
          <w:lang w:eastAsia="en-AU"/>
        </w:rPr>
      </w:pPr>
      <w:r w:rsidRPr="00F1199B">
        <w:rPr>
          <w:shd w:val="clear" w:color="auto" w:fill="FFFFFF"/>
          <w:lang w:eastAsia="en-AU"/>
        </w:rPr>
        <w:t xml:space="preserve">Hazard and risk assessments, benchmarks </w:t>
      </w:r>
      <w:r>
        <w:rPr>
          <w:shd w:val="clear" w:color="auto" w:fill="FFFFFF"/>
          <w:lang w:eastAsia="en-AU"/>
        </w:rPr>
        <w:t>and</w:t>
      </w:r>
      <w:r w:rsidRPr="00F1199B">
        <w:rPr>
          <w:shd w:val="clear" w:color="auto" w:fill="FFFFFF"/>
          <w:lang w:eastAsia="en-AU"/>
        </w:rPr>
        <w:t xml:space="preserve"> standards need to be based on best available science</w:t>
      </w:r>
      <w:r>
        <w:rPr>
          <w:shd w:val="clear" w:color="auto" w:fill="FFFFFF"/>
          <w:lang w:eastAsia="en-AU"/>
        </w:rPr>
        <w:t xml:space="preserve"> and information</w:t>
      </w:r>
      <w:r w:rsidRPr="00F1199B">
        <w:rPr>
          <w:shd w:val="clear" w:color="auto" w:fill="FFFFFF"/>
          <w:lang w:eastAsia="en-AU"/>
        </w:rPr>
        <w:t xml:space="preserve"> on the potential for increased climate</w:t>
      </w:r>
      <w:r>
        <w:rPr>
          <w:shd w:val="clear" w:color="auto" w:fill="FFFFFF"/>
          <w:lang w:eastAsia="en-AU"/>
        </w:rPr>
        <w:t>-related</w:t>
      </w:r>
      <w:r w:rsidRPr="00F1199B">
        <w:rPr>
          <w:shd w:val="clear" w:color="auto" w:fill="FFFFFF"/>
          <w:lang w:eastAsia="en-AU"/>
        </w:rPr>
        <w:t xml:space="preserve"> hazards</w:t>
      </w:r>
      <w:r>
        <w:rPr>
          <w:shd w:val="clear" w:color="auto" w:fill="FFFFFF"/>
          <w:lang w:eastAsia="en-AU"/>
        </w:rPr>
        <w:t xml:space="preserve"> for Victoria.  Assessments should be </w:t>
      </w:r>
      <w:r w:rsidRPr="00F1199B">
        <w:rPr>
          <w:shd w:val="clear" w:color="auto" w:fill="FFFFFF"/>
          <w:lang w:eastAsia="en-AU"/>
        </w:rPr>
        <w:t xml:space="preserve">undertaken using methods, data and climate science </w:t>
      </w:r>
      <w:r>
        <w:rPr>
          <w:shd w:val="clear" w:color="auto" w:fill="FFFFFF"/>
          <w:lang w:eastAsia="en-AU"/>
        </w:rPr>
        <w:t xml:space="preserve">issued or </w:t>
      </w:r>
      <w:r w:rsidRPr="00F1199B">
        <w:rPr>
          <w:shd w:val="clear" w:color="auto" w:fill="FFFFFF"/>
          <w:lang w:eastAsia="en-AU"/>
        </w:rPr>
        <w:t xml:space="preserve">endorsed by </w:t>
      </w:r>
      <w:r>
        <w:rPr>
          <w:shd w:val="clear" w:color="auto" w:fill="FFFFFF"/>
          <w:lang w:eastAsia="en-AU"/>
        </w:rPr>
        <w:t xml:space="preserve">relevant </w:t>
      </w:r>
      <w:r w:rsidRPr="00F1199B">
        <w:rPr>
          <w:shd w:val="clear" w:color="auto" w:fill="FFFFFF"/>
          <w:lang w:eastAsia="en-AU"/>
        </w:rPr>
        <w:t xml:space="preserve">State </w:t>
      </w:r>
      <w:r>
        <w:rPr>
          <w:shd w:val="clear" w:color="auto" w:fill="FFFFFF"/>
          <w:lang w:eastAsia="en-AU"/>
        </w:rPr>
        <w:t>and</w:t>
      </w:r>
      <w:r w:rsidRPr="00F1199B">
        <w:rPr>
          <w:shd w:val="clear" w:color="auto" w:fill="FFFFFF"/>
          <w:lang w:eastAsia="en-AU"/>
        </w:rPr>
        <w:t xml:space="preserve"> Commonwealth authorities</w:t>
      </w:r>
      <w:r>
        <w:rPr>
          <w:shd w:val="clear" w:color="auto" w:fill="FFFFFF"/>
          <w:lang w:eastAsia="en-AU"/>
        </w:rPr>
        <w:t>,</w:t>
      </w:r>
      <w:r w:rsidRPr="00F1199B">
        <w:rPr>
          <w:shd w:val="clear" w:color="auto" w:fill="FFFFFF"/>
          <w:lang w:eastAsia="en-AU"/>
        </w:rPr>
        <w:t xml:space="preserve"> with </w:t>
      </w:r>
      <w:r>
        <w:rPr>
          <w:shd w:val="clear" w:color="auto" w:fill="FFFFFF"/>
          <w:lang w:eastAsia="en-AU"/>
        </w:rPr>
        <w:t>reference to any climate science reports issued under the CC Act.</w:t>
      </w:r>
      <w:r w:rsidRPr="00F1199B">
        <w:rPr>
          <w:shd w:val="clear" w:color="auto" w:fill="FFFFFF"/>
          <w:lang w:eastAsia="en-AU"/>
        </w:rPr>
        <w:t xml:space="preserve"> </w:t>
      </w:r>
      <w:r>
        <w:rPr>
          <w:shd w:val="clear" w:color="auto" w:fill="FFFFFF"/>
          <w:lang w:eastAsia="en-AU"/>
        </w:rPr>
        <w:t xml:space="preserve"> </w:t>
      </w:r>
      <w:r w:rsidRPr="00F1199B">
        <w:rPr>
          <w:shd w:val="clear" w:color="auto" w:fill="FFFFFF"/>
          <w:lang w:eastAsia="en-AU"/>
        </w:rPr>
        <w:t xml:space="preserve">On a case-by-case basis, standards issued by Standards Australia may also be suitable, where adopted by a </w:t>
      </w:r>
      <w:r>
        <w:rPr>
          <w:shd w:val="clear" w:color="auto" w:fill="FFFFFF"/>
          <w:lang w:eastAsia="en-AU"/>
        </w:rPr>
        <w:t xml:space="preserve">relevant </w:t>
      </w:r>
      <w:r w:rsidRPr="00F1199B">
        <w:rPr>
          <w:shd w:val="clear" w:color="auto" w:fill="FFFFFF"/>
          <w:lang w:eastAsia="en-AU"/>
        </w:rPr>
        <w:t>Victoria</w:t>
      </w:r>
      <w:r>
        <w:rPr>
          <w:shd w:val="clear" w:color="auto" w:fill="FFFFFF"/>
          <w:lang w:eastAsia="en-AU"/>
        </w:rPr>
        <w:t>n</w:t>
      </w:r>
      <w:r w:rsidRPr="00F1199B">
        <w:rPr>
          <w:shd w:val="clear" w:color="auto" w:fill="FFFFFF"/>
          <w:lang w:eastAsia="en-AU"/>
        </w:rPr>
        <w:t xml:space="preserve"> Government or Commonwealth Agency.</w:t>
      </w:r>
    </w:p>
    <w:p w14:paraId="632A4669" w14:textId="77777777" w:rsidR="00A85F5A" w:rsidRPr="00977158" w:rsidRDefault="00A85F5A" w:rsidP="00EF0E34">
      <w:pPr>
        <w:pStyle w:val="Heading3"/>
        <w:rPr>
          <w:shd w:val="clear" w:color="auto" w:fill="FFFFFF"/>
          <w:lang w:eastAsia="en-AU"/>
        </w:rPr>
      </w:pPr>
      <w:r w:rsidRPr="00CF530C">
        <w:rPr>
          <w:shd w:val="clear" w:color="auto" w:fill="FFFFFF"/>
          <w:lang w:eastAsia="en-AU"/>
        </w:rPr>
        <w:t>Requirements across different geographical areas</w:t>
      </w:r>
    </w:p>
    <w:p w14:paraId="67DC0BB3" w14:textId="396784AB" w:rsidR="00A85F5A" w:rsidRDefault="00A85F5A" w:rsidP="00EF0E34">
      <w:r>
        <w:t xml:space="preserve">The requirement to support resilience to climate change risks must be considered across the different urban contexts, such as greenfield and infill areas, and different geographical locations.  Where use and development is considered acceptable on land subject to a natural hazard, the design response will vary with context.  For example, there is more scope to plan for a 30 per cent tree canopy cover across a greenfield precinct area, whereas many </w:t>
      </w:r>
      <w:r w:rsidRPr="00C20932">
        <w:t>small</w:t>
      </w:r>
      <w:r>
        <w:t xml:space="preserve"> infill locations have more limited space for tree planting due to existing built structures.</w:t>
      </w:r>
    </w:p>
    <w:p w14:paraId="7FB9BEE5" w14:textId="77777777" w:rsidR="00A85F5A" w:rsidRDefault="00A85F5A" w:rsidP="00EF0E34">
      <w:r>
        <w:t>For land subject to bushfire hazards, the primacy of human life is the priority consideration in all instances.  Planning responses to flood risk will also vary between greenfield and established urban areas.  In established locations there may be more emphasis on flow management higher in the catchment (outside the area subject to a planning scheme amendment) and on enhancing existing infrastructure, particularly if land availability for retarding basins is limited.</w:t>
      </w:r>
    </w:p>
    <w:p w14:paraId="2CFE7469" w14:textId="3EB5BB21" w:rsidR="00A85F5A" w:rsidRPr="005F3E42" w:rsidRDefault="00A85F5A" w:rsidP="00EF0E34">
      <w:pPr>
        <w:pStyle w:val="Heading2"/>
      </w:pPr>
      <w:r w:rsidRPr="005F3E42">
        <w:t>3.2.2</w:t>
      </w:r>
      <w:r w:rsidRPr="005F3E42">
        <w:tab/>
      </w:r>
      <w:r w:rsidR="005C05E7">
        <w:tab/>
      </w:r>
      <w:r w:rsidRPr="00BA1966">
        <w:t>Natural</w:t>
      </w:r>
      <w:r w:rsidRPr="005F3E42">
        <w:t xml:space="preserve"> hazards</w:t>
      </w:r>
    </w:p>
    <w:p w14:paraId="38C49A71" w14:textId="77777777" w:rsidR="00A85F5A" w:rsidRPr="00030594" w:rsidRDefault="00A85F5A" w:rsidP="00EF0E34">
      <w:pPr>
        <w:pStyle w:val="Heading3"/>
      </w:pPr>
      <w:r w:rsidRPr="00030594">
        <w:t>Bushfire</w:t>
      </w:r>
    </w:p>
    <w:p w14:paraId="6965A0AA" w14:textId="77777777" w:rsidR="00A85F5A" w:rsidRPr="00E41006" w:rsidRDefault="00A85F5A" w:rsidP="00EF0E34">
      <w:r w:rsidRPr="00E41006">
        <w:t>If</w:t>
      </w:r>
      <w:r w:rsidRPr="00E41006">
        <w:rPr>
          <w:spacing w:val="-3"/>
        </w:rPr>
        <w:t xml:space="preserve"> </w:t>
      </w:r>
      <w:r w:rsidRPr="00E41006">
        <w:t>the</w:t>
      </w:r>
      <w:r w:rsidRPr="00E41006">
        <w:rPr>
          <w:spacing w:val="-1"/>
        </w:rPr>
        <w:t xml:space="preserve"> </w:t>
      </w:r>
      <w:r w:rsidRPr="00E41006">
        <w:t>amendment</w:t>
      </w:r>
      <w:r w:rsidRPr="00E41006">
        <w:rPr>
          <w:spacing w:val="-3"/>
        </w:rPr>
        <w:t xml:space="preserve"> </w:t>
      </w:r>
      <w:r w:rsidRPr="00E41006">
        <w:t>affects</w:t>
      </w:r>
      <w:r w:rsidRPr="00E41006">
        <w:rPr>
          <w:spacing w:val="-2"/>
        </w:rPr>
        <w:t xml:space="preserve"> </w:t>
      </w:r>
      <w:r w:rsidRPr="00E41006">
        <w:t>land</w:t>
      </w:r>
      <w:r w:rsidRPr="00E41006">
        <w:rPr>
          <w:spacing w:val="-3"/>
        </w:rPr>
        <w:t xml:space="preserve"> </w:t>
      </w:r>
      <w:r w:rsidRPr="00E41006">
        <w:t>exposed</w:t>
      </w:r>
      <w:r w:rsidRPr="00E41006">
        <w:rPr>
          <w:spacing w:val="-2"/>
        </w:rPr>
        <w:t xml:space="preserve"> </w:t>
      </w:r>
      <w:r w:rsidRPr="00E41006">
        <w:t>to</w:t>
      </w:r>
      <w:r w:rsidRPr="00E41006">
        <w:rPr>
          <w:spacing w:val="-3"/>
        </w:rPr>
        <w:t xml:space="preserve"> </w:t>
      </w:r>
      <w:r w:rsidRPr="00E41006">
        <w:t>a</w:t>
      </w:r>
      <w:r w:rsidRPr="00E41006">
        <w:rPr>
          <w:spacing w:val="-1"/>
        </w:rPr>
        <w:t xml:space="preserve"> </w:t>
      </w:r>
      <w:r w:rsidRPr="00E41006">
        <w:t>bushfire</w:t>
      </w:r>
      <w:r w:rsidRPr="00E41006">
        <w:rPr>
          <w:spacing w:val="-3"/>
        </w:rPr>
        <w:t xml:space="preserve"> </w:t>
      </w:r>
      <w:r w:rsidRPr="00E41006">
        <w:t>hazard,</w:t>
      </w:r>
      <w:r>
        <w:t xml:space="preserve"> it needs to</w:t>
      </w:r>
      <w:r w:rsidRPr="00E41006">
        <w:t xml:space="preserve"> be</w:t>
      </w:r>
      <w:r w:rsidRPr="00E41006">
        <w:rPr>
          <w:spacing w:val="-1"/>
        </w:rPr>
        <w:t xml:space="preserve"> </w:t>
      </w:r>
      <w:r w:rsidRPr="00E41006">
        <w:t>informed</w:t>
      </w:r>
      <w:r w:rsidRPr="00E41006">
        <w:rPr>
          <w:spacing w:val="-3"/>
        </w:rPr>
        <w:t xml:space="preserve"> </w:t>
      </w:r>
      <w:r w:rsidRPr="00E41006">
        <w:t>by</w:t>
      </w:r>
      <w:r w:rsidRPr="00E41006">
        <w:rPr>
          <w:spacing w:val="-2"/>
        </w:rPr>
        <w:t xml:space="preserve"> </w:t>
      </w:r>
      <w:r w:rsidRPr="00E41006">
        <w:t>the</w:t>
      </w:r>
      <w:r w:rsidRPr="00E41006">
        <w:rPr>
          <w:spacing w:val="-3"/>
        </w:rPr>
        <w:t xml:space="preserve"> </w:t>
      </w:r>
      <w:r w:rsidRPr="00E41006">
        <w:t>following:</w:t>
      </w:r>
    </w:p>
    <w:p w14:paraId="7AD17BC3" w14:textId="77777777" w:rsidR="00A85F5A" w:rsidRPr="00BA1966" w:rsidRDefault="00A85F5A" w:rsidP="009D6FF6">
      <w:pPr>
        <w:pStyle w:val="BodyText"/>
      </w:pPr>
      <w:r w:rsidRPr="73516B4E">
        <w:t xml:space="preserve">a bushfire hazard assessment based </w:t>
      </w:r>
      <w:r w:rsidRPr="00EB3B94">
        <w:t xml:space="preserve">on best available </w:t>
      </w:r>
      <w:r>
        <w:t xml:space="preserve">information and modelling on the potential </w:t>
      </w:r>
      <w:r w:rsidRPr="00EB3B94">
        <w:t>for increased climate hazards</w:t>
      </w:r>
      <w:r w:rsidRPr="00597925">
        <w:rPr>
          <w:vertAlign w:val="superscript"/>
        </w:rPr>
        <w:t>1</w:t>
      </w:r>
      <w:r w:rsidRPr="00EB3B94">
        <w:t xml:space="preserve"> and any</w:t>
      </w:r>
      <w:r w:rsidRPr="73516B4E">
        <w:t xml:space="preserve"> other </w:t>
      </w:r>
      <w:r>
        <w:t>applicable site specific information, considering risks and consequences for people, infrastructure or the environment</w:t>
      </w:r>
    </w:p>
    <w:p w14:paraId="5185D828" w14:textId="77777777" w:rsidR="00A85F5A" w:rsidRPr="00AE67C1" w:rsidRDefault="00A85F5A" w:rsidP="009D6FF6">
      <w:pPr>
        <w:pStyle w:val="BodyText"/>
        <w:rPr>
          <w:rFonts w:ascii="Symbol" w:hAnsi="Symbol"/>
        </w:rPr>
      </w:pPr>
      <w:r>
        <w:t>a</w:t>
      </w:r>
      <w:r w:rsidRPr="00AE67C1">
        <w:t xml:space="preserve">n evaluation of the suitability of the land for new use and development in areas where there is </w:t>
      </w:r>
      <w:r>
        <w:t>a high risk of bushfire</w:t>
      </w:r>
    </w:p>
    <w:p w14:paraId="16C25B2A" w14:textId="77777777" w:rsidR="00A85F5A" w:rsidRPr="00E41006" w:rsidRDefault="00A85F5A" w:rsidP="009D6FF6">
      <w:pPr>
        <w:pStyle w:val="BodyText"/>
        <w:rPr>
          <w:rFonts w:ascii="Symbol" w:hAnsi="Symbol"/>
        </w:rPr>
      </w:pPr>
      <w:r>
        <w:t>a</w:t>
      </w:r>
      <w:r w:rsidRPr="00E41006">
        <w:t>n</w:t>
      </w:r>
      <w:r w:rsidRPr="00E41006">
        <w:rPr>
          <w:spacing w:val="-4"/>
        </w:rPr>
        <w:t xml:space="preserve"> </w:t>
      </w:r>
      <w:r w:rsidRPr="00E41006">
        <w:t>evaluation</w:t>
      </w:r>
      <w:r w:rsidRPr="00E41006">
        <w:rPr>
          <w:spacing w:val="-1"/>
        </w:rPr>
        <w:t xml:space="preserve"> </w:t>
      </w:r>
      <w:r w:rsidRPr="00E41006">
        <w:t>of</w:t>
      </w:r>
      <w:r w:rsidRPr="00E41006">
        <w:rPr>
          <w:spacing w:val="-3"/>
        </w:rPr>
        <w:t xml:space="preserve"> </w:t>
      </w:r>
      <w:r w:rsidRPr="00E41006">
        <w:t>alternate</w:t>
      </w:r>
      <w:r w:rsidRPr="00E41006">
        <w:rPr>
          <w:spacing w:val="-1"/>
        </w:rPr>
        <w:t xml:space="preserve"> </w:t>
      </w:r>
      <w:r w:rsidRPr="00E41006">
        <w:t>low-risk</w:t>
      </w:r>
      <w:r w:rsidRPr="00E41006">
        <w:rPr>
          <w:spacing w:val="-2"/>
        </w:rPr>
        <w:t xml:space="preserve"> </w:t>
      </w:r>
      <w:r w:rsidRPr="00E41006">
        <w:t>locations</w:t>
      </w:r>
      <w:r w:rsidRPr="00E41006">
        <w:rPr>
          <w:spacing w:val="-2"/>
        </w:rPr>
        <w:t xml:space="preserve"> </w:t>
      </w:r>
      <w:r w:rsidRPr="00E41006">
        <w:t>for</w:t>
      </w:r>
      <w:r w:rsidRPr="00E41006">
        <w:rPr>
          <w:spacing w:val="-3"/>
        </w:rPr>
        <w:t xml:space="preserve"> </w:t>
      </w:r>
      <w:r w:rsidRPr="00E41006">
        <w:t>new</w:t>
      </w:r>
      <w:r w:rsidRPr="00E41006">
        <w:rPr>
          <w:spacing w:val="-1"/>
        </w:rPr>
        <w:t xml:space="preserve"> </w:t>
      </w:r>
      <w:r w:rsidRPr="00E41006">
        <w:t>land</w:t>
      </w:r>
      <w:r w:rsidRPr="00E41006">
        <w:rPr>
          <w:spacing w:val="-3"/>
        </w:rPr>
        <w:t xml:space="preserve"> </w:t>
      </w:r>
      <w:r w:rsidRPr="00E41006">
        <w:t>use</w:t>
      </w:r>
      <w:r w:rsidRPr="00E41006">
        <w:rPr>
          <w:spacing w:val="-1"/>
        </w:rPr>
        <w:t xml:space="preserve"> </w:t>
      </w:r>
      <w:r w:rsidRPr="00E41006">
        <w:t>and</w:t>
      </w:r>
      <w:r w:rsidRPr="00E41006">
        <w:rPr>
          <w:spacing w:val="-1"/>
        </w:rPr>
        <w:t xml:space="preserve"> </w:t>
      </w:r>
      <w:r w:rsidRPr="00E41006">
        <w:t>development,</w:t>
      </w:r>
      <w:r w:rsidRPr="00E41006">
        <w:rPr>
          <w:spacing w:val="-3"/>
        </w:rPr>
        <w:t xml:space="preserve"> </w:t>
      </w:r>
      <w:r w:rsidRPr="00E41006">
        <w:t>or</w:t>
      </w:r>
      <w:r w:rsidRPr="00E41006">
        <w:rPr>
          <w:spacing w:val="-2"/>
        </w:rPr>
        <w:t xml:space="preserve"> </w:t>
      </w:r>
      <w:r w:rsidRPr="00E41006">
        <w:t>settlement</w:t>
      </w:r>
      <w:r w:rsidRPr="00E41006">
        <w:rPr>
          <w:spacing w:val="-1"/>
        </w:rPr>
        <w:t xml:space="preserve"> </w:t>
      </w:r>
      <w:r w:rsidRPr="00E41006">
        <w:t>growth</w:t>
      </w:r>
      <w:r w:rsidRPr="00E41006">
        <w:rPr>
          <w:spacing w:val="-3"/>
        </w:rPr>
        <w:t xml:space="preserve"> </w:t>
      </w:r>
      <w:r w:rsidRPr="00E41006">
        <w:t>to</w:t>
      </w:r>
      <w:r w:rsidRPr="00E41006">
        <w:rPr>
          <w:spacing w:val="-1"/>
        </w:rPr>
        <w:t xml:space="preserve"> </w:t>
      </w:r>
      <w:r w:rsidRPr="00E41006">
        <w:t>avoid</w:t>
      </w:r>
      <w:r w:rsidRPr="00E41006">
        <w:rPr>
          <w:spacing w:val="-3"/>
        </w:rPr>
        <w:t xml:space="preserve"> </w:t>
      </w:r>
      <w:r w:rsidRPr="00E41006">
        <w:t>or</w:t>
      </w:r>
      <w:r>
        <w:t xml:space="preserve"> </w:t>
      </w:r>
      <w:r w:rsidRPr="00E41006">
        <w:rPr>
          <w:spacing w:val="-53"/>
        </w:rPr>
        <w:t xml:space="preserve"> </w:t>
      </w:r>
      <w:r>
        <w:rPr>
          <w:spacing w:val="-53"/>
        </w:rPr>
        <w:t xml:space="preserve">  </w:t>
      </w:r>
      <w:r w:rsidRPr="00E41006">
        <w:t>minimise</w:t>
      </w:r>
      <w:r w:rsidRPr="00E41006">
        <w:rPr>
          <w:spacing w:val="-2"/>
        </w:rPr>
        <w:t xml:space="preserve"> </w:t>
      </w:r>
      <w:r w:rsidRPr="00E41006">
        <w:t>the</w:t>
      </w:r>
      <w:r w:rsidRPr="00E41006">
        <w:rPr>
          <w:spacing w:val="-1"/>
        </w:rPr>
        <w:t xml:space="preserve"> </w:t>
      </w:r>
      <w:r w:rsidRPr="00E41006">
        <w:t>exposure</w:t>
      </w:r>
      <w:r w:rsidRPr="00E41006">
        <w:rPr>
          <w:spacing w:val="-1"/>
        </w:rPr>
        <w:t xml:space="preserve"> </w:t>
      </w:r>
      <w:r w:rsidRPr="00E41006">
        <w:t>of</w:t>
      </w:r>
      <w:r w:rsidRPr="00E41006">
        <w:rPr>
          <w:spacing w:val="1"/>
        </w:rPr>
        <w:t xml:space="preserve"> </w:t>
      </w:r>
      <w:r w:rsidRPr="00E41006">
        <w:t>people</w:t>
      </w:r>
      <w:r w:rsidRPr="00E41006">
        <w:rPr>
          <w:spacing w:val="-1"/>
        </w:rPr>
        <w:t xml:space="preserve"> </w:t>
      </w:r>
      <w:r w:rsidRPr="00E41006">
        <w:t>and</w:t>
      </w:r>
      <w:r w:rsidRPr="00E41006">
        <w:rPr>
          <w:spacing w:val="-2"/>
        </w:rPr>
        <w:t xml:space="preserve"> </w:t>
      </w:r>
      <w:r w:rsidRPr="00E41006">
        <w:t>future</w:t>
      </w:r>
      <w:r w:rsidRPr="00E41006">
        <w:rPr>
          <w:spacing w:val="1"/>
        </w:rPr>
        <w:t xml:space="preserve"> </w:t>
      </w:r>
      <w:r w:rsidRPr="00E41006">
        <w:t>development</w:t>
      </w:r>
      <w:r w:rsidRPr="00E41006">
        <w:rPr>
          <w:spacing w:val="-1"/>
        </w:rPr>
        <w:t xml:space="preserve"> </w:t>
      </w:r>
      <w:r w:rsidRPr="00E41006">
        <w:t>to</w:t>
      </w:r>
      <w:r w:rsidRPr="00E41006">
        <w:rPr>
          <w:spacing w:val="-1"/>
        </w:rPr>
        <w:t xml:space="preserve"> </w:t>
      </w:r>
      <w:r w:rsidRPr="00E41006">
        <w:t>high</w:t>
      </w:r>
      <w:r>
        <w:t xml:space="preserve"> hazard exposure (e.g. radiant heat impacts)</w:t>
      </w:r>
    </w:p>
    <w:p w14:paraId="39300B90" w14:textId="77777777" w:rsidR="00A85F5A" w:rsidRPr="00230833" w:rsidRDefault="00A85F5A" w:rsidP="009D6FF6">
      <w:pPr>
        <w:pStyle w:val="BodyText"/>
      </w:pPr>
      <w:r>
        <w:t>a</w:t>
      </w:r>
      <w:r w:rsidRPr="00E41006">
        <w:t>n</w:t>
      </w:r>
      <w:r w:rsidRPr="00E41006">
        <w:rPr>
          <w:spacing w:val="-4"/>
        </w:rPr>
        <w:t xml:space="preserve"> </w:t>
      </w:r>
      <w:r w:rsidRPr="00E41006">
        <w:t>evaluation</w:t>
      </w:r>
      <w:r w:rsidRPr="00E41006">
        <w:rPr>
          <w:spacing w:val="-1"/>
        </w:rPr>
        <w:t xml:space="preserve"> </w:t>
      </w:r>
      <w:r w:rsidRPr="00E41006">
        <w:t>of</w:t>
      </w:r>
      <w:r w:rsidRPr="00E41006">
        <w:rPr>
          <w:spacing w:val="-3"/>
        </w:rPr>
        <w:t xml:space="preserve"> </w:t>
      </w:r>
      <w:r w:rsidRPr="00E41006">
        <w:t>whether</w:t>
      </w:r>
      <w:r w:rsidRPr="00E41006">
        <w:rPr>
          <w:spacing w:val="-3"/>
        </w:rPr>
        <w:t xml:space="preserve"> </w:t>
      </w:r>
      <w:r w:rsidRPr="00E41006">
        <w:t>proposed</w:t>
      </w:r>
      <w:r w:rsidRPr="00E41006">
        <w:rPr>
          <w:spacing w:val="-1"/>
        </w:rPr>
        <w:t xml:space="preserve"> </w:t>
      </w:r>
      <w:r w:rsidRPr="00E41006">
        <w:t>bushfire</w:t>
      </w:r>
      <w:r w:rsidRPr="00E41006">
        <w:rPr>
          <w:spacing w:val="-1"/>
        </w:rPr>
        <w:t xml:space="preserve"> </w:t>
      </w:r>
      <w:r w:rsidRPr="00E41006">
        <w:t>protection</w:t>
      </w:r>
      <w:r w:rsidRPr="00E41006">
        <w:rPr>
          <w:spacing w:val="-1"/>
        </w:rPr>
        <w:t xml:space="preserve"> </w:t>
      </w:r>
      <w:r w:rsidRPr="00E41006">
        <w:t>measures</w:t>
      </w:r>
      <w:r w:rsidRPr="00E41006">
        <w:rPr>
          <w:spacing w:val="-2"/>
        </w:rPr>
        <w:t xml:space="preserve"> </w:t>
      </w:r>
      <w:r w:rsidRPr="00E41006">
        <w:t>are</w:t>
      </w:r>
      <w:r w:rsidRPr="00E41006">
        <w:rPr>
          <w:spacing w:val="-3"/>
        </w:rPr>
        <w:t xml:space="preserve"> </w:t>
      </w:r>
      <w:r w:rsidRPr="00E41006">
        <w:t>practicable</w:t>
      </w:r>
      <w:r w:rsidRPr="00E41006">
        <w:rPr>
          <w:spacing w:val="-3"/>
        </w:rPr>
        <w:t xml:space="preserve"> </w:t>
      </w:r>
      <w:r w:rsidRPr="00E41006">
        <w:t>for</w:t>
      </w:r>
      <w:r w:rsidRPr="00E41006">
        <w:rPr>
          <w:spacing w:val="-3"/>
        </w:rPr>
        <w:t xml:space="preserve"> </w:t>
      </w:r>
      <w:r w:rsidRPr="00E41006">
        <w:t>ongoing</w:t>
      </w:r>
      <w:r w:rsidRPr="00E41006">
        <w:rPr>
          <w:spacing w:val="-3"/>
        </w:rPr>
        <w:t xml:space="preserve"> </w:t>
      </w:r>
      <w:r w:rsidRPr="00E41006">
        <w:t>management</w:t>
      </w:r>
      <w:r w:rsidRPr="00E41006">
        <w:rPr>
          <w:spacing w:val="-1"/>
        </w:rPr>
        <w:t xml:space="preserve"> </w:t>
      </w:r>
      <w:r w:rsidRPr="00E41006">
        <w:t>and</w:t>
      </w:r>
      <w:r>
        <w:t xml:space="preserve"> </w:t>
      </w:r>
      <w:r w:rsidRPr="00E41006">
        <w:rPr>
          <w:spacing w:val="-53"/>
        </w:rPr>
        <w:t xml:space="preserve"> </w:t>
      </w:r>
      <w:r w:rsidRPr="00E41006">
        <w:t>risk</w:t>
      </w:r>
      <w:r w:rsidRPr="00E41006">
        <w:rPr>
          <w:spacing w:val="-1"/>
        </w:rPr>
        <w:t xml:space="preserve"> </w:t>
      </w:r>
      <w:r>
        <w:t>minimisation</w:t>
      </w:r>
    </w:p>
    <w:p w14:paraId="03385AB9" w14:textId="77777777" w:rsidR="00A85F5A" w:rsidRPr="00EB3B94" w:rsidRDefault="00A85F5A" w:rsidP="009D6FF6">
      <w:pPr>
        <w:pStyle w:val="BodyText"/>
        <w:rPr>
          <w:rFonts w:ascii="Symbol" w:hAnsi="Symbol"/>
        </w:rPr>
      </w:pPr>
      <w:r>
        <w:t>c</w:t>
      </w:r>
      <w:r w:rsidRPr="00E41006">
        <w:t>onsideration</w:t>
      </w:r>
      <w:r w:rsidRPr="00E41006">
        <w:rPr>
          <w:spacing w:val="-2"/>
        </w:rPr>
        <w:t xml:space="preserve"> </w:t>
      </w:r>
      <w:r w:rsidRPr="00E41006">
        <w:t>of</w:t>
      </w:r>
      <w:r w:rsidRPr="00E41006">
        <w:rPr>
          <w:spacing w:val="-3"/>
        </w:rPr>
        <w:t xml:space="preserve"> </w:t>
      </w:r>
      <w:r w:rsidRPr="00E41006">
        <w:t>the</w:t>
      </w:r>
      <w:r w:rsidRPr="00E41006">
        <w:rPr>
          <w:spacing w:val="-1"/>
        </w:rPr>
        <w:t xml:space="preserve"> </w:t>
      </w:r>
      <w:r w:rsidRPr="00E41006">
        <w:t>location</w:t>
      </w:r>
      <w:r w:rsidRPr="00E41006">
        <w:rPr>
          <w:spacing w:val="-4"/>
        </w:rPr>
        <w:t xml:space="preserve"> </w:t>
      </w:r>
      <w:r w:rsidRPr="00E41006">
        <w:t>and</w:t>
      </w:r>
      <w:r w:rsidRPr="00E41006">
        <w:rPr>
          <w:spacing w:val="-3"/>
        </w:rPr>
        <w:t xml:space="preserve"> </w:t>
      </w:r>
      <w:r w:rsidRPr="00E41006">
        <w:t>characteristics</w:t>
      </w:r>
      <w:r w:rsidRPr="00E41006">
        <w:rPr>
          <w:spacing w:val="-2"/>
        </w:rPr>
        <w:t xml:space="preserve"> </w:t>
      </w:r>
      <w:r w:rsidRPr="00E41006">
        <w:t>of</w:t>
      </w:r>
      <w:r w:rsidRPr="00E41006">
        <w:rPr>
          <w:spacing w:val="-1"/>
        </w:rPr>
        <w:t xml:space="preserve"> </w:t>
      </w:r>
      <w:r w:rsidRPr="00E41006">
        <w:t>likely</w:t>
      </w:r>
      <w:r w:rsidRPr="00E41006">
        <w:rPr>
          <w:spacing w:val="-3"/>
        </w:rPr>
        <w:t xml:space="preserve"> </w:t>
      </w:r>
      <w:r w:rsidRPr="00E41006">
        <w:t>future occupants</w:t>
      </w:r>
      <w:r w:rsidRPr="00E41006">
        <w:rPr>
          <w:spacing w:val="-2"/>
        </w:rPr>
        <w:t xml:space="preserve"> </w:t>
      </w:r>
      <w:r w:rsidRPr="00E41006">
        <w:t>and</w:t>
      </w:r>
      <w:r w:rsidRPr="00E41006">
        <w:rPr>
          <w:spacing w:val="-4"/>
        </w:rPr>
        <w:t xml:space="preserve"> </w:t>
      </w:r>
      <w:r w:rsidRPr="00E41006">
        <w:t>visitors,</w:t>
      </w:r>
      <w:r w:rsidRPr="00E41006">
        <w:rPr>
          <w:spacing w:val="-3"/>
        </w:rPr>
        <w:t xml:space="preserve"> </w:t>
      </w:r>
      <w:r w:rsidRPr="00E41006">
        <w:t>including</w:t>
      </w:r>
      <w:r w:rsidRPr="00E41006">
        <w:rPr>
          <w:spacing w:val="-1"/>
        </w:rPr>
        <w:t xml:space="preserve"> </w:t>
      </w:r>
      <w:r w:rsidRPr="00E41006">
        <w:t>age,</w:t>
      </w:r>
      <w:r w:rsidRPr="00E41006">
        <w:rPr>
          <w:spacing w:val="-3"/>
        </w:rPr>
        <w:t xml:space="preserve"> </w:t>
      </w:r>
      <w:r w:rsidRPr="00E41006">
        <w:t>mobility</w:t>
      </w:r>
      <w:r w:rsidRPr="00E41006">
        <w:rPr>
          <w:spacing w:val="-3"/>
        </w:rPr>
        <w:t xml:space="preserve"> </w:t>
      </w:r>
      <w:r w:rsidRPr="00E41006">
        <w:t>and</w:t>
      </w:r>
      <w:r w:rsidRPr="00E41006">
        <w:rPr>
          <w:spacing w:val="-52"/>
        </w:rPr>
        <w:t xml:space="preserve"> </w:t>
      </w:r>
      <w:r>
        <w:rPr>
          <w:spacing w:val="-52"/>
        </w:rPr>
        <w:t xml:space="preserve">         </w:t>
      </w:r>
      <w:r>
        <w:t xml:space="preserve"> </w:t>
      </w:r>
      <w:r w:rsidRPr="00E41006">
        <w:t>capacity</w:t>
      </w:r>
      <w:r w:rsidRPr="00E41006">
        <w:rPr>
          <w:spacing w:val="-1"/>
        </w:rPr>
        <w:t xml:space="preserve"> </w:t>
      </w:r>
      <w:r w:rsidRPr="00E41006">
        <w:t>to</w:t>
      </w:r>
      <w:r w:rsidRPr="00E41006">
        <w:rPr>
          <w:spacing w:val="1"/>
        </w:rPr>
        <w:t xml:space="preserve"> </w:t>
      </w:r>
      <w:r w:rsidRPr="00E41006">
        <w:t>evacuat</w:t>
      </w:r>
      <w:r>
        <w:t>e</w:t>
      </w:r>
    </w:p>
    <w:p w14:paraId="23FD22A8" w14:textId="77777777" w:rsidR="00A85F5A" w:rsidRPr="00EB3B94" w:rsidRDefault="00A85F5A" w:rsidP="009D6FF6">
      <w:pPr>
        <w:pStyle w:val="BodyText"/>
        <w:rPr>
          <w:rFonts w:ascii="Symbol" w:hAnsi="Symbol"/>
        </w:rPr>
      </w:pPr>
      <w:r w:rsidRPr="00EB3B94">
        <w:t>consideration</w:t>
      </w:r>
      <w:r w:rsidRPr="00EB3B94">
        <w:rPr>
          <w:spacing w:val="-2"/>
        </w:rPr>
        <w:t xml:space="preserve"> </w:t>
      </w:r>
      <w:r w:rsidRPr="00EB3B94">
        <w:t>of</w:t>
      </w:r>
      <w:r w:rsidRPr="00EB3B94">
        <w:rPr>
          <w:spacing w:val="-3"/>
        </w:rPr>
        <w:t xml:space="preserve"> </w:t>
      </w:r>
      <w:r w:rsidRPr="00EB3B94">
        <w:t>the</w:t>
      </w:r>
      <w:r w:rsidRPr="00EB3B94">
        <w:rPr>
          <w:spacing w:val="-1"/>
        </w:rPr>
        <w:t xml:space="preserve"> </w:t>
      </w:r>
      <w:r w:rsidRPr="00EB3B94">
        <w:t>integration</w:t>
      </w:r>
      <w:r w:rsidRPr="00EB3B94">
        <w:rPr>
          <w:spacing w:val="-4"/>
        </w:rPr>
        <w:t xml:space="preserve"> </w:t>
      </w:r>
      <w:r w:rsidRPr="00EB3B94">
        <w:t>of</w:t>
      </w:r>
      <w:r w:rsidRPr="00EB3B94">
        <w:rPr>
          <w:spacing w:val="-1"/>
        </w:rPr>
        <w:t xml:space="preserve"> </w:t>
      </w:r>
      <w:r w:rsidRPr="00EB3B94">
        <w:t>strategic</w:t>
      </w:r>
      <w:r w:rsidRPr="00EB3B94">
        <w:rPr>
          <w:spacing w:val="-2"/>
        </w:rPr>
        <w:t xml:space="preserve"> </w:t>
      </w:r>
      <w:r w:rsidRPr="00EB3B94">
        <w:t>land</w:t>
      </w:r>
      <w:r w:rsidRPr="00EB3B94">
        <w:rPr>
          <w:spacing w:val="-2"/>
        </w:rPr>
        <w:t xml:space="preserve"> </w:t>
      </w:r>
      <w:r w:rsidRPr="00EB3B94">
        <w:t>use</w:t>
      </w:r>
      <w:r w:rsidRPr="00EB3B94">
        <w:rPr>
          <w:spacing w:val="-3"/>
        </w:rPr>
        <w:t xml:space="preserve"> </w:t>
      </w:r>
      <w:r w:rsidRPr="00EB3B94">
        <w:t>planning</w:t>
      </w:r>
      <w:r w:rsidRPr="00EB3B94">
        <w:rPr>
          <w:spacing w:val="-3"/>
        </w:rPr>
        <w:t xml:space="preserve"> </w:t>
      </w:r>
      <w:r w:rsidRPr="00EB3B94">
        <w:t>with</w:t>
      </w:r>
      <w:r w:rsidRPr="00EB3B94">
        <w:rPr>
          <w:spacing w:val="-2"/>
        </w:rPr>
        <w:t xml:space="preserve"> </w:t>
      </w:r>
      <w:r w:rsidRPr="00EB3B94">
        <w:t>emergency</w:t>
      </w:r>
      <w:r w:rsidRPr="00EB3B94">
        <w:rPr>
          <w:spacing w:val="-2"/>
        </w:rPr>
        <w:t xml:space="preserve"> </w:t>
      </w:r>
      <w:r w:rsidRPr="00EB3B94">
        <w:t>management</w:t>
      </w:r>
      <w:r w:rsidRPr="00EB3B94">
        <w:rPr>
          <w:spacing w:val="-3"/>
        </w:rPr>
        <w:t xml:space="preserve"> </w:t>
      </w:r>
      <w:r w:rsidRPr="00EB3B94">
        <w:t>decision</w:t>
      </w:r>
      <w:r w:rsidRPr="00EB3B94">
        <w:rPr>
          <w:spacing w:val="-4"/>
        </w:rPr>
        <w:t xml:space="preserve"> </w:t>
      </w:r>
      <w:r w:rsidRPr="00EB3B94">
        <w:t>making, such</w:t>
      </w:r>
      <w:r w:rsidRPr="00EB3B94">
        <w:rPr>
          <w:spacing w:val="-2"/>
        </w:rPr>
        <w:t xml:space="preserve"> </w:t>
      </w:r>
      <w:r w:rsidRPr="00EB3B94">
        <w:t>as the impacts on service delivery and safety of fire fighting</w:t>
      </w:r>
    </w:p>
    <w:p w14:paraId="41274A65" w14:textId="77777777" w:rsidR="00A85F5A" w:rsidRDefault="00A85F5A" w:rsidP="009D6FF6">
      <w:pPr>
        <w:pStyle w:val="BodyText"/>
      </w:pPr>
      <w:r>
        <w:t>a</w:t>
      </w:r>
      <w:r w:rsidRPr="00E41006">
        <w:t>dvice</w:t>
      </w:r>
      <w:r w:rsidRPr="001F2BA7">
        <w:t xml:space="preserve"> </w:t>
      </w:r>
      <w:r w:rsidRPr="00E41006">
        <w:t>from</w:t>
      </w:r>
      <w:r w:rsidRPr="001F2BA7">
        <w:t xml:space="preserve"> </w:t>
      </w:r>
      <w:r w:rsidRPr="00E41006">
        <w:t>the</w:t>
      </w:r>
      <w:r w:rsidRPr="001F2BA7">
        <w:t xml:space="preserve"> </w:t>
      </w:r>
      <w:r w:rsidRPr="00E41006">
        <w:t>relevant</w:t>
      </w:r>
      <w:r w:rsidRPr="001F2BA7">
        <w:t xml:space="preserve"> </w:t>
      </w:r>
      <w:r w:rsidRPr="00E41006">
        <w:t>fire</w:t>
      </w:r>
      <w:r w:rsidRPr="001F2BA7">
        <w:t xml:space="preserve"> </w:t>
      </w:r>
      <w:r w:rsidRPr="00E41006">
        <w:t>authority.</w:t>
      </w:r>
    </w:p>
    <w:p w14:paraId="1B5DDA7D" w14:textId="5D7F6E8D" w:rsidR="00A85F5A" w:rsidRPr="00597925" w:rsidRDefault="00A85F5A" w:rsidP="00A85F5A">
      <w:pPr>
        <w:spacing w:before="120"/>
        <w:ind w:right="782"/>
        <w:rPr>
          <w:sz w:val="16"/>
          <w:szCs w:val="16"/>
        </w:rPr>
      </w:pPr>
      <w:r w:rsidRPr="00597925">
        <w:rPr>
          <w:vertAlign w:val="superscript"/>
        </w:rPr>
        <w:t xml:space="preserve">1 </w:t>
      </w:r>
      <w:r w:rsidRPr="00C4163D">
        <w:rPr>
          <w:sz w:val="16"/>
          <w:szCs w:val="16"/>
        </w:rPr>
        <w:t xml:space="preserve">Refer to </w:t>
      </w:r>
      <w:r w:rsidR="00BC43F5">
        <w:rPr>
          <w:sz w:val="16"/>
          <w:szCs w:val="16"/>
        </w:rPr>
        <w:t>S</w:t>
      </w:r>
      <w:r w:rsidR="004249AE">
        <w:rPr>
          <w:sz w:val="16"/>
          <w:szCs w:val="16"/>
        </w:rPr>
        <w:t>ection</w:t>
      </w:r>
      <w:r w:rsidR="00BC43F5">
        <w:rPr>
          <w:sz w:val="16"/>
          <w:szCs w:val="16"/>
        </w:rPr>
        <w:t xml:space="preserve"> 3.2.1</w:t>
      </w:r>
      <w:r w:rsidR="004249AE">
        <w:rPr>
          <w:sz w:val="16"/>
          <w:szCs w:val="16"/>
        </w:rPr>
        <w:t xml:space="preserve"> </w:t>
      </w:r>
      <w:r>
        <w:rPr>
          <w:sz w:val="16"/>
          <w:szCs w:val="16"/>
        </w:rPr>
        <w:t>‘</w:t>
      </w:r>
      <w:r w:rsidRPr="00C4163D">
        <w:rPr>
          <w:sz w:val="16"/>
          <w:szCs w:val="16"/>
        </w:rPr>
        <w:t>Climate change data</w:t>
      </w:r>
      <w:r>
        <w:rPr>
          <w:sz w:val="16"/>
          <w:szCs w:val="16"/>
        </w:rPr>
        <w:t>’</w:t>
      </w:r>
      <w:r w:rsidRPr="00C4163D">
        <w:rPr>
          <w:sz w:val="16"/>
          <w:szCs w:val="16"/>
        </w:rPr>
        <w:t xml:space="preserve"> </w:t>
      </w:r>
      <w:r w:rsidR="004249AE">
        <w:rPr>
          <w:sz w:val="16"/>
          <w:szCs w:val="16"/>
        </w:rPr>
        <w:t xml:space="preserve">on </w:t>
      </w:r>
      <w:r w:rsidRPr="00C4163D">
        <w:rPr>
          <w:sz w:val="16"/>
          <w:szCs w:val="16"/>
        </w:rPr>
        <w:t>p</w:t>
      </w:r>
      <w:r>
        <w:rPr>
          <w:sz w:val="16"/>
          <w:szCs w:val="16"/>
        </w:rPr>
        <w:t>a</w:t>
      </w:r>
      <w:r w:rsidRPr="00C4163D">
        <w:rPr>
          <w:sz w:val="16"/>
          <w:szCs w:val="16"/>
        </w:rPr>
        <w:t>g</w:t>
      </w:r>
      <w:r>
        <w:rPr>
          <w:sz w:val="16"/>
          <w:szCs w:val="16"/>
        </w:rPr>
        <w:t>e</w:t>
      </w:r>
      <w:r w:rsidRPr="00C4163D">
        <w:rPr>
          <w:sz w:val="16"/>
          <w:szCs w:val="16"/>
        </w:rPr>
        <w:t xml:space="preserve"> </w:t>
      </w:r>
      <w:r w:rsidR="00BC43F5">
        <w:rPr>
          <w:sz w:val="16"/>
          <w:szCs w:val="16"/>
        </w:rPr>
        <w:t>8</w:t>
      </w:r>
      <w:r w:rsidRPr="00C4163D">
        <w:rPr>
          <w:sz w:val="16"/>
          <w:szCs w:val="16"/>
        </w:rPr>
        <w:t xml:space="preserve"> of th</w:t>
      </w:r>
      <w:r>
        <w:rPr>
          <w:sz w:val="16"/>
          <w:szCs w:val="16"/>
        </w:rPr>
        <w:t>is</w:t>
      </w:r>
      <w:r w:rsidRPr="00C4163D">
        <w:rPr>
          <w:sz w:val="16"/>
          <w:szCs w:val="16"/>
        </w:rPr>
        <w:t xml:space="preserve"> guideline</w:t>
      </w:r>
      <w:r>
        <w:rPr>
          <w:sz w:val="16"/>
          <w:szCs w:val="16"/>
        </w:rPr>
        <w:t>.</w:t>
      </w:r>
    </w:p>
    <w:p w14:paraId="0C705790" w14:textId="31E75466" w:rsidR="00A85F5A" w:rsidRPr="00031754" w:rsidRDefault="00A85F5A" w:rsidP="009D6FF6">
      <w:pPr>
        <w:pStyle w:val="Heading3"/>
      </w:pPr>
      <w:r w:rsidRPr="00620BDF">
        <w:t>Flood (including riverine, drainage)</w:t>
      </w:r>
    </w:p>
    <w:p w14:paraId="4CDBE962" w14:textId="04641A80" w:rsidR="00A85F5A" w:rsidRDefault="00A85F5A" w:rsidP="009D6FF6">
      <w:pPr>
        <w:rPr>
          <w:i/>
          <w:spacing w:val="-3"/>
        </w:rPr>
      </w:pPr>
      <w:r>
        <w:t>Locations subject to a planning scheme amendment that are exposed to flood hazard and risk need to be informed by a</w:t>
      </w:r>
      <w:r w:rsidRPr="000E7C16">
        <w:rPr>
          <w:spacing w:val="-3"/>
        </w:rPr>
        <w:t xml:space="preserve"> </w:t>
      </w:r>
      <w:r w:rsidRPr="000E7C16">
        <w:t>flood</w:t>
      </w:r>
      <w:r w:rsidRPr="000E7C16">
        <w:rPr>
          <w:spacing w:val="-1"/>
        </w:rPr>
        <w:t xml:space="preserve"> </w:t>
      </w:r>
      <w:r w:rsidRPr="000E7C16">
        <w:t>study</w:t>
      </w:r>
      <w:r>
        <w:t xml:space="preserve"> and where state-funded must include climate modelling in accordance with the </w:t>
      </w:r>
      <w:hyperlink r:id="rId21" w:history="1">
        <w:r w:rsidRPr="00B947AE">
          <w:rPr>
            <w:rStyle w:val="Hyperlink"/>
            <w:i/>
          </w:rPr>
          <w:t>Victorian Floodplain Management Strategy</w:t>
        </w:r>
      </w:hyperlink>
      <w:r>
        <w:t xml:space="preserve"> (</w:t>
      </w:r>
      <w:r w:rsidRPr="00CB406A">
        <w:rPr>
          <w:shd w:val="clear" w:color="auto" w:fill="FFFFFF"/>
        </w:rPr>
        <w:t>D</w:t>
      </w:r>
      <w:r w:rsidR="00A45143">
        <w:rPr>
          <w:shd w:val="clear" w:color="auto" w:fill="FFFFFF"/>
        </w:rPr>
        <w:t>ELWP</w:t>
      </w:r>
      <w:r>
        <w:t xml:space="preserve"> 2016).  Victoria applies </w:t>
      </w:r>
      <w:r w:rsidRPr="000E7C16">
        <w:t>the</w:t>
      </w:r>
      <w:r w:rsidRPr="000E7C16">
        <w:rPr>
          <w:spacing w:val="-1"/>
        </w:rPr>
        <w:t xml:space="preserve"> </w:t>
      </w:r>
      <w:r w:rsidRPr="000E7C16">
        <w:t>current</w:t>
      </w:r>
      <w:r w:rsidRPr="000E7C16">
        <w:rPr>
          <w:spacing w:val="-3"/>
        </w:rPr>
        <w:t xml:space="preserve"> version </w:t>
      </w:r>
      <w:r w:rsidRPr="000E7C16">
        <w:t>of</w:t>
      </w:r>
      <w:r w:rsidRPr="000E7C16">
        <w:rPr>
          <w:spacing w:val="4"/>
        </w:rPr>
        <w:t xml:space="preserve"> </w:t>
      </w:r>
      <w:hyperlink r:id="rId22" w:history="1">
        <w:r w:rsidRPr="00B1365E">
          <w:rPr>
            <w:rStyle w:val="Hyperlink"/>
            <w:i/>
          </w:rPr>
          <w:t>Australian Rainfall</w:t>
        </w:r>
        <w:r w:rsidRPr="00B1365E">
          <w:rPr>
            <w:rStyle w:val="Hyperlink"/>
            <w:i/>
            <w:spacing w:val="-1"/>
          </w:rPr>
          <w:t xml:space="preserve"> </w:t>
        </w:r>
        <w:r w:rsidRPr="00B1365E">
          <w:rPr>
            <w:rStyle w:val="Hyperlink"/>
            <w:i/>
          </w:rPr>
          <w:t>and Runoff</w:t>
        </w:r>
        <w:r w:rsidRPr="00B1365E">
          <w:rPr>
            <w:rStyle w:val="Hyperlink"/>
            <w:i/>
            <w:spacing w:val="-2"/>
          </w:rPr>
          <w:t xml:space="preserve"> </w:t>
        </w:r>
        <w:r w:rsidRPr="00B1365E">
          <w:rPr>
            <w:rStyle w:val="Hyperlink"/>
            <w:i/>
          </w:rPr>
          <w:t>–</w:t>
        </w:r>
        <w:r w:rsidRPr="00B1365E">
          <w:rPr>
            <w:rStyle w:val="Hyperlink"/>
            <w:i/>
            <w:spacing w:val="-1"/>
          </w:rPr>
          <w:t xml:space="preserve"> </w:t>
        </w:r>
        <w:r w:rsidRPr="00B1365E">
          <w:rPr>
            <w:rStyle w:val="Hyperlink"/>
            <w:i/>
          </w:rPr>
          <w:t>A</w:t>
        </w:r>
        <w:r w:rsidRPr="00B1365E">
          <w:rPr>
            <w:rStyle w:val="Hyperlink"/>
            <w:i/>
            <w:spacing w:val="-3"/>
          </w:rPr>
          <w:t xml:space="preserve"> </w:t>
        </w:r>
        <w:r w:rsidRPr="00B1365E">
          <w:rPr>
            <w:rStyle w:val="Hyperlink"/>
            <w:i/>
          </w:rPr>
          <w:t>Guide</w:t>
        </w:r>
        <w:r w:rsidRPr="00B1365E">
          <w:rPr>
            <w:rStyle w:val="Hyperlink"/>
            <w:i/>
            <w:spacing w:val="-1"/>
          </w:rPr>
          <w:t xml:space="preserve"> </w:t>
        </w:r>
        <w:r w:rsidRPr="00B1365E">
          <w:rPr>
            <w:rStyle w:val="Hyperlink"/>
            <w:i/>
          </w:rPr>
          <w:t>to</w:t>
        </w:r>
        <w:r w:rsidRPr="00B1365E">
          <w:rPr>
            <w:rStyle w:val="Hyperlink"/>
            <w:i/>
            <w:spacing w:val="-3"/>
          </w:rPr>
          <w:t xml:space="preserve"> </w:t>
        </w:r>
        <w:r w:rsidRPr="00B1365E">
          <w:rPr>
            <w:rStyle w:val="Hyperlink"/>
            <w:i/>
          </w:rPr>
          <w:t>Flood</w:t>
        </w:r>
        <w:r w:rsidRPr="00B1365E">
          <w:rPr>
            <w:rStyle w:val="Hyperlink"/>
            <w:i/>
            <w:spacing w:val="1"/>
          </w:rPr>
          <w:t xml:space="preserve"> </w:t>
        </w:r>
        <w:r w:rsidRPr="00B1365E">
          <w:rPr>
            <w:rStyle w:val="Hyperlink"/>
            <w:i/>
          </w:rPr>
          <w:t>Estimation</w:t>
        </w:r>
      </w:hyperlink>
      <w:r w:rsidRPr="00A84C36">
        <w:rPr>
          <w:i/>
        </w:rPr>
        <w:t xml:space="preserve"> </w:t>
      </w:r>
      <w:r w:rsidRPr="00A84C36">
        <w:t>(Commonwealth</w:t>
      </w:r>
      <w:r w:rsidRPr="00A84C36">
        <w:rPr>
          <w:spacing w:val="-3"/>
        </w:rPr>
        <w:t xml:space="preserve"> </w:t>
      </w:r>
      <w:r w:rsidRPr="00A84C36">
        <w:t>of</w:t>
      </w:r>
      <w:r w:rsidRPr="00A84C36">
        <w:rPr>
          <w:spacing w:val="-1"/>
        </w:rPr>
        <w:t xml:space="preserve"> </w:t>
      </w:r>
      <w:r w:rsidRPr="00A84C36">
        <w:t>Australia (Geoscience Australia), Version 4.2, 2019</w:t>
      </w:r>
      <w:r w:rsidRPr="00A84C36">
        <w:rPr>
          <w:spacing w:val="-3"/>
        </w:rPr>
        <w:t>, or as updated</w:t>
      </w:r>
      <w:r w:rsidRPr="00A84C36">
        <w:rPr>
          <w:i/>
          <w:spacing w:val="-3"/>
        </w:rPr>
        <w:t>)</w:t>
      </w:r>
      <w:r>
        <w:rPr>
          <w:i/>
          <w:spacing w:val="-3"/>
        </w:rPr>
        <w:t xml:space="preserve"> </w:t>
      </w:r>
      <w:r w:rsidRPr="00D61B9E">
        <w:rPr>
          <w:spacing w:val="-3"/>
        </w:rPr>
        <w:t>through flood studies</w:t>
      </w:r>
      <w:r>
        <w:rPr>
          <w:spacing w:val="-3"/>
        </w:rPr>
        <w:t>.</w:t>
      </w:r>
    </w:p>
    <w:p w14:paraId="2B9525AD" w14:textId="77777777" w:rsidR="00A85F5A" w:rsidRPr="00D51CFF" w:rsidRDefault="00A85F5A" w:rsidP="009D6FF6">
      <w:r w:rsidRPr="00E870D9">
        <w:t>A planning scheme amendment should be informed by the following</w:t>
      </w:r>
      <w:r>
        <w:t>:</w:t>
      </w:r>
    </w:p>
    <w:p w14:paraId="13D325DB" w14:textId="6BD9442B" w:rsidR="00A85F5A" w:rsidRPr="00D51CFF" w:rsidRDefault="00A85F5A" w:rsidP="009D6FF6">
      <w:pPr>
        <w:pStyle w:val="BodyText"/>
      </w:pPr>
      <w:r>
        <w:rPr>
          <w:spacing w:val="-3"/>
        </w:rPr>
        <w:t xml:space="preserve">the </w:t>
      </w:r>
      <w:hyperlink r:id="rId23" w:history="1">
        <w:r w:rsidRPr="000E69AC">
          <w:rPr>
            <w:rStyle w:val="Hyperlink"/>
            <w:i/>
            <w:iCs/>
            <w:shd w:val="clear" w:color="auto" w:fill="FFFFFF"/>
          </w:rPr>
          <w:t>Guidelines for development in flood affected areas</w:t>
        </w:r>
      </w:hyperlink>
      <w:r w:rsidRPr="00CB406A">
        <w:rPr>
          <w:i/>
          <w:iCs/>
          <w:shd w:val="clear" w:color="auto" w:fill="FFFFFF"/>
        </w:rPr>
        <w:t xml:space="preserve"> </w:t>
      </w:r>
      <w:r w:rsidRPr="00CB406A">
        <w:rPr>
          <w:shd w:val="clear" w:color="auto" w:fill="FFFFFF"/>
        </w:rPr>
        <w:t>(</w:t>
      </w:r>
      <w:r w:rsidR="003161EB">
        <w:rPr>
          <w:shd w:val="clear" w:color="auto" w:fill="FFFFFF"/>
        </w:rPr>
        <w:t>DELWP</w:t>
      </w:r>
      <w:r w:rsidRPr="005C6A73">
        <w:rPr>
          <w:shd w:val="clear" w:color="auto" w:fill="FFFFFF"/>
        </w:rPr>
        <w:t xml:space="preserve"> February 2019)</w:t>
      </w:r>
      <w:r>
        <w:rPr>
          <w:shd w:val="clear" w:color="auto" w:fill="FFFFFF"/>
        </w:rPr>
        <w:t xml:space="preserve"> and specifically the decision framework and objectives that support consideration of climate change</w:t>
      </w:r>
      <w:r w:rsidRPr="00AC6A6F">
        <w:rPr>
          <w:shd w:val="clear" w:color="auto" w:fill="FFFFFF"/>
        </w:rPr>
        <w:t xml:space="preserve"> </w:t>
      </w:r>
      <w:r>
        <w:rPr>
          <w:shd w:val="clear" w:color="auto" w:fill="FFFFFF"/>
        </w:rPr>
        <w:t>through strategic planning</w:t>
      </w:r>
    </w:p>
    <w:p w14:paraId="26600B64" w14:textId="77777777" w:rsidR="00A85F5A" w:rsidRPr="00DD7869" w:rsidRDefault="00A85F5A" w:rsidP="009D6FF6">
      <w:pPr>
        <w:pStyle w:val="BodyText"/>
        <w:rPr>
          <w:rFonts w:ascii="Symbol" w:hAnsi="Symbol"/>
        </w:rPr>
      </w:pPr>
      <w:r w:rsidRPr="009F2A31">
        <w:rPr>
          <w:bCs/>
        </w:rPr>
        <w:t>an evaluation of the consequences of flood hazards on potential development, mitigation costs</w:t>
      </w:r>
      <w:r>
        <w:rPr>
          <w:bCs/>
          <w:vertAlign w:val="superscript"/>
        </w:rPr>
        <w:t>2</w:t>
      </w:r>
      <w:r w:rsidRPr="009F2A31">
        <w:rPr>
          <w:bCs/>
        </w:rPr>
        <w:t xml:space="preserve"> and the </w:t>
      </w:r>
      <w:r w:rsidRPr="009F2A31">
        <w:t>suitability of the land for new use and development in areas where there is potential for high flood risk</w:t>
      </w:r>
    </w:p>
    <w:p w14:paraId="4DA1C415" w14:textId="77777777" w:rsidR="00A85F5A" w:rsidRPr="0024403D" w:rsidRDefault="00A85F5A" w:rsidP="009D6FF6">
      <w:pPr>
        <w:pStyle w:val="BodyText"/>
        <w:rPr>
          <w:rFonts w:ascii="Symbol" w:hAnsi="Symbol"/>
        </w:rPr>
      </w:pPr>
      <w:r w:rsidRPr="0063757F">
        <w:t>the integration of strategic land use planning with emergency management decision making</w:t>
      </w:r>
      <w:r>
        <w:t>,</w:t>
      </w:r>
      <w:r w:rsidRPr="0006715B">
        <w:t xml:space="preserve"> such as </w:t>
      </w:r>
      <w:r w:rsidRPr="0063757F">
        <w:t>safe</w:t>
      </w:r>
      <w:r w:rsidRPr="0063757F">
        <w:rPr>
          <w:spacing w:val="-1"/>
        </w:rPr>
        <w:t xml:space="preserve"> </w:t>
      </w:r>
      <w:r w:rsidRPr="0024403D">
        <w:t>access</w:t>
      </w:r>
    </w:p>
    <w:p w14:paraId="51EC41C7" w14:textId="7008E5B8" w:rsidR="00A85F5A" w:rsidRPr="00C20932" w:rsidRDefault="00A85F5A" w:rsidP="009D6FF6">
      <w:pPr>
        <w:pStyle w:val="BodyText"/>
        <w:rPr>
          <w:rFonts w:ascii="Symbol" w:hAnsi="Symbol"/>
        </w:rPr>
      </w:pPr>
      <w:r w:rsidRPr="0024403D">
        <w:t>an</w:t>
      </w:r>
      <w:r w:rsidRPr="0024403D">
        <w:rPr>
          <w:spacing w:val="-4"/>
        </w:rPr>
        <w:t xml:space="preserve"> </w:t>
      </w:r>
      <w:r w:rsidRPr="0024403D">
        <w:t>evaluation</w:t>
      </w:r>
      <w:r w:rsidRPr="0024403D">
        <w:rPr>
          <w:spacing w:val="-1"/>
        </w:rPr>
        <w:t xml:space="preserve"> </w:t>
      </w:r>
      <w:r w:rsidRPr="0024403D">
        <w:t>of</w:t>
      </w:r>
      <w:r w:rsidRPr="0024403D">
        <w:rPr>
          <w:spacing w:val="-3"/>
        </w:rPr>
        <w:t xml:space="preserve"> </w:t>
      </w:r>
      <w:r w:rsidRPr="0024403D">
        <w:t>alternate</w:t>
      </w:r>
      <w:r w:rsidRPr="0024403D">
        <w:rPr>
          <w:spacing w:val="-1"/>
        </w:rPr>
        <w:t xml:space="preserve"> </w:t>
      </w:r>
      <w:r w:rsidRPr="0024403D">
        <w:t>low-risk</w:t>
      </w:r>
      <w:r w:rsidRPr="0024403D">
        <w:rPr>
          <w:spacing w:val="-2"/>
        </w:rPr>
        <w:t xml:space="preserve"> </w:t>
      </w:r>
      <w:r w:rsidRPr="0024403D">
        <w:t>locations</w:t>
      </w:r>
      <w:r w:rsidRPr="0024403D">
        <w:rPr>
          <w:spacing w:val="-2"/>
        </w:rPr>
        <w:t xml:space="preserve"> </w:t>
      </w:r>
      <w:r w:rsidRPr="0024403D">
        <w:t>for</w:t>
      </w:r>
      <w:r w:rsidRPr="0024403D">
        <w:rPr>
          <w:spacing w:val="-3"/>
        </w:rPr>
        <w:t xml:space="preserve"> </w:t>
      </w:r>
      <w:r w:rsidRPr="0024403D">
        <w:t>new</w:t>
      </w:r>
      <w:r w:rsidRPr="0024403D">
        <w:rPr>
          <w:spacing w:val="-1"/>
        </w:rPr>
        <w:t xml:space="preserve"> </w:t>
      </w:r>
      <w:r w:rsidRPr="0024403D">
        <w:t>land</w:t>
      </w:r>
      <w:r w:rsidRPr="0024403D">
        <w:rPr>
          <w:spacing w:val="-3"/>
        </w:rPr>
        <w:t xml:space="preserve"> </w:t>
      </w:r>
      <w:r w:rsidRPr="0024403D">
        <w:t>use</w:t>
      </w:r>
      <w:r w:rsidRPr="0024403D">
        <w:rPr>
          <w:spacing w:val="-1"/>
        </w:rPr>
        <w:t xml:space="preserve"> </w:t>
      </w:r>
      <w:r w:rsidRPr="0024403D">
        <w:t>and</w:t>
      </w:r>
      <w:r w:rsidRPr="0024403D">
        <w:rPr>
          <w:spacing w:val="-1"/>
        </w:rPr>
        <w:t xml:space="preserve"> </w:t>
      </w:r>
      <w:r w:rsidRPr="0024403D">
        <w:t>development,</w:t>
      </w:r>
      <w:r w:rsidRPr="0024403D">
        <w:rPr>
          <w:spacing w:val="-3"/>
        </w:rPr>
        <w:t xml:space="preserve"> </w:t>
      </w:r>
      <w:r w:rsidRPr="0024403D">
        <w:t>or</w:t>
      </w:r>
      <w:r w:rsidRPr="0024403D">
        <w:rPr>
          <w:spacing w:val="-2"/>
        </w:rPr>
        <w:t xml:space="preserve"> </w:t>
      </w:r>
      <w:r w:rsidRPr="0024403D">
        <w:t>settlement</w:t>
      </w:r>
      <w:r w:rsidRPr="0024403D">
        <w:rPr>
          <w:spacing w:val="-1"/>
        </w:rPr>
        <w:t xml:space="preserve"> </w:t>
      </w:r>
      <w:r w:rsidRPr="0024403D">
        <w:t>growth</w:t>
      </w:r>
      <w:r w:rsidRPr="0024403D">
        <w:rPr>
          <w:spacing w:val="-3"/>
        </w:rPr>
        <w:t xml:space="preserve"> </w:t>
      </w:r>
      <w:r w:rsidRPr="0024403D">
        <w:t>to</w:t>
      </w:r>
      <w:r w:rsidRPr="0024403D">
        <w:rPr>
          <w:spacing w:val="-1"/>
        </w:rPr>
        <w:t xml:space="preserve"> </w:t>
      </w:r>
      <w:r w:rsidRPr="0024403D">
        <w:t>avoid</w:t>
      </w:r>
      <w:r w:rsidRPr="0024403D">
        <w:rPr>
          <w:spacing w:val="-3"/>
        </w:rPr>
        <w:t xml:space="preserve"> </w:t>
      </w:r>
      <w:r w:rsidRPr="0024403D">
        <w:t>or</w:t>
      </w:r>
      <w:r w:rsidR="005347E5">
        <w:t xml:space="preserve"> </w:t>
      </w:r>
      <w:r w:rsidRPr="0024403D">
        <w:rPr>
          <w:spacing w:val="-53"/>
        </w:rPr>
        <w:t xml:space="preserve"> </w:t>
      </w:r>
      <w:r w:rsidRPr="0024403D">
        <w:t>minimise the exposure of people and future development to high-risk flood exposure</w:t>
      </w:r>
      <w:r>
        <w:t xml:space="preserve">.  </w:t>
      </w:r>
      <w:r w:rsidRPr="0024403D">
        <w:t xml:space="preserve">The 1 in 100 year (1% </w:t>
      </w:r>
      <w:r w:rsidRPr="00B200B9">
        <w:t>per cent Annual Exceedance Probability</w:t>
      </w:r>
      <w:r w:rsidR="00424BEE">
        <w:t xml:space="preserve"> </w:t>
      </w:r>
      <w:r w:rsidR="00D34F66">
        <w:t>(</w:t>
      </w:r>
      <w:r w:rsidR="00424BEE">
        <w:t>AEP</w:t>
      </w:r>
      <w:r w:rsidR="00A17441">
        <w:t xml:space="preserve">) </w:t>
      </w:r>
      <w:r w:rsidRPr="0024403D">
        <w:t xml:space="preserve">flood is the standard </w:t>
      </w:r>
      <w:r>
        <w:t>applied to</w:t>
      </w:r>
      <w:r w:rsidRPr="0024403D">
        <w:t xml:space="preserve"> regulate and protect development through the planning and building system</w:t>
      </w:r>
      <w:r w:rsidRPr="005C6A73">
        <w:t>s</w:t>
      </w:r>
      <w:r>
        <w:rPr>
          <w:vertAlign w:val="superscript"/>
        </w:rPr>
        <w:t>3</w:t>
      </w:r>
      <w:r w:rsidRPr="005C6A73">
        <w:t>)</w:t>
      </w:r>
    </w:p>
    <w:p w14:paraId="6FA45B90" w14:textId="77777777" w:rsidR="00A85F5A" w:rsidRPr="009E454F" w:rsidRDefault="00A85F5A" w:rsidP="009D6FF6">
      <w:pPr>
        <w:pStyle w:val="BodyText"/>
      </w:pPr>
      <w:r>
        <w:t xml:space="preserve">location of </w:t>
      </w:r>
      <w:r w:rsidRPr="009E454F">
        <w:t>emergency and community facilities (including hospitals, ambulance stations, police stations, fire stations, residential aged care facilities, communication facilities, transport facilities, community shelters, child care centres and schools) outside the 1 in 100 year (</w:t>
      </w:r>
      <w:r>
        <w:t>1% AEP</w:t>
      </w:r>
      <w:r w:rsidRPr="009E454F">
        <w:t>) floodplain and, where possible, at levels above the height of the probable maximum flood</w:t>
      </w:r>
    </w:p>
    <w:p w14:paraId="0F598F36" w14:textId="77777777" w:rsidR="00A85F5A" w:rsidRPr="0044701A" w:rsidRDefault="00A85F5A" w:rsidP="009D6FF6">
      <w:pPr>
        <w:pStyle w:val="BodyText"/>
        <w:rPr>
          <w:rFonts w:ascii="Symbol" w:hAnsi="Symbol"/>
        </w:rPr>
      </w:pPr>
      <w:r w:rsidRPr="0024403D">
        <w:t>recognition that the absence of low risk locations is not a reason to approve development</w:t>
      </w:r>
      <w:r w:rsidRPr="0063757F">
        <w:t xml:space="preserve"> in high risk locations (unless suitable mitigation responses are implemented to reduce risk to an acceptable level)</w:t>
      </w:r>
    </w:p>
    <w:p w14:paraId="79D7D3AB" w14:textId="77777777" w:rsidR="00A85F5A" w:rsidRPr="00C5593D" w:rsidRDefault="00A85F5A" w:rsidP="009D6FF6">
      <w:pPr>
        <w:pStyle w:val="BodyText"/>
        <w:rPr>
          <w:rFonts w:ascii="Symbol" w:hAnsi="Symbol"/>
        </w:rPr>
      </w:pPr>
      <w:r w:rsidRPr="00C5593D">
        <w:t>any</w:t>
      </w:r>
      <w:r w:rsidRPr="00BA1966">
        <w:t xml:space="preserve"> state-approved regional catchment strategy or special area plan, any catchment or floodplain </w:t>
      </w:r>
      <w:r w:rsidRPr="00C5593D">
        <w:t xml:space="preserve">management authority </w:t>
      </w:r>
      <w:r w:rsidRPr="00BA1966">
        <w:t xml:space="preserve">adopted </w:t>
      </w:r>
      <w:r w:rsidRPr="00C5593D">
        <w:t>plan, manual</w:t>
      </w:r>
      <w:r w:rsidRPr="00BA1966">
        <w:t>,</w:t>
      </w:r>
      <w:r w:rsidRPr="00C5593D">
        <w:t xml:space="preserve"> guideline</w:t>
      </w:r>
      <w:r w:rsidRPr="00BA1966">
        <w:t xml:space="preserve"> </w:t>
      </w:r>
      <w:r w:rsidRPr="00C5593D">
        <w:t>or</w:t>
      </w:r>
      <w:r w:rsidRPr="00BA1966">
        <w:t xml:space="preserve"> strategy or</w:t>
      </w:r>
      <w:r w:rsidRPr="00C5593D">
        <w:t xml:space="preserve"> Environment Protection Authority</w:t>
      </w:r>
      <w:r w:rsidRPr="00BA1966">
        <w:t xml:space="preserve"> </w:t>
      </w:r>
      <w:r w:rsidRPr="00C5593D">
        <w:t xml:space="preserve">adopted </w:t>
      </w:r>
      <w:r w:rsidRPr="00BA1966">
        <w:t xml:space="preserve">management </w:t>
      </w:r>
      <w:r w:rsidRPr="00C5593D">
        <w:t>strategy</w:t>
      </w:r>
      <w:r w:rsidRPr="00BA1966">
        <w:t xml:space="preserve"> for stormwater</w:t>
      </w:r>
    </w:p>
    <w:p w14:paraId="67E04B25" w14:textId="77777777" w:rsidR="00A85F5A" w:rsidRPr="00CB0D19" w:rsidRDefault="00A85F5A" w:rsidP="009D6FF6">
      <w:pPr>
        <w:pStyle w:val="BodyText"/>
        <w:rPr>
          <w:rFonts w:ascii="Symbol" w:hAnsi="Symbol"/>
        </w:rPr>
      </w:pPr>
      <w:r w:rsidRPr="00CB0D19">
        <w:t>advice</w:t>
      </w:r>
      <w:r w:rsidRPr="00CB0D19">
        <w:rPr>
          <w:spacing w:val="-4"/>
        </w:rPr>
        <w:t xml:space="preserve"> </w:t>
      </w:r>
      <w:r w:rsidRPr="00CB0D19">
        <w:t>from</w:t>
      </w:r>
      <w:r w:rsidRPr="00CB0D19">
        <w:rPr>
          <w:spacing w:val="-3"/>
        </w:rPr>
        <w:t xml:space="preserve"> </w:t>
      </w:r>
      <w:r w:rsidRPr="00CB0D19">
        <w:t>the</w:t>
      </w:r>
      <w:r w:rsidRPr="00CB0D19">
        <w:rPr>
          <w:spacing w:val="-3"/>
        </w:rPr>
        <w:t xml:space="preserve"> </w:t>
      </w:r>
      <w:r w:rsidRPr="00CB0D19">
        <w:t>relevant</w:t>
      </w:r>
      <w:r w:rsidRPr="00CB0D19">
        <w:rPr>
          <w:spacing w:val="-3"/>
        </w:rPr>
        <w:t xml:space="preserve"> </w:t>
      </w:r>
      <w:r w:rsidRPr="00CB0D19">
        <w:t>floodplain</w:t>
      </w:r>
      <w:r w:rsidRPr="00CB0D19">
        <w:rPr>
          <w:spacing w:val="-4"/>
        </w:rPr>
        <w:t xml:space="preserve"> </w:t>
      </w:r>
      <w:r w:rsidRPr="00CB0D19">
        <w:t>management</w:t>
      </w:r>
      <w:r w:rsidRPr="00CB0D19">
        <w:rPr>
          <w:spacing w:val="-1"/>
        </w:rPr>
        <w:t xml:space="preserve"> </w:t>
      </w:r>
      <w:r w:rsidRPr="00CB0D19">
        <w:t>authority.</w:t>
      </w:r>
    </w:p>
    <w:p w14:paraId="22AFA661" w14:textId="1233911C" w:rsidR="00A85F5A" w:rsidRPr="009E454F" w:rsidRDefault="00A85F5A" w:rsidP="005621D7">
      <w:pPr>
        <w:spacing w:before="120"/>
        <w:ind w:right="782"/>
        <w:rPr>
          <w:sz w:val="16"/>
          <w:szCs w:val="16"/>
        </w:rPr>
      </w:pPr>
      <w:r w:rsidRPr="00694941">
        <w:rPr>
          <w:sz w:val="16"/>
          <w:szCs w:val="16"/>
          <w:vertAlign w:val="superscript"/>
        </w:rPr>
        <w:t>2</w:t>
      </w:r>
      <w:r w:rsidRPr="005621D7">
        <w:rPr>
          <w:sz w:val="16"/>
          <w:szCs w:val="16"/>
        </w:rPr>
        <w:t xml:space="preserve"> </w:t>
      </w:r>
      <w:r w:rsidRPr="009E454F">
        <w:rPr>
          <w:sz w:val="16"/>
          <w:szCs w:val="16"/>
        </w:rPr>
        <w:t xml:space="preserve">The Victorian Floodplain Management Strategy </w:t>
      </w:r>
      <w:r w:rsidR="006C018B">
        <w:rPr>
          <w:sz w:val="16"/>
          <w:szCs w:val="16"/>
        </w:rPr>
        <w:t xml:space="preserve">(section 17.2) </w:t>
      </w:r>
      <w:r w:rsidRPr="009E454F">
        <w:rPr>
          <w:sz w:val="16"/>
          <w:szCs w:val="16"/>
        </w:rPr>
        <w:t xml:space="preserve">adopts the ‘beneficiary pays’ principle </w:t>
      </w:r>
      <w:r w:rsidRPr="00377E67">
        <w:rPr>
          <w:sz w:val="16"/>
          <w:szCs w:val="16"/>
        </w:rPr>
        <w:t>to d</w:t>
      </w:r>
      <w:r w:rsidRPr="009E454F">
        <w:rPr>
          <w:sz w:val="16"/>
          <w:szCs w:val="16"/>
        </w:rPr>
        <w:t>etermine the management and funding arrangements for flood mitigation infrastructure.</w:t>
      </w:r>
    </w:p>
    <w:p w14:paraId="478EAC35" w14:textId="156EEAE6" w:rsidR="00A85F5A" w:rsidRPr="005621D7" w:rsidRDefault="00A85F5A" w:rsidP="005621D7">
      <w:pPr>
        <w:spacing w:before="120"/>
        <w:ind w:right="782"/>
        <w:rPr>
          <w:sz w:val="16"/>
          <w:szCs w:val="16"/>
        </w:rPr>
      </w:pPr>
      <w:r w:rsidRPr="00694941">
        <w:rPr>
          <w:sz w:val="16"/>
          <w:szCs w:val="16"/>
          <w:vertAlign w:val="superscript"/>
        </w:rPr>
        <w:t>3</w:t>
      </w:r>
      <w:r w:rsidRPr="005621D7">
        <w:rPr>
          <w:sz w:val="16"/>
          <w:szCs w:val="16"/>
        </w:rPr>
        <w:t xml:space="preserve"> </w:t>
      </w:r>
      <w:r w:rsidRPr="009E454F">
        <w:rPr>
          <w:sz w:val="16"/>
          <w:szCs w:val="16"/>
        </w:rPr>
        <w:t>See Victorian Floodplain Management Strategy</w:t>
      </w:r>
      <w:r w:rsidR="00EB353E">
        <w:rPr>
          <w:sz w:val="16"/>
          <w:szCs w:val="16"/>
        </w:rPr>
        <w:t xml:space="preserve"> - </w:t>
      </w:r>
      <w:r w:rsidRPr="009E454F">
        <w:rPr>
          <w:sz w:val="16"/>
          <w:szCs w:val="16"/>
        </w:rPr>
        <w:t>Policy 13a.</w:t>
      </w:r>
    </w:p>
    <w:p w14:paraId="47714658" w14:textId="77777777" w:rsidR="00A85F5A" w:rsidRPr="009715EC" w:rsidRDefault="00A85F5A" w:rsidP="00694941">
      <w:pPr>
        <w:pStyle w:val="Heading3"/>
      </w:pPr>
      <w:r w:rsidRPr="009715EC">
        <w:t>Coastal inundation</w:t>
      </w:r>
      <w:r w:rsidRPr="009715EC">
        <w:rPr>
          <w:spacing w:val="-4"/>
        </w:rPr>
        <w:t xml:space="preserve"> </w:t>
      </w:r>
      <w:r w:rsidRPr="009715EC">
        <w:t>and erosion</w:t>
      </w:r>
    </w:p>
    <w:p w14:paraId="5FA476AF" w14:textId="77777777" w:rsidR="00A85F5A" w:rsidRPr="007D3C70" w:rsidRDefault="00A85F5A" w:rsidP="00694941">
      <w:r w:rsidRPr="0063757F">
        <w:t>An amendment</w:t>
      </w:r>
      <w:r w:rsidRPr="0063757F">
        <w:rPr>
          <w:spacing w:val="-5"/>
        </w:rPr>
        <w:t xml:space="preserve"> </w:t>
      </w:r>
      <w:r w:rsidRPr="0063757F">
        <w:t>affecting land along</w:t>
      </w:r>
      <w:r w:rsidRPr="0063757F">
        <w:rPr>
          <w:spacing w:val="-4"/>
        </w:rPr>
        <w:t xml:space="preserve"> </w:t>
      </w:r>
      <w:r w:rsidRPr="0063757F">
        <w:t>Victoria’s</w:t>
      </w:r>
      <w:r w:rsidRPr="0063757F">
        <w:rPr>
          <w:spacing w:val="-4"/>
        </w:rPr>
        <w:t xml:space="preserve"> </w:t>
      </w:r>
      <w:r w:rsidRPr="0063757F">
        <w:t>coastline</w:t>
      </w:r>
      <w:r>
        <w:t xml:space="preserve"> and environs</w:t>
      </w:r>
      <w:r w:rsidRPr="0063757F">
        <w:rPr>
          <w:spacing w:val="-3"/>
        </w:rPr>
        <w:t xml:space="preserve"> </w:t>
      </w:r>
      <w:r w:rsidRPr="0063757F">
        <w:t>should</w:t>
      </w:r>
      <w:r w:rsidRPr="0063757F">
        <w:rPr>
          <w:spacing w:val="-3"/>
        </w:rPr>
        <w:t xml:space="preserve"> </w:t>
      </w:r>
      <w:r w:rsidRPr="0063757F">
        <w:t>be</w:t>
      </w:r>
      <w:r w:rsidRPr="0063757F">
        <w:rPr>
          <w:spacing w:val="-4"/>
        </w:rPr>
        <w:t xml:space="preserve"> </w:t>
      </w:r>
      <w:r w:rsidRPr="0063757F">
        <w:t>informed</w:t>
      </w:r>
      <w:r w:rsidRPr="0063757F">
        <w:rPr>
          <w:spacing w:val="-3"/>
        </w:rPr>
        <w:t xml:space="preserve"> </w:t>
      </w:r>
      <w:r w:rsidRPr="0063757F">
        <w:t>by</w:t>
      </w:r>
      <w:r w:rsidRPr="0063757F">
        <w:rPr>
          <w:spacing w:val="-4"/>
        </w:rPr>
        <w:t xml:space="preserve"> </w:t>
      </w:r>
      <w:r w:rsidRPr="0063757F">
        <w:t>the</w:t>
      </w:r>
      <w:r w:rsidRPr="0063757F">
        <w:rPr>
          <w:spacing w:val="-5"/>
        </w:rPr>
        <w:t xml:space="preserve"> </w:t>
      </w:r>
      <w:r w:rsidRPr="0063757F">
        <w:t>following:</w:t>
      </w:r>
    </w:p>
    <w:p w14:paraId="4369F3D0" w14:textId="77777777" w:rsidR="00A85F5A" w:rsidRPr="009E454F" w:rsidRDefault="00A85F5A" w:rsidP="00694941">
      <w:pPr>
        <w:pStyle w:val="BodyText"/>
        <w:rPr>
          <w:rFonts w:ascii="Symbol" w:hAnsi="Symbol"/>
        </w:rPr>
      </w:pPr>
      <w:r>
        <w:t>any applicable coastal hazard assessment endorsed by the State</w:t>
      </w:r>
    </w:p>
    <w:p w14:paraId="52BB3D0A" w14:textId="77777777" w:rsidR="00A85F5A" w:rsidRDefault="00A85F5A" w:rsidP="00694941">
      <w:pPr>
        <w:pStyle w:val="BodyText"/>
        <w:rPr>
          <w:rFonts w:ascii="Symbol" w:hAnsi="Symbol"/>
        </w:rPr>
      </w:pPr>
      <w:r>
        <w:t>a</w:t>
      </w:r>
      <w:r>
        <w:rPr>
          <w:spacing w:val="-3"/>
        </w:rPr>
        <w:t xml:space="preserve"> </w:t>
      </w:r>
      <w:r>
        <w:t>coastal</w:t>
      </w:r>
      <w:r>
        <w:rPr>
          <w:spacing w:val="-3"/>
        </w:rPr>
        <w:t xml:space="preserve"> </w:t>
      </w:r>
      <w:r>
        <w:t>hazard</w:t>
      </w:r>
      <w:r>
        <w:rPr>
          <w:spacing w:val="-2"/>
        </w:rPr>
        <w:t xml:space="preserve"> </w:t>
      </w:r>
      <w:r>
        <w:t>assessment</w:t>
      </w:r>
      <w:r>
        <w:rPr>
          <w:spacing w:val="-2"/>
        </w:rPr>
        <w:t xml:space="preserve"> </w:t>
      </w:r>
      <w:r>
        <w:t>that</w:t>
      </w:r>
      <w:r>
        <w:rPr>
          <w:spacing w:val="-2"/>
        </w:rPr>
        <w:t xml:space="preserve"> </w:t>
      </w:r>
      <w:r>
        <w:t>considers:</w:t>
      </w:r>
    </w:p>
    <w:p w14:paraId="74219799" w14:textId="5B362D7B" w:rsidR="00A85F5A" w:rsidRPr="00495051" w:rsidRDefault="00A85F5A" w:rsidP="00694941">
      <w:pPr>
        <w:pStyle w:val="ListBullet2"/>
      </w:pPr>
      <w:r>
        <w:t>the</w:t>
      </w:r>
      <w:r>
        <w:rPr>
          <w:spacing w:val="-3"/>
        </w:rPr>
        <w:t xml:space="preserve"> </w:t>
      </w:r>
      <w:r>
        <w:t>risk</w:t>
      </w:r>
      <w:r>
        <w:rPr>
          <w:spacing w:val="-1"/>
        </w:rPr>
        <w:t xml:space="preserve"> </w:t>
      </w:r>
      <w:r>
        <w:t>relevant</w:t>
      </w:r>
      <w:r>
        <w:rPr>
          <w:spacing w:val="-1"/>
        </w:rPr>
        <w:t xml:space="preserve"> </w:t>
      </w:r>
      <w:r>
        <w:t>to the</w:t>
      </w:r>
      <w:r>
        <w:rPr>
          <w:spacing w:val="-3"/>
        </w:rPr>
        <w:t xml:space="preserve"> </w:t>
      </w:r>
      <w:r>
        <w:t>coastal</w:t>
      </w:r>
      <w:r>
        <w:rPr>
          <w:spacing w:val="-3"/>
        </w:rPr>
        <w:t xml:space="preserve"> </w:t>
      </w:r>
      <w:r>
        <w:t>compartment</w:t>
      </w:r>
      <w:r>
        <w:rPr>
          <w:spacing w:val="-1"/>
        </w:rPr>
        <w:t xml:space="preserve"> </w:t>
      </w:r>
      <w:r>
        <w:t>type (</w:t>
      </w:r>
      <w:r w:rsidRPr="001278EC">
        <w:t xml:space="preserve">for example, </w:t>
      </w:r>
      <w:r w:rsidRPr="00C808F1">
        <w:t>a rocky coast</w:t>
      </w:r>
      <w:r>
        <w:t>,</w:t>
      </w:r>
      <w:r w:rsidRPr="00C808F1">
        <w:t xml:space="preserve"> sandy </w:t>
      </w:r>
      <w:r>
        <w:t xml:space="preserve">or engineered </w:t>
      </w:r>
      <w:r w:rsidRPr="00C808F1">
        <w:t>shoreline</w:t>
      </w:r>
      <w:r w:rsidR="004A2C2D">
        <w:rPr>
          <w:vertAlign w:val="superscript"/>
        </w:rPr>
        <w:t>4</w:t>
      </w:r>
      <w:r>
        <w:rPr>
          <w:bCs/>
        </w:rPr>
        <w:t>)</w:t>
      </w:r>
    </w:p>
    <w:p w14:paraId="47C1C929" w14:textId="77777777" w:rsidR="00A85F5A" w:rsidRDefault="00A85F5A" w:rsidP="00694941">
      <w:pPr>
        <w:pStyle w:val="ListBullet2"/>
      </w:pPr>
      <w:r>
        <w:t>the</w:t>
      </w:r>
      <w:r>
        <w:rPr>
          <w:spacing w:val="-3"/>
        </w:rPr>
        <w:t xml:space="preserve"> </w:t>
      </w:r>
      <w:r>
        <w:t>potential</w:t>
      </w:r>
      <w:r>
        <w:rPr>
          <w:spacing w:val="-3"/>
        </w:rPr>
        <w:t xml:space="preserve"> </w:t>
      </w:r>
      <w:r>
        <w:t>for</w:t>
      </w:r>
      <w:r>
        <w:rPr>
          <w:spacing w:val="-2"/>
        </w:rPr>
        <w:t xml:space="preserve"> </w:t>
      </w:r>
      <w:r>
        <w:t>the</w:t>
      </w:r>
      <w:r>
        <w:rPr>
          <w:spacing w:val="-2"/>
        </w:rPr>
        <w:t xml:space="preserve"> </w:t>
      </w:r>
      <w:r>
        <w:t>hazard</w:t>
      </w:r>
      <w:r>
        <w:rPr>
          <w:spacing w:val="2"/>
        </w:rPr>
        <w:t xml:space="preserve"> </w:t>
      </w:r>
      <w:r>
        <w:t>to</w:t>
      </w:r>
      <w:r>
        <w:rPr>
          <w:spacing w:val="-2"/>
        </w:rPr>
        <w:t xml:space="preserve"> </w:t>
      </w:r>
      <w:r>
        <w:t>change over</w:t>
      </w:r>
      <w:r>
        <w:rPr>
          <w:spacing w:val="-2"/>
        </w:rPr>
        <w:t xml:space="preserve"> </w:t>
      </w:r>
      <w:r>
        <w:t>time and the</w:t>
      </w:r>
      <w:r>
        <w:rPr>
          <w:spacing w:val="-2"/>
        </w:rPr>
        <w:t xml:space="preserve"> </w:t>
      </w:r>
      <w:r>
        <w:t>consequence</w:t>
      </w:r>
      <w:r>
        <w:rPr>
          <w:spacing w:val="-2"/>
        </w:rPr>
        <w:t xml:space="preserve"> </w:t>
      </w:r>
      <w:r>
        <w:t>of any</w:t>
      </w:r>
      <w:r>
        <w:rPr>
          <w:spacing w:val="-2"/>
        </w:rPr>
        <w:t xml:space="preserve"> </w:t>
      </w:r>
      <w:r>
        <w:t>change.</w:t>
      </w:r>
    </w:p>
    <w:p w14:paraId="704EF80B" w14:textId="77777777" w:rsidR="00A85F5A" w:rsidRDefault="00A85F5A" w:rsidP="00694941">
      <w:pPr>
        <w:pStyle w:val="BodyText"/>
        <w:rPr>
          <w:rFonts w:ascii="Symbol" w:hAnsi="Symbol"/>
        </w:rPr>
      </w:pPr>
      <w:r>
        <w:t>the</w:t>
      </w:r>
      <w:r>
        <w:rPr>
          <w:spacing w:val="-4"/>
        </w:rPr>
        <w:t xml:space="preserve"> </w:t>
      </w:r>
      <w:r w:rsidRPr="0052235A">
        <w:t>potential for increased climate hazards</w:t>
      </w:r>
      <w:r>
        <w:t xml:space="preserve"> including,</w:t>
      </w:r>
      <w:r>
        <w:rPr>
          <w:spacing w:val="-3"/>
        </w:rPr>
        <w:t xml:space="preserve"> </w:t>
      </w:r>
      <w:r>
        <w:t>as</w:t>
      </w:r>
      <w:r>
        <w:rPr>
          <w:spacing w:val="-2"/>
        </w:rPr>
        <w:t xml:space="preserve"> </w:t>
      </w:r>
      <w:r>
        <w:t>relevant:</w:t>
      </w:r>
    </w:p>
    <w:p w14:paraId="208EA925" w14:textId="77777777" w:rsidR="00A85F5A" w:rsidRDefault="00A85F5A" w:rsidP="00694941">
      <w:pPr>
        <w:pStyle w:val="ListBullet2"/>
      </w:pPr>
      <w:r>
        <w:t>sea</w:t>
      </w:r>
      <w:r w:rsidRPr="00694941">
        <w:t xml:space="preserve"> </w:t>
      </w:r>
      <w:r>
        <w:t>level rise projections</w:t>
      </w:r>
    </w:p>
    <w:p w14:paraId="1BFBC0B1" w14:textId="77777777" w:rsidR="00A85F5A" w:rsidRDefault="00A85F5A" w:rsidP="00694941">
      <w:pPr>
        <w:pStyle w:val="ListBullet2"/>
      </w:pPr>
      <w:r>
        <w:t>change</w:t>
      </w:r>
      <w:r w:rsidRPr="00694941">
        <w:t xml:space="preserve"> </w:t>
      </w:r>
      <w:r>
        <w:t>in</w:t>
      </w:r>
      <w:r w:rsidRPr="00694941">
        <w:t xml:space="preserve"> </w:t>
      </w:r>
      <w:r>
        <w:t>wave</w:t>
      </w:r>
      <w:r w:rsidRPr="00694941">
        <w:t xml:space="preserve"> </w:t>
      </w:r>
      <w:r>
        <w:t>action</w:t>
      </w:r>
    </w:p>
    <w:p w14:paraId="241C0E62" w14:textId="77777777" w:rsidR="00A85F5A" w:rsidRDefault="00A85F5A" w:rsidP="00694941">
      <w:pPr>
        <w:pStyle w:val="ListBullet2"/>
      </w:pPr>
      <w:r>
        <w:t>increase</w:t>
      </w:r>
      <w:r w:rsidRPr="00694941">
        <w:t xml:space="preserve"> </w:t>
      </w:r>
      <w:r>
        <w:t>in</w:t>
      </w:r>
      <w:r w:rsidRPr="00694941">
        <w:t xml:space="preserve"> </w:t>
      </w:r>
      <w:r>
        <w:t>swell energy</w:t>
      </w:r>
      <w:r w:rsidRPr="00694941">
        <w:t xml:space="preserve"> </w:t>
      </w:r>
      <w:r>
        <w:t>and</w:t>
      </w:r>
      <w:r w:rsidRPr="00694941">
        <w:t xml:space="preserve"> </w:t>
      </w:r>
      <w:r>
        <w:t>storm</w:t>
      </w:r>
      <w:r w:rsidRPr="00694941">
        <w:t xml:space="preserve"> </w:t>
      </w:r>
      <w:r>
        <w:t>tide</w:t>
      </w:r>
      <w:r w:rsidRPr="00694941">
        <w:t xml:space="preserve"> </w:t>
      </w:r>
      <w:r>
        <w:t>events</w:t>
      </w:r>
    </w:p>
    <w:p w14:paraId="63609566" w14:textId="77777777" w:rsidR="00A85F5A" w:rsidRDefault="00A85F5A" w:rsidP="00694941">
      <w:pPr>
        <w:pStyle w:val="ListBullet2"/>
      </w:pPr>
      <w:r>
        <w:t>ocean</w:t>
      </w:r>
      <w:r w:rsidRPr="00694941">
        <w:t xml:space="preserve"> </w:t>
      </w:r>
      <w:r>
        <w:t>acidification</w:t>
      </w:r>
    </w:p>
    <w:p w14:paraId="0B50550E" w14:textId="77777777" w:rsidR="00A85F5A" w:rsidRDefault="00A85F5A" w:rsidP="00694941">
      <w:pPr>
        <w:pStyle w:val="ListBullet2"/>
      </w:pPr>
      <w:r>
        <w:t>intensified</w:t>
      </w:r>
      <w:r w:rsidRPr="00694941">
        <w:t xml:space="preserve"> </w:t>
      </w:r>
      <w:r>
        <w:t>riverine</w:t>
      </w:r>
      <w:r w:rsidRPr="00694941">
        <w:t xml:space="preserve"> </w:t>
      </w:r>
      <w:r>
        <w:t>flooding</w:t>
      </w:r>
    </w:p>
    <w:p w14:paraId="23DBBC40" w14:textId="77777777" w:rsidR="00A85F5A" w:rsidRDefault="00A85F5A" w:rsidP="00694941">
      <w:pPr>
        <w:pStyle w:val="ListBullet2"/>
      </w:pPr>
      <w:r>
        <w:t>combined effects of inland/riverine and coastal flooding.</w:t>
      </w:r>
    </w:p>
    <w:p w14:paraId="3FD1A5A3" w14:textId="038F365E" w:rsidR="00A85F5A" w:rsidRDefault="00A85F5A" w:rsidP="00EA32CC">
      <w:pPr>
        <w:pStyle w:val="BodyText"/>
        <w:rPr>
          <w:rFonts w:ascii="Symbol" w:hAnsi="Symbol"/>
        </w:rPr>
      </w:pPr>
      <w:r>
        <w:t xml:space="preserve">consideration of all available adaptation options </w:t>
      </w:r>
      <w:r w:rsidRPr="00FA5935">
        <w:t>including</w:t>
      </w:r>
      <w:r>
        <w:t>, non-intervention, avoidance, nature-based methods,</w:t>
      </w:r>
      <w:r w:rsidR="0085016D">
        <w:t xml:space="preserve"> </w:t>
      </w:r>
      <w:r>
        <w:rPr>
          <w:spacing w:val="-53"/>
        </w:rPr>
        <w:t xml:space="preserve">       </w:t>
      </w:r>
      <w:r>
        <w:t>accommodation, retreat</w:t>
      </w:r>
      <w:r>
        <w:rPr>
          <w:spacing w:val="1"/>
        </w:rPr>
        <w:t xml:space="preserve"> </w:t>
      </w:r>
      <w:r>
        <w:t>and</w:t>
      </w:r>
      <w:r>
        <w:rPr>
          <w:spacing w:val="-1"/>
        </w:rPr>
        <w:t xml:space="preserve"> </w:t>
      </w:r>
      <w:r>
        <w:t>protection, and evaluation of alternative low risk locations for new use and development</w:t>
      </w:r>
    </w:p>
    <w:p w14:paraId="68CC3581" w14:textId="77777777" w:rsidR="00A85F5A" w:rsidRDefault="00A85F5A" w:rsidP="00EA32CC">
      <w:pPr>
        <w:pStyle w:val="BodyText"/>
        <w:rPr>
          <w:rFonts w:ascii="Symbol" w:hAnsi="Symbol"/>
        </w:rPr>
      </w:pPr>
      <w:r>
        <w:t>an</w:t>
      </w:r>
      <w:r>
        <w:rPr>
          <w:spacing w:val="-3"/>
        </w:rPr>
        <w:t xml:space="preserve"> </w:t>
      </w:r>
      <w:r>
        <w:t>evaluation</w:t>
      </w:r>
      <w:r>
        <w:rPr>
          <w:spacing w:val="-1"/>
        </w:rPr>
        <w:t xml:space="preserve"> </w:t>
      </w:r>
      <w:r>
        <w:t>of</w:t>
      </w:r>
      <w:r>
        <w:rPr>
          <w:spacing w:val="-3"/>
        </w:rPr>
        <w:t xml:space="preserve"> </w:t>
      </w:r>
      <w:r>
        <w:t>whether</w:t>
      </w:r>
      <w:r>
        <w:rPr>
          <w:spacing w:val="-3"/>
        </w:rPr>
        <w:t xml:space="preserve"> </w:t>
      </w:r>
      <w:r>
        <w:t>the</w:t>
      </w:r>
      <w:r>
        <w:rPr>
          <w:spacing w:val="-2"/>
        </w:rPr>
        <w:t xml:space="preserve"> </w:t>
      </w:r>
      <w:r>
        <w:t>proposed</w:t>
      </w:r>
      <w:r>
        <w:rPr>
          <w:spacing w:val="-1"/>
        </w:rPr>
        <w:t xml:space="preserve"> </w:t>
      </w:r>
      <w:r>
        <w:t>adaptation</w:t>
      </w:r>
      <w:r>
        <w:rPr>
          <w:spacing w:val="-1"/>
        </w:rPr>
        <w:t xml:space="preserve"> </w:t>
      </w:r>
      <w:r>
        <w:t>actions</w:t>
      </w:r>
      <w:r>
        <w:rPr>
          <w:spacing w:val="-2"/>
        </w:rPr>
        <w:t xml:space="preserve"> </w:t>
      </w:r>
      <w:r>
        <w:t>will</w:t>
      </w:r>
      <w:r>
        <w:rPr>
          <w:spacing w:val="-2"/>
        </w:rPr>
        <w:t xml:space="preserve"> </w:t>
      </w:r>
      <w:r>
        <w:t>be effective</w:t>
      </w:r>
      <w:r>
        <w:rPr>
          <w:spacing w:val="-3"/>
        </w:rPr>
        <w:t xml:space="preserve"> </w:t>
      </w:r>
      <w:r>
        <w:t>and</w:t>
      </w:r>
      <w:r>
        <w:rPr>
          <w:spacing w:val="-3"/>
        </w:rPr>
        <w:t xml:space="preserve"> </w:t>
      </w:r>
      <w:r>
        <w:t>whether</w:t>
      </w:r>
      <w:r>
        <w:rPr>
          <w:spacing w:val="-3"/>
        </w:rPr>
        <w:t xml:space="preserve"> </w:t>
      </w:r>
      <w:r>
        <w:t>they</w:t>
      </w:r>
      <w:r>
        <w:rPr>
          <w:spacing w:val="-2"/>
        </w:rPr>
        <w:t xml:space="preserve"> </w:t>
      </w:r>
      <w:r>
        <w:t>will</w:t>
      </w:r>
      <w:r>
        <w:rPr>
          <w:spacing w:val="-3"/>
        </w:rPr>
        <w:t xml:space="preserve"> </w:t>
      </w:r>
      <w:r>
        <w:t xml:space="preserve">detrimentally </w:t>
      </w:r>
      <w:r>
        <w:rPr>
          <w:spacing w:val="-53"/>
        </w:rPr>
        <w:t xml:space="preserve"> </w:t>
      </w:r>
      <w:r>
        <w:t>impact</w:t>
      </w:r>
      <w:r>
        <w:rPr>
          <w:spacing w:val="-2"/>
        </w:rPr>
        <w:t xml:space="preserve"> </w:t>
      </w:r>
      <w:r>
        <w:t>coastal</w:t>
      </w:r>
      <w:r>
        <w:rPr>
          <w:spacing w:val="-2"/>
        </w:rPr>
        <w:t xml:space="preserve"> </w:t>
      </w:r>
      <w:r>
        <w:t>processes</w:t>
      </w:r>
    </w:p>
    <w:p w14:paraId="7D2D8727" w14:textId="38687FBD" w:rsidR="00A85F5A" w:rsidRPr="00953DFB" w:rsidRDefault="00A85F5A" w:rsidP="00EA32CC">
      <w:pPr>
        <w:pStyle w:val="BodyText"/>
        <w:rPr>
          <w:rFonts w:ascii="Symbol" w:hAnsi="Symbol"/>
        </w:rPr>
      </w:pPr>
      <w:r>
        <w:t>the State s</w:t>
      </w:r>
      <w:r w:rsidRPr="0D00CB62">
        <w:t xml:space="preserve">ea level rise </w:t>
      </w:r>
      <w:r>
        <w:t xml:space="preserve">planning benchmark </w:t>
      </w:r>
      <w:r w:rsidRPr="0D00CB62">
        <w:t xml:space="preserve">as </w:t>
      </w:r>
      <w:r>
        <w:t xml:space="preserve">set out under </w:t>
      </w:r>
      <w:hyperlink r:id="rId24" w:history="1">
        <w:r w:rsidRPr="006E3630">
          <w:rPr>
            <w:rStyle w:val="Hyperlink"/>
            <w:i/>
          </w:rPr>
          <w:t>Victoria’s Marine and Coastal Policy</w:t>
        </w:r>
      </w:hyperlink>
      <w:r w:rsidRPr="00C56954">
        <w:rPr>
          <w:i/>
        </w:rPr>
        <w:t xml:space="preserve"> </w:t>
      </w:r>
      <w:r w:rsidR="00692079" w:rsidRPr="00B947AE">
        <w:t xml:space="preserve">(DELWP </w:t>
      </w:r>
      <w:r w:rsidRPr="00B947AE">
        <w:t>2020</w:t>
      </w:r>
      <w:r w:rsidR="00692079" w:rsidRPr="00B947AE">
        <w:t>)</w:t>
      </w:r>
      <w:r w:rsidR="00692079">
        <w:t xml:space="preserve"> </w:t>
      </w:r>
      <w:r>
        <w:t xml:space="preserve">made </w:t>
      </w:r>
      <w:r w:rsidRPr="0D00CB62">
        <w:t xml:space="preserve">under the </w:t>
      </w:r>
      <w:r w:rsidRPr="0087427B">
        <w:rPr>
          <w:i/>
        </w:rPr>
        <w:t>Marine and Coastal Act 2018</w:t>
      </w:r>
    </w:p>
    <w:p w14:paraId="56A6D595" w14:textId="77777777" w:rsidR="00A85F5A" w:rsidRPr="00741405" w:rsidRDefault="00A85F5A" w:rsidP="00EA32CC">
      <w:pPr>
        <w:pStyle w:val="BodyText"/>
      </w:pPr>
      <w:r>
        <w:t>a</w:t>
      </w:r>
      <w:r w:rsidRPr="088EB38E">
        <w:t>dvice</w:t>
      </w:r>
      <w:r w:rsidRPr="088EB38E">
        <w:rPr>
          <w:spacing w:val="-4"/>
        </w:rPr>
        <w:t xml:space="preserve"> </w:t>
      </w:r>
      <w:r w:rsidRPr="088EB38E">
        <w:t>from</w:t>
      </w:r>
      <w:r w:rsidRPr="088EB38E">
        <w:rPr>
          <w:spacing w:val="-3"/>
        </w:rPr>
        <w:t xml:space="preserve"> </w:t>
      </w:r>
      <w:r w:rsidRPr="088EB38E">
        <w:t>the</w:t>
      </w:r>
      <w:r w:rsidRPr="088EB38E">
        <w:rPr>
          <w:spacing w:val="-3"/>
        </w:rPr>
        <w:t xml:space="preserve"> </w:t>
      </w:r>
      <w:r w:rsidRPr="088EB38E">
        <w:t>relevant</w:t>
      </w:r>
      <w:r w:rsidRPr="088EB38E">
        <w:rPr>
          <w:spacing w:val="-3"/>
        </w:rPr>
        <w:t xml:space="preserve"> </w:t>
      </w:r>
      <w:r w:rsidRPr="088EB38E">
        <w:t>floodplain</w:t>
      </w:r>
      <w:r w:rsidRPr="088EB38E">
        <w:rPr>
          <w:spacing w:val="-4"/>
        </w:rPr>
        <w:t xml:space="preserve"> </w:t>
      </w:r>
      <w:r w:rsidRPr="088EB38E">
        <w:t>management</w:t>
      </w:r>
      <w:r w:rsidRPr="088EB38E">
        <w:rPr>
          <w:spacing w:val="-1"/>
        </w:rPr>
        <w:t xml:space="preserve"> </w:t>
      </w:r>
      <w:r w:rsidRPr="088EB38E">
        <w:t>authority</w:t>
      </w:r>
      <w:r w:rsidRPr="35D931CE">
        <w:t xml:space="preserve"> or</w:t>
      </w:r>
      <w:r>
        <w:t xml:space="preserve"> any</w:t>
      </w:r>
      <w:r w:rsidRPr="35D931CE">
        <w:t xml:space="preserve"> </w:t>
      </w:r>
      <w:r w:rsidRPr="00741405">
        <w:t xml:space="preserve">coastal erosion advice required under section 75 of the </w:t>
      </w:r>
      <w:r w:rsidRPr="00741405">
        <w:rPr>
          <w:i/>
        </w:rPr>
        <w:t>Marine and Coastal Act 2018</w:t>
      </w:r>
      <w:r w:rsidRPr="35D931CE">
        <w:t>.</w:t>
      </w:r>
    </w:p>
    <w:p w14:paraId="595C9D0E" w14:textId="70725671" w:rsidR="00A85F5A" w:rsidRPr="00D051B4" w:rsidRDefault="004A2C2D" w:rsidP="00EA32CC">
      <w:r>
        <w:rPr>
          <w:sz w:val="18"/>
          <w:szCs w:val="18"/>
          <w:vertAlign w:val="superscript"/>
        </w:rPr>
        <w:t>4</w:t>
      </w:r>
      <w:r w:rsidR="00A85F5A">
        <w:rPr>
          <w:sz w:val="18"/>
          <w:szCs w:val="18"/>
        </w:rPr>
        <w:t xml:space="preserve"> See definition in the </w:t>
      </w:r>
      <w:hyperlink r:id="rId25" w:history="1">
        <w:r w:rsidR="00A85F5A" w:rsidRPr="0085016D">
          <w:rPr>
            <w:rStyle w:val="Hyperlink"/>
            <w:i/>
            <w:sz w:val="18"/>
            <w:szCs w:val="18"/>
          </w:rPr>
          <w:t xml:space="preserve">Marine and Coastal Policy </w:t>
        </w:r>
        <w:r w:rsidR="004555FC" w:rsidRPr="00B947AE">
          <w:rPr>
            <w:rStyle w:val="Hyperlink"/>
            <w:sz w:val="18"/>
            <w:szCs w:val="18"/>
          </w:rPr>
          <w:t xml:space="preserve">(DELWP </w:t>
        </w:r>
        <w:r w:rsidR="00A85F5A" w:rsidRPr="00B947AE">
          <w:rPr>
            <w:rStyle w:val="Hyperlink"/>
            <w:sz w:val="18"/>
            <w:szCs w:val="18"/>
          </w:rPr>
          <w:t>202</w:t>
        </w:r>
        <w:r w:rsidR="004555FC" w:rsidRPr="00B947AE">
          <w:rPr>
            <w:rStyle w:val="Hyperlink"/>
            <w:sz w:val="18"/>
            <w:szCs w:val="18"/>
          </w:rPr>
          <w:t>0)</w:t>
        </w:r>
        <w:r w:rsidR="004555FC" w:rsidRPr="0085016D" w:rsidDel="004555FC">
          <w:rPr>
            <w:rStyle w:val="Hyperlink"/>
            <w:i/>
            <w:sz w:val="18"/>
            <w:szCs w:val="18"/>
          </w:rPr>
          <w:t xml:space="preserve"> </w:t>
        </w:r>
      </w:hyperlink>
    </w:p>
    <w:p w14:paraId="5101F974" w14:textId="138A6FF8" w:rsidR="00A85F5A" w:rsidRPr="008E66C9" w:rsidRDefault="00A85F5A" w:rsidP="006E5AD6">
      <w:pPr>
        <w:pStyle w:val="Heading3"/>
      </w:pPr>
      <w:r w:rsidRPr="008E66C9">
        <w:t>Landslip</w:t>
      </w:r>
      <w:r w:rsidRPr="008E66C9">
        <w:rPr>
          <w:spacing w:val="-1"/>
        </w:rPr>
        <w:t xml:space="preserve"> </w:t>
      </w:r>
      <w:r w:rsidRPr="008E66C9">
        <w:t>and</w:t>
      </w:r>
      <w:r w:rsidRPr="008E66C9">
        <w:rPr>
          <w:spacing w:val="-3"/>
        </w:rPr>
        <w:t xml:space="preserve"> </w:t>
      </w:r>
      <w:r w:rsidRPr="008E66C9">
        <w:t>landslide</w:t>
      </w:r>
    </w:p>
    <w:p w14:paraId="53CBA909" w14:textId="77777777" w:rsidR="00A85F5A" w:rsidRPr="00FB1557" w:rsidRDefault="00A85F5A" w:rsidP="006E5AD6">
      <w:r>
        <w:t>An amendment</w:t>
      </w:r>
      <w:r>
        <w:rPr>
          <w:spacing w:val="-3"/>
        </w:rPr>
        <w:t xml:space="preserve"> </w:t>
      </w:r>
      <w:r>
        <w:t>affecting</w:t>
      </w:r>
      <w:r>
        <w:rPr>
          <w:spacing w:val="-2"/>
        </w:rPr>
        <w:t xml:space="preserve"> </w:t>
      </w:r>
      <w:r w:rsidRPr="00FB1557">
        <w:t>land</w:t>
      </w:r>
      <w:r w:rsidRPr="00FB1557">
        <w:rPr>
          <w:spacing w:val="-1"/>
        </w:rPr>
        <w:t xml:space="preserve"> </w:t>
      </w:r>
      <w:r w:rsidRPr="00FB1557">
        <w:t>exposed</w:t>
      </w:r>
      <w:r w:rsidRPr="00FB1557">
        <w:rPr>
          <w:spacing w:val="-3"/>
        </w:rPr>
        <w:t xml:space="preserve"> </w:t>
      </w:r>
      <w:r w:rsidRPr="00FB1557">
        <w:t>to</w:t>
      </w:r>
      <w:r w:rsidRPr="00FB1557">
        <w:rPr>
          <w:spacing w:val="-1"/>
        </w:rPr>
        <w:t xml:space="preserve"> </w:t>
      </w:r>
      <w:r w:rsidRPr="00FB1557">
        <w:t>landslip</w:t>
      </w:r>
      <w:r w:rsidRPr="00FB1557">
        <w:rPr>
          <w:spacing w:val="-1"/>
        </w:rPr>
        <w:t xml:space="preserve"> </w:t>
      </w:r>
      <w:r w:rsidRPr="00FB1557">
        <w:t>and</w:t>
      </w:r>
      <w:r w:rsidRPr="00FB1557">
        <w:rPr>
          <w:spacing w:val="-1"/>
        </w:rPr>
        <w:t xml:space="preserve"> </w:t>
      </w:r>
      <w:r w:rsidRPr="00FB1557">
        <w:t>landslide hazard</w:t>
      </w:r>
      <w:r w:rsidRPr="00FB1557">
        <w:rPr>
          <w:spacing w:val="-3"/>
        </w:rPr>
        <w:t xml:space="preserve"> </w:t>
      </w:r>
      <w:r w:rsidRPr="00FB1557">
        <w:t>should</w:t>
      </w:r>
      <w:r w:rsidRPr="00FB1557">
        <w:rPr>
          <w:spacing w:val="-1"/>
        </w:rPr>
        <w:t xml:space="preserve"> </w:t>
      </w:r>
      <w:r w:rsidRPr="00FB1557">
        <w:t>be</w:t>
      </w:r>
      <w:r w:rsidRPr="00FB1557">
        <w:rPr>
          <w:spacing w:val="-2"/>
        </w:rPr>
        <w:t xml:space="preserve"> </w:t>
      </w:r>
      <w:r w:rsidRPr="00FB1557">
        <w:t>informed</w:t>
      </w:r>
      <w:r w:rsidRPr="00FB1557">
        <w:rPr>
          <w:spacing w:val="-1"/>
        </w:rPr>
        <w:t xml:space="preserve"> </w:t>
      </w:r>
      <w:r w:rsidRPr="00FB1557">
        <w:t>by</w:t>
      </w:r>
      <w:r w:rsidRPr="00FB1557">
        <w:rPr>
          <w:spacing w:val="-2"/>
        </w:rPr>
        <w:t xml:space="preserve"> </w:t>
      </w:r>
      <w:r w:rsidRPr="00FB1557">
        <w:t>the</w:t>
      </w:r>
      <w:r w:rsidRPr="00FB1557">
        <w:rPr>
          <w:spacing w:val="-1"/>
        </w:rPr>
        <w:t xml:space="preserve"> </w:t>
      </w:r>
      <w:r w:rsidRPr="00FB1557">
        <w:t>following:</w:t>
      </w:r>
    </w:p>
    <w:p w14:paraId="4720AC90" w14:textId="0D0148C8" w:rsidR="00A85F5A" w:rsidRPr="00BA1966" w:rsidRDefault="00A85F5A" w:rsidP="006E5AD6">
      <w:pPr>
        <w:pStyle w:val="BodyText"/>
      </w:pPr>
      <w:r w:rsidRPr="00FB1557">
        <w:t xml:space="preserve">a geotechnical assessment </w:t>
      </w:r>
      <w:r>
        <w:t xml:space="preserve">based on </w:t>
      </w:r>
      <w:r w:rsidRPr="00EB3B94">
        <w:t xml:space="preserve">best available </w:t>
      </w:r>
      <w:r>
        <w:t xml:space="preserve">information and modelling on the potential </w:t>
      </w:r>
      <w:r w:rsidRPr="00EB3B94">
        <w:t>for increased climate hazards</w:t>
      </w:r>
      <w:r w:rsidR="00C2625D">
        <w:rPr>
          <w:vertAlign w:val="superscript"/>
        </w:rPr>
        <w:t>5</w:t>
      </w:r>
      <w:r w:rsidRPr="00EB3B94">
        <w:t xml:space="preserve"> and any</w:t>
      </w:r>
      <w:r w:rsidRPr="73516B4E">
        <w:t xml:space="preserve"> other </w:t>
      </w:r>
      <w:r>
        <w:t>applicable site specific information, considering risks and consequences for people, infrastructure or the environment</w:t>
      </w:r>
    </w:p>
    <w:p w14:paraId="4B88F88A" w14:textId="77777777" w:rsidR="00A85F5A" w:rsidRPr="006D69B1" w:rsidRDefault="00A85F5A" w:rsidP="006E5AD6">
      <w:pPr>
        <w:pStyle w:val="BodyText"/>
        <w:rPr>
          <w:rFonts w:ascii="Symbol" w:hAnsi="Symbol"/>
        </w:rPr>
      </w:pPr>
      <w:r>
        <w:t>an evaluation of the suitability of the land for new use and development in areas prone to landslip and landslide</w:t>
      </w:r>
    </w:p>
    <w:p w14:paraId="60B39302" w14:textId="392F9DFD" w:rsidR="00A85F5A" w:rsidRDefault="00A85F5A" w:rsidP="006E5AD6">
      <w:pPr>
        <w:pStyle w:val="BodyText"/>
        <w:rPr>
          <w:rFonts w:ascii="Symbol" w:hAnsi="Symbol"/>
        </w:rPr>
      </w:pPr>
      <w:r>
        <w:t>an</w:t>
      </w:r>
      <w:r>
        <w:rPr>
          <w:spacing w:val="-4"/>
        </w:rPr>
        <w:t xml:space="preserve"> </w:t>
      </w:r>
      <w:r>
        <w:t>evaluation</w:t>
      </w:r>
      <w:r>
        <w:rPr>
          <w:spacing w:val="-1"/>
        </w:rPr>
        <w:t xml:space="preserve"> </w:t>
      </w:r>
      <w:r>
        <w:t>of</w:t>
      </w:r>
      <w:r>
        <w:rPr>
          <w:spacing w:val="-3"/>
        </w:rPr>
        <w:t xml:space="preserve"> </w:t>
      </w:r>
      <w:r>
        <w:t>alternate</w:t>
      </w:r>
      <w:r>
        <w:rPr>
          <w:spacing w:val="-1"/>
        </w:rPr>
        <w:t xml:space="preserve"> </w:t>
      </w:r>
      <w:r>
        <w:t>locations</w:t>
      </w:r>
      <w:r>
        <w:rPr>
          <w:spacing w:val="-2"/>
        </w:rPr>
        <w:t xml:space="preserve"> </w:t>
      </w:r>
      <w:r>
        <w:t>for</w:t>
      </w:r>
      <w:r>
        <w:rPr>
          <w:spacing w:val="-2"/>
        </w:rPr>
        <w:t xml:space="preserve"> </w:t>
      </w:r>
      <w:r>
        <w:t>settlement</w:t>
      </w:r>
      <w:r>
        <w:rPr>
          <w:spacing w:val="-1"/>
        </w:rPr>
        <w:t xml:space="preserve"> </w:t>
      </w:r>
      <w:r>
        <w:t>growth,</w:t>
      </w:r>
      <w:r>
        <w:rPr>
          <w:spacing w:val="-3"/>
        </w:rPr>
        <w:t xml:space="preserve"> </w:t>
      </w:r>
      <w:r>
        <w:t>and</w:t>
      </w:r>
      <w:r>
        <w:rPr>
          <w:spacing w:val="-1"/>
        </w:rPr>
        <w:t xml:space="preserve"> </w:t>
      </w:r>
      <w:r>
        <w:t>new land</w:t>
      </w:r>
      <w:r>
        <w:rPr>
          <w:spacing w:val="-3"/>
        </w:rPr>
        <w:t xml:space="preserve"> </w:t>
      </w:r>
      <w:r>
        <w:t>use</w:t>
      </w:r>
      <w:r>
        <w:rPr>
          <w:spacing w:val="-1"/>
        </w:rPr>
        <w:t xml:space="preserve"> </w:t>
      </w:r>
      <w:r>
        <w:t>and</w:t>
      </w:r>
      <w:r>
        <w:rPr>
          <w:spacing w:val="-2"/>
        </w:rPr>
        <w:t xml:space="preserve"> </w:t>
      </w:r>
      <w:r>
        <w:t>development,</w:t>
      </w:r>
      <w:r>
        <w:rPr>
          <w:spacing w:val="-1"/>
        </w:rPr>
        <w:t xml:space="preserve"> </w:t>
      </w:r>
      <w:r>
        <w:t>to</w:t>
      </w:r>
      <w:r>
        <w:rPr>
          <w:spacing w:val="-1"/>
        </w:rPr>
        <w:t xml:space="preserve"> </w:t>
      </w:r>
      <w:r>
        <w:t>avoid</w:t>
      </w:r>
      <w:r>
        <w:rPr>
          <w:spacing w:val="-1"/>
        </w:rPr>
        <w:t xml:space="preserve"> </w:t>
      </w:r>
      <w:r>
        <w:t>or</w:t>
      </w:r>
      <w:r w:rsidR="00AE1354">
        <w:t xml:space="preserve"> </w:t>
      </w:r>
      <w:r>
        <w:rPr>
          <w:spacing w:val="-52"/>
        </w:rPr>
        <w:t xml:space="preserve"> </w:t>
      </w:r>
      <w:r>
        <w:t>minimise</w:t>
      </w:r>
      <w:r>
        <w:rPr>
          <w:spacing w:val="-2"/>
        </w:rPr>
        <w:t xml:space="preserve"> </w:t>
      </w:r>
      <w:r>
        <w:t>the</w:t>
      </w:r>
      <w:r>
        <w:rPr>
          <w:spacing w:val="-2"/>
        </w:rPr>
        <w:t xml:space="preserve"> </w:t>
      </w:r>
      <w:r>
        <w:t>risk to people</w:t>
      </w:r>
      <w:r>
        <w:rPr>
          <w:spacing w:val="1"/>
        </w:rPr>
        <w:t xml:space="preserve"> </w:t>
      </w:r>
      <w:r>
        <w:t>and</w:t>
      </w:r>
      <w:r>
        <w:rPr>
          <w:spacing w:val="-2"/>
        </w:rPr>
        <w:t xml:space="preserve"> </w:t>
      </w:r>
      <w:r>
        <w:t>future</w:t>
      </w:r>
      <w:r>
        <w:rPr>
          <w:spacing w:val="1"/>
        </w:rPr>
        <w:t xml:space="preserve"> </w:t>
      </w:r>
      <w:r>
        <w:t>development</w:t>
      </w:r>
      <w:r>
        <w:rPr>
          <w:spacing w:val="-2"/>
        </w:rPr>
        <w:t xml:space="preserve"> </w:t>
      </w:r>
      <w:r>
        <w:t>from</w:t>
      </w:r>
      <w:r>
        <w:rPr>
          <w:spacing w:val="-1"/>
        </w:rPr>
        <w:t xml:space="preserve"> </w:t>
      </w:r>
      <w:r>
        <w:t>landslip and</w:t>
      </w:r>
      <w:r>
        <w:rPr>
          <w:spacing w:val="1"/>
        </w:rPr>
        <w:t xml:space="preserve"> </w:t>
      </w:r>
      <w:r>
        <w:t>landslide</w:t>
      </w:r>
    </w:p>
    <w:p w14:paraId="641B9B80" w14:textId="77777777" w:rsidR="00A85F5A" w:rsidRPr="00091A70" w:rsidRDefault="00A85F5A" w:rsidP="006E5AD6">
      <w:pPr>
        <w:pStyle w:val="BodyText"/>
        <w:rPr>
          <w:rFonts w:ascii="Symbol" w:hAnsi="Symbol"/>
        </w:rPr>
      </w:pPr>
      <w:r>
        <w:t>consideration</w:t>
      </w:r>
      <w:r>
        <w:rPr>
          <w:spacing w:val="-1"/>
        </w:rPr>
        <w:t xml:space="preserve"> </w:t>
      </w:r>
      <w:r>
        <w:t>of</w:t>
      </w:r>
      <w:r>
        <w:rPr>
          <w:spacing w:val="-3"/>
        </w:rPr>
        <w:t xml:space="preserve"> </w:t>
      </w:r>
      <w:r>
        <w:t>the integration</w:t>
      </w:r>
      <w:r>
        <w:rPr>
          <w:spacing w:val="-3"/>
        </w:rPr>
        <w:t xml:space="preserve"> </w:t>
      </w:r>
      <w:r>
        <w:t>of strategic</w:t>
      </w:r>
      <w:r>
        <w:rPr>
          <w:spacing w:val="-2"/>
        </w:rPr>
        <w:t xml:space="preserve"> </w:t>
      </w:r>
      <w:r>
        <w:t>land use</w:t>
      </w:r>
      <w:r>
        <w:rPr>
          <w:spacing w:val="-3"/>
        </w:rPr>
        <w:t xml:space="preserve"> </w:t>
      </w:r>
      <w:r>
        <w:t>planning</w:t>
      </w:r>
      <w:r>
        <w:rPr>
          <w:spacing w:val="-2"/>
        </w:rPr>
        <w:t xml:space="preserve"> </w:t>
      </w:r>
      <w:r>
        <w:t>with</w:t>
      </w:r>
      <w:r>
        <w:rPr>
          <w:spacing w:val="-1"/>
        </w:rPr>
        <w:t xml:space="preserve"> </w:t>
      </w:r>
      <w:r>
        <w:t>emergency</w:t>
      </w:r>
      <w:r>
        <w:rPr>
          <w:spacing w:val="-1"/>
        </w:rPr>
        <w:t xml:space="preserve"> </w:t>
      </w:r>
      <w:r>
        <w:t>management</w:t>
      </w:r>
      <w:r>
        <w:rPr>
          <w:spacing w:val="-3"/>
        </w:rPr>
        <w:t xml:space="preserve"> </w:t>
      </w:r>
      <w:r>
        <w:t>decision</w:t>
      </w:r>
      <w:r>
        <w:rPr>
          <w:spacing w:val="-2"/>
        </w:rPr>
        <w:t xml:space="preserve"> </w:t>
      </w:r>
      <w:r>
        <w:t>making.</w:t>
      </w:r>
    </w:p>
    <w:p w14:paraId="12296D4C" w14:textId="77777777" w:rsidR="00A85F5A" w:rsidRDefault="00A85F5A" w:rsidP="006E5AD6">
      <w:r>
        <w:t>L</w:t>
      </w:r>
      <w:r w:rsidRPr="009824B9">
        <w:t>andslip is a more generic, non-technical term (</w:t>
      </w:r>
      <w:r>
        <w:t xml:space="preserve">it </w:t>
      </w:r>
      <w:r w:rsidRPr="009824B9">
        <w:t>implies only one main movement type) historically used in</w:t>
      </w:r>
      <w:r w:rsidRPr="009824B9">
        <w:rPr>
          <w:spacing w:val="-53"/>
        </w:rPr>
        <w:t xml:space="preserve"> </w:t>
      </w:r>
      <w:r w:rsidRPr="009824B9">
        <w:t>Victoria’s planning schemes.</w:t>
      </w:r>
      <w:r w:rsidRPr="009824B9">
        <w:rPr>
          <w:spacing w:val="-2"/>
        </w:rPr>
        <w:t xml:space="preserve"> </w:t>
      </w:r>
      <w:r w:rsidRPr="009824B9">
        <w:t>Landslide</w:t>
      </w:r>
      <w:r w:rsidRPr="009824B9">
        <w:rPr>
          <w:spacing w:val="-2"/>
        </w:rPr>
        <w:t xml:space="preserve"> </w:t>
      </w:r>
      <w:r w:rsidRPr="009824B9">
        <w:t>is a</w:t>
      </w:r>
      <w:r w:rsidRPr="009824B9">
        <w:rPr>
          <w:spacing w:val="-2"/>
        </w:rPr>
        <w:t xml:space="preserve"> </w:t>
      </w:r>
      <w:r w:rsidRPr="009824B9">
        <w:t>technical</w:t>
      </w:r>
      <w:r w:rsidRPr="009824B9">
        <w:rPr>
          <w:spacing w:val="-3"/>
        </w:rPr>
        <w:t xml:space="preserve"> </w:t>
      </w:r>
      <w:r w:rsidRPr="009824B9">
        <w:t>term</w:t>
      </w:r>
      <w:r w:rsidRPr="009824B9">
        <w:rPr>
          <w:spacing w:val="-2"/>
        </w:rPr>
        <w:t xml:space="preserve"> </w:t>
      </w:r>
      <w:r w:rsidRPr="009824B9">
        <w:t xml:space="preserve">used </w:t>
      </w:r>
      <w:r>
        <w:t>by</w:t>
      </w:r>
      <w:r w:rsidRPr="009824B9">
        <w:t xml:space="preserve"> the</w:t>
      </w:r>
      <w:r w:rsidRPr="009824B9">
        <w:rPr>
          <w:spacing w:val="-1"/>
        </w:rPr>
        <w:t xml:space="preserve"> </w:t>
      </w:r>
      <w:r w:rsidRPr="009824B9">
        <w:t>sector</w:t>
      </w:r>
      <w:r w:rsidRPr="009824B9">
        <w:rPr>
          <w:spacing w:val="-2"/>
        </w:rPr>
        <w:t xml:space="preserve"> </w:t>
      </w:r>
      <w:r w:rsidRPr="009824B9">
        <w:t>worldwide.</w:t>
      </w:r>
    </w:p>
    <w:p w14:paraId="5A52B062" w14:textId="40588608" w:rsidR="00A85F5A" w:rsidRPr="006E5AD6" w:rsidRDefault="00C2625D" w:rsidP="006E5AD6">
      <w:pPr>
        <w:rPr>
          <w:sz w:val="18"/>
          <w:szCs w:val="18"/>
        </w:rPr>
      </w:pPr>
      <w:r>
        <w:rPr>
          <w:sz w:val="18"/>
          <w:szCs w:val="18"/>
          <w:vertAlign w:val="superscript"/>
        </w:rPr>
        <w:t>5</w:t>
      </w:r>
      <w:r w:rsidR="00A85F5A" w:rsidRPr="006E5AD6">
        <w:rPr>
          <w:sz w:val="18"/>
          <w:szCs w:val="18"/>
        </w:rPr>
        <w:t xml:space="preserve"> </w:t>
      </w:r>
      <w:r w:rsidR="00B552B7" w:rsidRPr="00C4163D">
        <w:rPr>
          <w:sz w:val="16"/>
          <w:szCs w:val="16"/>
        </w:rPr>
        <w:t xml:space="preserve">Refer to </w:t>
      </w:r>
      <w:r w:rsidR="00B552B7">
        <w:rPr>
          <w:sz w:val="16"/>
          <w:szCs w:val="16"/>
        </w:rPr>
        <w:t>Section 3.2.1 ‘</w:t>
      </w:r>
      <w:r w:rsidR="00B552B7" w:rsidRPr="00C4163D">
        <w:rPr>
          <w:sz w:val="16"/>
          <w:szCs w:val="16"/>
        </w:rPr>
        <w:t>Climate change data</w:t>
      </w:r>
      <w:r w:rsidR="00B552B7">
        <w:rPr>
          <w:sz w:val="16"/>
          <w:szCs w:val="16"/>
        </w:rPr>
        <w:t>’</w:t>
      </w:r>
      <w:r w:rsidR="00B552B7" w:rsidRPr="00C4163D">
        <w:rPr>
          <w:sz w:val="16"/>
          <w:szCs w:val="16"/>
        </w:rPr>
        <w:t xml:space="preserve"> </w:t>
      </w:r>
      <w:r w:rsidR="00B552B7">
        <w:rPr>
          <w:sz w:val="16"/>
          <w:szCs w:val="16"/>
        </w:rPr>
        <w:t xml:space="preserve">on </w:t>
      </w:r>
      <w:r w:rsidR="00B552B7" w:rsidRPr="00C4163D">
        <w:rPr>
          <w:sz w:val="16"/>
          <w:szCs w:val="16"/>
        </w:rPr>
        <w:t>p</w:t>
      </w:r>
      <w:r w:rsidR="00B552B7">
        <w:rPr>
          <w:sz w:val="16"/>
          <w:szCs w:val="16"/>
        </w:rPr>
        <w:t>a</w:t>
      </w:r>
      <w:r w:rsidR="00B552B7" w:rsidRPr="00C4163D">
        <w:rPr>
          <w:sz w:val="16"/>
          <w:szCs w:val="16"/>
        </w:rPr>
        <w:t>g</w:t>
      </w:r>
      <w:r w:rsidR="00B552B7">
        <w:rPr>
          <w:sz w:val="16"/>
          <w:szCs w:val="16"/>
        </w:rPr>
        <w:t>e</w:t>
      </w:r>
      <w:r w:rsidR="00B552B7" w:rsidRPr="00C4163D">
        <w:rPr>
          <w:sz w:val="16"/>
          <w:szCs w:val="16"/>
        </w:rPr>
        <w:t xml:space="preserve"> </w:t>
      </w:r>
      <w:r w:rsidR="00B552B7">
        <w:rPr>
          <w:sz w:val="16"/>
          <w:szCs w:val="16"/>
        </w:rPr>
        <w:t>8</w:t>
      </w:r>
      <w:r w:rsidR="00B552B7" w:rsidRPr="00C4163D">
        <w:rPr>
          <w:sz w:val="16"/>
          <w:szCs w:val="16"/>
        </w:rPr>
        <w:t xml:space="preserve"> of th</w:t>
      </w:r>
      <w:r w:rsidR="00B552B7">
        <w:rPr>
          <w:sz w:val="16"/>
          <w:szCs w:val="16"/>
        </w:rPr>
        <w:t>is</w:t>
      </w:r>
      <w:r w:rsidR="00B552B7" w:rsidRPr="00C4163D">
        <w:rPr>
          <w:sz w:val="16"/>
          <w:szCs w:val="16"/>
        </w:rPr>
        <w:t xml:space="preserve"> guideline</w:t>
      </w:r>
      <w:r w:rsidR="00A85F5A" w:rsidRPr="006E5AD6">
        <w:rPr>
          <w:sz w:val="18"/>
          <w:szCs w:val="18"/>
        </w:rPr>
        <w:t>.</w:t>
      </w:r>
    </w:p>
    <w:p w14:paraId="31458D26" w14:textId="77777777" w:rsidR="00A85F5A" w:rsidRPr="00C92BDB" w:rsidRDefault="00A85F5A" w:rsidP="006E5AD6">
      <w:pPr>
        <w:pStyle w:val="Heading3"/>
        <w:rPr>
          <w:rFonts w:ascii="Symbol" w:hAnsi="Symbol" w:hint="eastAsia"/>
        </w:rPr>
      </w:pPr>
      <w:r w:rsidRPr="00977158">
        <w:t>Heatwave</w:t>
      </w:r>
    </w:p>
    <w:p w14:paraId="5444B3B6" w14:textId="77777777" w:rsidR="00A85F5A" w:rsidRPr="00FB1557" w:rsidRDefault="00A85F5A" w:rsidP="006E5AD6">
      <w:r>
        <w:t>An</w:t>
      </w:r>
      <w:r w:rsidRPr="001033F3">
        <w:rPr>
          <w:spacing w:val="-1"/>
        </w:rPr>
        <w:t xml:space="preserve"> </w:t>
      </w:r>
      <w:r w:rsidRPr="001033F3">
        <w:t>amendment</w:t>
      </w:r>
      <w:r w:rsidRPr="001033F3">
        <w:rPr>
          <w:spacing w:val="-3"/>
        </w:rPr>
        <w:t xml:space="preserve"> </w:t>
      </w:r>
      <w:r>
        <w:rPr>
          <w:spacing w:val="-3"/>
        </w:rPr>
        <w:t xml:space="preserve">that </w:t>
      </w:r>
      <w:r w:rsidRPr="001033F3">
        <w:t>will facilitate</w:t>
      </w:r>
      <w:r w:rsidRPr="001033F3">
        <w:rPr>
          <w:spacing w:val="-3"/>
        </w:rPr>
        <w:t xml:space="preserve"> </w:t>
      </w:r>
      <w:r w:rsidRPr="001033F3">
        <w:t>or enable</w:t>
      </w:r>
      <w:r w:rsidRPr="001033F3">
        <w:rPr>
          <w:spacing w:val="-3"/>
        </w:rPr>
        <w:t xml:space="preserve"> </w:t>
      </w:r>
      <w:r w:rsidRPr="001033F3">
        <w:t>new</w:t>
      </w:r>
      <w:r w:rsidRPr="001033F3">
        <w:rPr>
          <w:spacing w:val="-3"/>
        </w:rPr>
        <w:t xml:space="preserve"> </w:t>
      </w:r>
      <w:r w:rsidRPr="001033F3">
        <w:t>or</w:t>
      </w:r>
      <w:r w:rsidRPr="001033F3">
        <w:rPr>
          <w:spacing w:val="-2"/>
        </w:rPr>
        <w:t xml:space="preserve"> </w:t>
      </w:r>
      <w:r w:rsidRPr="001033F3">
        <w:t>more intensive</w:t>
      </w:r>
      <w:r w:rsidRPr="001033F3">
        <w:rPr>
          <w:spacing w:val="-1"/>
        </w:rPr>
        <w:t xml:space="preserve"> </w:t>
      </w:r>
      <w:r w:rsidRPr="001033F3">
        <w:t>urban</w:t>
      </w:r>
      <w:r w:rsidRPr="001033F3">
        <w:rPr>
          <w:spacing w:val="-3"/>
        </w:rPr>
        <w:t xml:space="preserve"> </w:t>
      </w:r>
      <w:r w:rsidRPr="001033F3">
        <w:t>development</w:t>
      </w:r>
      <w:r w:rsidRPr="001033F3">
        <w:rPr>
          <w:spacing w:val="-1"/>
        </w:rPr>
        <w:t xml:space="preserve"> </w:t>
      </w:r>
      <w:r w:rsidRPr="001033F3">
        <w:t>should</w:t>
      </w:r>
      <w:r w:rsidRPr="001033F3">
        <w:rPr>
          <w:spacing w:val="-1"/>
        </w:rPr>
        <w:t xml:space="preserve"> </w:t>
      </w:r>
      <w:r w:rsidRPr="001033F3">
        <w:t>be</w:t>
      </w:r>
      <w:r w:rsidRPr="001033F3">
        <w:rPr>
          <w:spacing w:val="-1"/>
        </w:rPr>
        <w:t xml:space="preserve"> </w:t>
      </w:r>
      <w:r w:rsidRPr="001033F3">
        <w:t>informed</w:t>
      </w:r>
      <w:r w:rsidRPr="001033F3">
        <w:rPr>
          <w:spacing w:val="-1"/>
        </w:rPr>
        <w:t xml:space="preserve"> </w:t>
      </w:r>
      <w:r w:rsidRPr="001033F3">
        <w:t>by the</w:t>
      </w:r>
      <w:r>
        <w:t xml:space="preserve"> </w:t>
      </w:r>
      <w:r w:rsidRPr="00FB1557">
        <w:t>following:</w:t>
      </w:r>
    </w:p>
    <w:p w14:paraId="6AAF1CD7" w14:textId="1F1ABCD8" w:rsidR="00A85F5A" w:rsidRPr="00BA1966" w:rsidRDefault="00A85F5A" w:rsidP="006E5AD6">
      <w:pPr>
        <w:pStyle w:val="BodyText"/>
      </w:pPr>
      <w:r>
        <w:t xml:space="preserve">an assessment of heatwave exposure in a location, based on </w:t>
      </w:r>
      <w:r w:rsidRPr="00EB3B94">
        <w:t xml:space="preserve">best available </w:t>
      </w:r>
      <w:r>
        <w:t xml:space="preserve">information and modelling on the potential </w:t>
      </w:r>
      <w:r w:rsidRPr="00EB3B94">
        <w:t>for increased climate hazards</w:t>
      </w:r>
      <w:r w:rsidR="004E39E8">
        <w:rPr>
          <w:vertAlign w:val="superscript"/>
        </w:rPr>
        <w:t>6</w:t>
      </w:r>
      <w:r w:rsidRPr="00EB3B94">
        <w:t xml:space="preserve"> and any</w:t>
      </w:r>
      <w:r w:rsidRPr="73516B4E">
        <w:t xml:space="preserve"> other </w:t>
      </w:r>
      <w:r>
        <w:t>applicable site specific information, considering risks and consequences for people, infrastructure or the environment</w:t>
      </w:r>
    </w:p>
    <w:p w14:paraId="5AF24822" w14:textId="77777777" w:rsidR="00A85F5A" w:rsidRPr="00F1199B" w:rsidRDefault="00A85F5A" w:rsidP="006E5AD6">
      <w:pPr>
        <w:pStyle w:val="BodyText"/>
        <w:rPr>
          <w:rFonts w:ascii="Symbol" w:hAnsi="Symbol"/>
        </w:rPr>
      </w:pPr>
      <w:r>
        <w:t xml:space="preserve">an evaluation of the location for future open spaces (treed and/or irrigated), </w:t>
      </w:r>
      <w:r w:rsidRPr="00F1199B">
        <w:t>open water (</w:t>
      </w:r>
      <w:r>
        <w:t xml:space="preserve">wetlands and </w:t>
      </w:r>
      <w:r w:rsidRPr="00F1199B">
        <w:t>ornamental lakes</w:t>
      </w:r>
      <w:r>
        <w:t>) and water sensitive urban design infrastructure</w:t>
      </w:r>
      <w:r w:rsidRPr="00F1199B">
        <w:t xml:space="preserve"> </w:t>
      </w:r>
      <w:r>
        <w:t xml:space="preserve">to provide downwind cooling benefits (based on summer </w:t>
      </w:r>
      <w:r w:rsidRPr="00D92853">
        <w:t xml:space="preserve">prevailing </w:t>
      </w:r>
      <w:r>
        <w:t>wind</w:t>
      </w:r>
      <w:r>
        <w:rPr>
          <w:spacing w:val="1"/>
        </w:rPr>
        <w:t xml:space="preserve"> </w:t>
      </w:r>
      <w:r>
        <w:t xml:space="preserve">patterns) for areas with heat exposure (‘hotspots’) such as high-density residential areas. </w:t>
      </w:r>
    </w:p>
    <w:p w14:paraId="1BC62D00" w14:textId="77777777" w:rsidR="00A85F5A" w:rsidRDefault="00A85F5A" w:rsidP="006E5AD6">
      <w:pPr>
        <w:pStyle w:val="BodyText"/>
      </w:pPr>
      <w:r>
        <w:t xml:space="preserve">scope to </w:t>
      </w:r>
      <w:r w:rsidRPr="00F1199B">
        <w:t>orient streets to utilise the heat dispersal benefits of cooler prevailing summer breezes (</w:t>
      </w:r>
      <w:r>
        <w:t xml:space="preserve">i.e. </w:t>
      </w:r>
      <w:r w:rsidRPr="00F1199B">
        <w:t xml:space="preserve">adjusting street </w:t>
      </w:r>
      <w:r>
        <w:rPr>
          <w:bCs/>
        </w:rPr>
        <w:t>corridors for planned higher density areas</w:t>
      </w:r>
      <w:r w:rsidRPr="00F1199B">
        <w:t xml:space="preserve"> parallel to prevailing wind where feasible) </w:t>
      </w:r>
    </w:p>
    <w:p w14:paraId="1CB91B04" w14:textId="376A2349" w:rsidR="00A85F5A" w:rsidRDefault="00A85F5A" w:rsidP="006E5AD6">
      <w:pPr>
        <w:pStyle w:val="BodyText"/>
        <w:rPr>
          <w:rFonts w:ascii="Symbol" w:hAnsi="Symbol"/>
        </w:rPr>
      </w:pPr>
      <w:r>
        <w:t>an</w:t>
      </w:r>
      <w:r>
        <w:rPr>
          <w:spacing w:val="-3"/>
        </w:rPr>
        <w:t xml:space="preserve"> </w:t>
      </w:r>
      <w:r>
        <w:t>evaluation</w:t>
      </w:r>
      <w:r>
        <w:rPr>
          <w:spacing w:val="-2"/>
        </w:rPr>
        <w:t xml:space="preserve"> </w:t>
      </w:r>
      <w:r>
        <w:t>of</w:t>
      </w:r>
      <w:r>
        <w:rPr>
          <w:spacing w:val="-3"/>
        </w:rPr>
        <w:t xml:space="preserve"> </w:t>
      </w:r>
      <w:r>
        <w:t>proposed</w:t>
      </w:r>
      <w:r>
        <w:rPr>
          <w:spacing w:val="1"/>
        </w:rPr>
        <w:t xml:space="preserve"> </w:t>
      </w:r>
      <w:r>
        <w:t>canopy</w:t>
      </w:r>
      <w:r>
        <w:rPr>
          <w:spacing w:val="-2"/>
        </w:rPr>
        <w:t xml:space="preserve"> </w:t>
      </w:r>
      <w:r>
        <w:t>tree</w:t>
      </w:r>
      <w:r>
        <w:rPr>
          <w:spacing w:val="-1"/>
        </w:rPr>
        <w:t xml:space="preserve"> </w:t>
      </w:r>
      <w:r>
        <w:t>cover</w:t>
      </w:r>
      <w:r>
        <w:rPr>
          <w:spacing w:val="-3"/>
        </w:rPr>
        <w:t xml:space="preserve"> </w:t>
      </w:r>
      <w:r>
        <w:t>to</w:t>
      </w:r>
      <w:r>
        <w:rPr>
          <w:spacing w:val="-3"/>
        </w:rPr>
        <w:t xml:space="preserve"> </w:t>
      </w:r>
      <w:r>
        <w:t>shade</w:t>
      </w:r>
      <w:r>
        <w:rPr>
          <w:spacing w:val="-1"/>
        </w:rPr>
        <w:t xml:space="preserve"> </w:t>
      </w:r>
      <w:r>
        <w:t>the</w:t>
      </w:r>
      <w:r>
        <w:rPr>
          <w:spacing w:val="-1"/>
        </w:rPr>
        <w:t xml:space="preserve"> </w:t>
      </w:r>
      <w:r>
        <w:t>public</w:t>
      </w:r>
      <w:r>
        <w:rPr>
          <w:spacing w:val="-2"/>
        </w:rPr>
        <w:t xml:space="preserve"> </w:t>
      </w:r>
      <w:r>
        <w:t>realm,</w:t>
      </w:r>
      <w:r>
        <w:rPr>
          <w:spacing w:val="-3"/>
        </w:rPr>
        <w:t xml:space="preserve"> </w:t>
      </w:r>
      <w:r>
        <w:t>open</w:t>
      </w:r>
      <w:r>
        <w:rPr>
          <w:spacing w:val="-3"/>
        </w:rPr>
        <w:t xml:space="preserve"> </w:t>
      </w:r>
      <w:r>
        <w:t>space</w:t>
      </w:r>
      <w:r>
        <w:rPr>
          <w:spacing w:val="-3"/>
        </w:rPr>
        <w:t xml:space="preserve"> </w:t>
      </w:r>
      <w:r>
        <w:t>and</w:t>
      </w:r>
      <w:r>
        <w:rPr>
          <w:spacing w:val="-1"/>
        </w:rPr>
        <w:t xml:space="preserve"> </w:t>
      </w:r>
      <w:r>
        <w:t>along</w:t>
      </w:r>
      <w:r>
        <w:rPr>
          <w:spacing w:val="-1"/>
        </w:rPr>
        <w:t xml:space="preserve"> </w:t>
      </w:r>
      <w:r>
        <w:t>footpaths</w:t>
      </w:r>
      <w:r>
        <w:rPr>
          <w:spacing w:val="-2"/>
        </w:rPr>
        <w:t xml:space="preserve"> </w:t>
      </w:r>
      <w:r>
        <w:t>for</w:t>
      </w:r>
      <w:r w:rsidR="003171C7">
        <w:t xml:space="preserve"> </w:t>
      </w:r>
      <w:r>
        <w:rPr>
          <w:spacing w:val="-53"/>
        </w:rPr>
        <w:t xml:space="preserve"> </w:t>
      </w:r>
      <w:r>
        <w:t>pedestrians</w:t>
      </w:r>
      <w:r>
        <w:rPr>
          <w:spacing w:val="-1"/>
        </w:rPr>
        <w:t xml:space="preserve"> </w:t>
      </w:r>
      <w:r>
        <w:t>and</w:t>
      </w:r>
      <w:r>
        <w:rPr>
          <w:spacing w:val="-1"/>
        </w:rPr>
        <w:t xml:space="preserve"> </w:t>
      </w:r>
      <w:r>
        <w:t>for</w:t>
      </w:r>
      <w:r>
        <w:rPr>
          <w:spacing w:val="-1"/>
        </w:rPr>
        <w:t xml:space="preserve"> </w:t>
      </w:r>
      <w:r>
        <w:t>places</w:t>
      </w:r>
      <w:r>
        <w:rPr>
          <w:spacing w:val="2"/>
        </w:rPr>
        <w:t xml:space="preserve"> </w:t>
      </w:r>
      <w:r>
        <w:t>where</w:t>
      </w:r>
      <w:r>
        <w:rPr>
          <w:spacing w:val="-1"/>
        </w:rPr>
        <w:t xml:space="preserve"> </w:t>
      </w:r>
      <w:r>
        <w:t>people</w:t>
      </w:r>
      <w:r>
        <w:rPr>
          <w:spacing w:val="1"/>
        </w:rPr>
        <w:t xml:space="preserve"> </w:t>
      </w:r>
      <w:r>
        <w:t>congregate</w:t>
      </w:r>
    </w:p>
    <w:p w14:paraId="044E1CE8" w14:textId="2061C767" w:rsidR="00A85F5A" w:rsidRDefault="00A85F5A" w:rsidP="006E5AD6">
      <w:pPr>
        <w:pStyle w:val="BodyText"/>
        <w:rPr>
          <w:rFonts w:ascii="Symbol" w:hAnsi="Symbol"/>
        </w:rPr>
      </w:pPr>
      <w:r>
        <w:t>whether public open space and other planted areas are supported by integrated water management elements,</w:t>
      </w:r>
      <w:r>
        <w:rPr>
          <w:spacing w:val="1"/>
        </w:rPr>
        <w:t xml:space="preserve"> </w:t>
      </w:r>
      <w:r>
        <w:t>water</w:t>
      </w:r>
      <w:r>
        <w:rPr>
          <w:spacing w:val="-3"/>
        </w:rPr>
        <w:t xml:space="preserve"> </w:t>
      </w:r>
      <w:r>
        <w:t>sensitive</w:t>
      </w:r>
      <w:r>
        <w:rPr>
          <w:spacing w:val="-1"/>
        </w:rPr>
        <w:t xml:space="preserve"> </w:t>
      </w:r>
      <w:r>
        <w:t>urban</w:t>
      </w:r>
      <w:r>
        <w:rPr>
          <w:spacing w:val="-1"/>
        </w:rPr>
        <w:t xml:space="preserve"> </w:t>
      </w:r>
      <w:r>
        <w:t>design</w:t>
      </w:r>
      <w:r>
        <w:rPr>
          <w:spacing w:val="-4"/>
        </w:rPr>
        <w:t xml:space="preserve"> </w:t>
      </w:r>
      <w:r>
        <w:t>features,</w:t>
      </w:r>
      <w:r>
        <w:rPr>
          <w:spacing w:val="-3"/>
        </w:rPr>
        <w:t xml:space="preserve"> </w:t>
      </w:r>
      <w:r>
        <w:t>recycled</w:t>
      </w:r>
      <w:r>
        <w:rPr>
          <w:spacing w:val="-1"/>
        </w:rPr>
        <w:t xml:space="preserve"> </w:t>
      </w:r>
      <w:r>
        <w:t>water</w:t>
      </w:r>
      <w:r>
        <w:rPr>
          <w:spacing w:val="-1"/>
        </w:rPr>
        <w:t xml:space="preserve"> </w:t>
      </w:r>
      <w:r>
        <w:t>or</w:t>
      </w:r>
      <w:r>
        <w:rPr>
          <w:spacing w:val="-3"/>
        </w:rPr>
        <w:t xml:space="preserve"> </w:t>
      </w:r>
      <w:r>
        <w:t>alternative</w:t>
      </w:r>
      <w:r>
        <w:rPr>
          <w:spacing w:val="-3"/>
        </w:rPr>
        <w:t xml:space="preserve"> </w:t>
      </w:r>
      <w:r>
        <w:t>water</w:t>
      </w:r>
      <w:r>
        <w:rPr>
          <w:spacing w:val="-3"/>
        </w:rPr>
        <w:t xml:space="preserve"> </w:t>
      </w:r>
      <w:r>
        <w:t>sources</w:t>
      </w:r>
      <w:r>
        <w:rPr>
          <w:spacing w:val="-3"/>
        </w:rPr>
        <w:t xml:space="preserve"> </w:t>
      </w:r>
      <w:r>
        <w:t>and</w:t>
      </w:r>
      <w:r>
        <w:rPr>
          <w:spacing w:val="-3"/>
        </w:rPr>
        <w:t xml:space="preserve"> </w:t>
      </w:r>
      <w:r>
        <w:t>associated</w:t>
      </w:r>
      <w:r>
        <w:rPr>
          <w:spacing w:val="-1"/>
        </w:rPr>
        <w:t xml:space="preserve"> </w:t>
      </w:r>
      <w:r>
        <w:t>infrastructure</w:t>
      </w:r>
    </w:p>
    <w:p w14:paraId="43B7A974" w14:textId="77777777" w:rsidR="00A85F5A" w:rsidRPr="00C1126C" w:rsidRDefault="00A85F5A" w:rsidP="006E5AD6">
      <w:pPr>
        <w:pStyle w:val="BodyText"/>
        <w:rPr>
          <w:rFonts w:ascii="Symbol" w:hAnsi="Symbol"/>
        </w:rPr>
      </w:pPr>
      <w:r>
        <w:t>whether</w:t>
      </w:r>
      <w:r>
        <w:rPr>
          <w:spacing w:val="-3"/>
        </w:rPr>
        <w:t xml:space="preserve"> </w:t>
      </w:r>
      <w:r>
        <w:t>heat</w:t>
      </w:r>
      <w:r>
        <w:rPr>
          <w:spacing w:val="-2"/>
        </w:rPr>
        <w:t xml:space="preserve"> </w:t>
      </w:r>
      <w:r>
        <w:t>amelioration strategies</w:t>
      </w:r>
      <w:r>
        <w:rPr>
          <w:spacing w:val="-3"/>
        </w:rPr>
        <w:t xml:space="preserve"> </w:t>
      </w:r>
      <w:r>
        <w:t>including</w:t>
      </w:r>
      <w:r>
        <w:rPr>
          <w:spacing w:val="-2"/>
        </w:rPr>
        <w:t xml:space="preserve"> </w:t>
      </w:r>
      <w:r>
        <w:t>permeable</w:t>
      </w:r>
      <w:r>
        <w:rPr>
          <w:spacing w:val="-3"/>
        </w:rPr>
        <w:t xml:space="preserve"> </w:t>
      </w:r>
      <w:r>
        <w:t>surfacing,</w:t>
      </w:r>
      <w:r>
        <w:rPr>
          <w:spacing w:val="-4"/>
        </w:rPr>
        <w:t xml:space="preserve"> </w:t>
      </w:r>
      <w:r>
        <w:t>cooling</w:t>
      </w:r>
      <w:r>
        <w:rPr>
          <w:spacing w:val="-4"/>
        </w:rPr>
        <w:t xml:space="preserve"> </w:t>
      </w:r>
      <w:r>
        <w:t>surfaces</w:t>
      </w:r>
      <w:r>
        <w:rPr>
          <w:spacing w:val="-2"/>
        </w:rPr>
        <w:t xml:space="preserve"> </w:t>
      </w:r>
      <w:r>
        <w:t>and</w:t>
      </w:r>
      <w:r>
        <w:rPr>
          <w:spacing w:val="-4"/>
        </w:rPr>
        <w:t xml:space="preserve"> </w:t>
      </w:r>
      <w:r>
        <w:t>materials and shade structures,</w:t>
      </w:r>
      <w:r>
        <w:rPr>
          <w:spacing w:val="-2"/>
        </w:rPr>
        <w:t xml:space="preserve"> </w:t>
      </w:r>
      <w:r>
        <w:t xml:space="preserve">are </w:t>
      </w:r>
      <w:r>
        <w:rPr>
          <w:spacing w:val="-53"/>
        </w:rPr>
        <w:t xml:space="preserve"> </w:t>
      </w:r>
      <w:r>
        <w:t>incorporated into</w:t>
      </w:r>
      <w:r>
        <w:rPr>
          <w:spacing w:val="-2"/>
        </w:rPr>
        <w:t xml:space="preserve"> </w:t>
      </w:r>
      <w:r>
        <w:t>planning</w:t>
      </w:r>
      <w:r>
        <w:rPr>
          <w:spacing w:val="1"/>
        </w:rPr>
        <w:t xml:space="preserve"> </w:t>
      </w:r>
      <w:r>
        <w:t>of</w:t>
      </w:r>
      <w:r>
        <w:rPr>
          <w:spacing w:val="-2"/>
        </w:rPr>
        <w:t xml:space="preserve"> </w:t>
      </w:r>
      <w:r>
        <w:t>public places</w:t>
      </w:r>
      <w:r>
        <w:rPr>
          <w:spacing w:val="-1"/>
        </w:rPr>
        <w:t xml:space="preserve"> </w:t>
      </w:r>
      <w:r>
        <w:t>and</w:t>
      </w:r>
      <w:r>
        <w:rPr>
          <w:spacing w:val="-1"/>
        </w:rPr>
        <w:t xml:space="preserve"> </w:t>
      </w:r>
      <w:r>
        <w:t>both public and</w:t>
      </w:r>
      <w:r>
        <w:rPr>
          <w:spacing w:val="-2"/>
        </w:rPr>
        <w:t xml:space="preserve"> </w:t>
      </w:r>
      <w:r>
        <w:t>private</w:t>
      </w:r>
      <w:r>
        <w:rPr>
          <w:spacing w:val="1"/>
        </w:rPr>
        <w:t xml:space="preserve"> </w:t>
      </w:r>
      <w:r>
        <w:t>infrastructure.</w:t>
      </w:r>
    </w:p>
    <w:p w14:paraId="77EC9151" w14:textId="22406D36" w:rsidR="00A85F5A" w:rsidRPr="00C1126C" w:rsidRDefault="004E39E8" w:rsidP="00A85F5A">
      <w:pPr>
        <w:tabs>
          <w:tab w:val="left" w:pos="533"/>
        </w:tabs>
        <w:spacing w:before="120"/>
        <w:ind w:left="105" w:right="1106"/>
        <w:rPr>
          <w:rFonts w:ascii="Symbol" w:hAnsi="Symbol"/>
        </w:rPr>
      </w:pPr>
      <w:r>
        <w:rPr>
          <w:sz w:val="18"/>
          <w:szCs w:val="18"/>
          <w:vertAlign w:val="superscript"/>
        </w:rPr>
        <w:t>6</w:t>
      </w:r>
      <w:r w:rsidR="00A85F5A" w:rsidRPr="006E5AD6">
        <w:rPr>
          <w:sz w:val="18"/>
          <w:szCs w:val="18"/>
        </w:rPr>
        <w:t xml:space="preserve"> </w:t>
      </w:r>
      <w:r w:rsidR="002B49B7" w:rsidRPr="00C4163D">
        <w:rPr>
          <w:sz w:val="16"/>
          <w:szCs w:val="16"/>
        </w:rPr>
        <w:t xml:space="preserve">Refer to </w:t>
      </w:r>
      <w:r w:rsidR="002B49B7">
        <w:rPr>
          <w:sz w:val="16"/>
          <w:szCs w:val="16"/>
        </w:rPr>
        <w:t>Section 3.2.1 ‘</w:t>
      </w:r>
      <w:r w:rsidR="002B49B7" w:rsidRPr="00C4163D">
        <w:rPr>
          <w:sz w:val="16"/>
          <w:szCs w:val="16"/>
        </w:rPr>
        <w:t>Climate change data</w:t>
      </w:r>
      <w:r w:rsidR="002B49B7">
        <w:rPr>
          <w:sz w:val="16"/>
          <w:szCs w:val="16"/>
        </w:rPr>
        <w:t>’</w:t>
      </w:r>
      <w:r w:rsidR="002B49B7" w:rsidRPr="00C4163D">
        <w:rPr>
          <w:sz w:val="16"/>
          <w:szCs w:val="16"/>
        </w:rPr>
        <w:t xml:space="preserve"> </w:t>
      </w:r>
      <w:r w:rsidR="002B49B7">
        <w:rPr>
          <w:sz w:val="16"/>
          <w:szCs w:val="16"/>
        </w:rPr>
        <w:t xml:space="preserve">on </w:t>
      </w:r>
      <w:r w:rsidR="002B49B7" w:rsidRPr="00C4163D">
        <w:rPr>
          <w:sz w:val="16"/>
          <w:szCs w:val="16"/>
        </w:rPr>
        <w:t>p</w:t>
      </w:r>
      <w:r w:rsidR="002B49B7">
        <w:rPr>
          <w:sz w:val="16"/>
          <w:szCs w:val="16"/>
        </w:rPr>
        <w:t>a</w:t>
      </w:r>
      <w:r w:rsidR="002B49B7" w:rsidRPr="00C4163D">
        <w:rPr>
          <w:sz w:val="16"/>
          <w:szCs w:val="16"/>
        </w:rPr>
        <w:t>g</w:t>
      </w:r>
      <w:r w:rsidR="002B49B7">
        <w:rPr>
          <w:sz w:val="16"/>
          <w:szCs w:val="16"/>
        </w:rPr>
        <w:t>e</w:t>
      </w:r>
      <w:r w:rsidR="002B49B7" w:rsidRPr="00C4163D">
        <w:rPr>
          <w:sz w:val="16"/>
          <w:szCs w:val="16"/>
        </w:rPr>
        <w:t xml:space="preserve"> </w:t>
      </w:r>
      <w:r w:rsidR="002B49B7">
        <w:rPr>
          <w:sz w:val="16"/>
          <w:szCs w:val="16"/>
        </w:rPr>
        <w:t>8</w:t>
      </w:r>
      <w:r w:rsidR="002B49B7" w:rsidRPr="00C4163D">
        <w:rPr>
          <w:sz w:val="16"/>
          <w:szCs w:val="16"/>
        </w:rPr>
        <w:t xml:space="preserve"> of th</w:t>
      </w:r>
      <w:r w:rsidR="002B49B7">
        <w:rPr>
          <w:sz w:val="16"/>
          <w:szCs w:val="16"/>
        </w:rPr>
        <w:t>is</w:t>
      </w:r>
      <w:r w:rsidR="002B49B7" w:rsidRPr="00C4163D">
        <w:rPr>
          <w:sz w:val="16"/>
          <w:szCs w:val="16"/>
        </w:rPr>
        <w:t xml:space="preserve"> guideline</w:t>
      </w:r>
      <w:r w:rsidR="002B49B7">
        <w:rPr>
          <w:sz w:val="16"/>
          <w:szCs w:val="16"/>
        </w:rPr>
        <w:t>.</w:t>
      </w:r>
    </w:p>
    <w:p w14:paraId="498FC9E2" w14:textId="06AB2A02" w:rsidR="00A85F5A" w:rsidRPr="00E35A77" w:rsidRDefault="00A85F5A" w:rsidP="006E5AD6">
      <w:pPr>
        <w:pStyle w:val="Heading3"/>
      </w:pPr>
      <w:r w:rsidRPr="00E35A77">
        <w:t>Drought</w:t>
      </w:r>
    </w:p>
    <w:p w14:paraId="2C40CDE0" w14:textId="77777777" w:rsidR="00A85F5A" w:rsidRPr="001033F3" w:rsidRDefault="00A85F5A" w:rsidP="006E5AD6">
      <w:r>
        <w:t>An</w:t>
      </w:r>
      <w:r w:rsidRPr="001033F3">
        <w:t xml:space="preserve"> amendment </w:t>
      </w:r>
      <w:r>
        <w:t xml:space="preserve">that </w:t>
      </w:r>
      <w:r w:rsidRPr="001033F3">
        <w:t>will facilitate or enable new or more intensive urban development should be informed by the</w:t>
      </w:r>
      <w:r w:rsidRPr="0063757F">
        <w:t xml:space="preserve"> </w:t>
      </w:r>
      <w:r w:rsidRPr="001033F3">
        <w:t>following:</w:t>
      </w:r>
    </w:p>
    <w:p w14:paraId="4D26DDFF" w14:textId="1F1DFA26" w:rsidR="00A85F5A" w:rsidRPr="00F1199B" w:rsidRDefault="006D2F76" w:rsidP="006E5AD6">
      <w:pPr>
        <w:pStyle w:val="BodyText"/>
      </w:pPr>
      <w:r>
        <w:t xml:space="preserve">The </w:t>
      </w:r>
      <w:r w:rsidR="00F42903">
        <w:t>d</w:t>
      </w:r>
      <w:r>
        <w:t xml:space="preserve">rought </w:t>
      </w:r>
      <w:r w:rsidR="00F42903">
        <w:t>r</w:t>
      </w:r>
      <w:r>
        <w:t xml:space="preserve">esponse </w:t>
      </w:r>
      <w:r w:rsidR="00F42903">
        <w:t>p</w:t>
      </w:r>
      <w:r>
        <w:t>lan which is incorporated into the</w:t>
      </w:r>
      <w:r w:rsidR="00A85F5A" w:rsidRPr="7EFCBDB2">
        <w:t xml:space="preserve"> </w:t>
      </w:r>
      <w:hyperlink r:id="rId26" w:history="1">
        <w:r w:rsidR="00F42903">
          <w:rPr>
            <w:rStyle w:val="Hyperlink"/>
          </w:rPr>
          <w:t>u</w:t>
        </w:r>
        <w:r w:rsidR="00A85F5A" w:rsidRPr="003B7678">
          <w:rPr>
            <w:rStyle w:val="Hyperlink"/>
          </w:rPr>
          <w:t xml:space="preserve">rban </w:t>
        </w:r>
        <w:r w:rsidR="00F42903">
          <w:rPr>
            <w:rStyle w:val="Hyperlink"/>
          </w:rPr>
          <w:t>w</w:t>
        </w:r>
        <w:r w:rsidR="00A85F5A" w:rsidRPr="003B7678">
          <w:rPr>
            <w:rStyle w:val="Hyperlink"/>
          </w:rPr>
          <w:t xml:space="preserve">ater </w:t>
        </w:r>
        <w:r w:rsidR="00F42903">
          <w:rPr>
            <w:rStyle w:val="Hyperlink"/>
          </w:rPr>
          <w:t>s</w:t>
        </w:r>
        <w:r w:rsidR="00A85F5A" w:rsidRPr="003B7678">
          <w:rPr>
            <w:rStyle w:val="Hyperlink"/>
          </w:rPr>
          <w:t>trategy</w:t>
        </w:r>
      </w:hyperlink>
      <w:r w:rsidR="00A85F5A" w:rsidRPr="7EFCBDB2">
        <w:t xml:space="preserve"> </w:t>
      </w:r>
      <w:r>
        <w:t xml:space="preserve">prepared by the </w:t>
      </w:r>
      <w:r w:rsidR="00A85F5A" w:rsidRPr="7EFCBDB2">
        <w:t>relevant water corporation for the area, including consideration of:</w:t>
      </w:r>
    </w:p>
    <w:p w14:paraId="671F4E62" w14:textId="5C1247B0" w:rsidR="00A85F5A" w:rsidRPr="00F1199B" w:rsidRDefault="00A85F5A" w:rsidP="006E5AD6">
      <w:pPr>
        <w:pStyle w:val="ListBullet2"/>
      </w:pPr>
      <w:r>
        <w:t>water authority advice based on assessments of the impact of climate change on water</w:t>
      </w:r>
      <w:r w:rsidRPr="00F1199B">
        <w:t xml:space="preserve"> </w:t>
      </w:r>
      <w:r>
        <w:t>availability</w:t>
      </w:r>
      <w:r w:rsidRPr="00F1199B">
        <w:t xml:space="preserve"> </w:t>
      </w:r>
      <w:r>
        <w:t xml:space="preserve">in </w:t>
      </w:r>
      <w:r w:rsidR="00332CDE">
        <w:t>the region</w:t>
      </w:r>
      <w:r w:rsidR="00FF0E6F">
        <w:t>,</w:t>
      </w:r>
      <w:r w:rsidR="00332CDE">
        <w:t xml:space="preserve"> </w:t>
      </w:r>
      <w:r>
        <w:t>relative to supply needs to support existing urban demand and</w:t>
      </w:r>
      <w:r w:rsidRPr="00F1199B">
        <w:t xml:space="preserve"> </w:t>
      </w:r>
      <w:r>
        <w:t>capacity to sustain future urban growth</w:t>
      </w:r>
    </w:p>
    <w:p w14:paraId="370F0222" w14:textId="0FE6B277" w:rsidR="00A85F5A" w:rsidRPr="00F1199B" w:rsidRDefault="00A85F5A" w:rsidP="00B947AE">
      <w:pPr>
        <w:pStyle w:val="ListBullet2"/>
        <w:numPr>
          <w:ilvl w:val="1"/>
          <w:numId w:val="28"/>
        </w:numPr>
      </w:pPr>
      <w:r>
        <w:t>whether</w:t>
      </w:r>
      <w:r w:rsidRPr="00F1199B">
        <w:t xml:space="preserve"> </w:t>
      </w:r>
      <w:r>
        <w:t>integrated</w:t>
      </w:r>
      <w:r w:rsidRPr="00F1199B">
        <w:t xml:space="preserve"> </w:t>
      </w:r>
      <w:r>
        <w:t>water</w:t>
      </w:r>
      <w:r w:rsidRPr="00F1199B">
        <w:t xml:space="preserve"> </w:t>
      </w:r>
      <w:r>
        <w:t>management</w:t>
      </w:r>
      <w:r w:rsidRPr="00F1199B">
        <w:t xml:space="preserve"> </w:t>
      </w:r>
      <w:r>
        <w:t>will</w:t>
      </w:r>
      <w:r w:rsidRPr="00F1199B">
        <w:t xml:space="preserve"> </w:t>
      </w:r>
      <w:r>
        <w:t>be</w:t>
      </w:r>
      <w:r w:rsidRPr="00F1199B">
        <w:t xml:space="preserve"> </w:t>
      </w:r>
      <w:r>
        <w:t>embedded</w:t>
      </w:r>
      <w:r w:rsidRPr="00F1199B">
        <w:t xml:space="preserve"> </w:t>
      </w:r>
      <w:r>
        <w:t>into</w:t>
      </w:r>
      <w:r w:rsidRPr="00F1199B">
        <w:t xml:space="preserve"> </w:t>
      </w:r>
      <w:r>
        <w:t>the</w:t>
      </w:r>
      <w:r w:rsidRPr="00F1199B">
        <w:t xml:space="preserve"> </w:t>
      </w:r>
      <w:r>
        <w:t>envisaged</w:t>
      </w:r>
      <w:r w:rsidRPr="00F1199B">
        <w:t xml:space="preserve"> </w:t>
      </w:r>
      <w:r>
        <w:t>use</w:t>
      </w:r>
      <w:r w:rsidRPr="00F1199B">
        <w:t xml:space="preserve"> </w:t>
      </w:r>
      <w:r>
        <w:t>and</w:t>
      </w:r>
      <w:r w:rsidRPr="00F1199B">
        <w:t xml:space="preserve"> </w:t>
      </w:r>
      <w:r>
        <w:t>development</w:t>
      </w:r>
      <w:r w:rsidR="000E1AAF">
        <w:t xml:space="preserve">, </w:t>
      </w:r>
      <w:r>
        <w:t>and</w:t>
      </w:r>
      <w:r w:rsidRPr="00F1199B">
        <w:t xml:space="preserve"> </w:t>
      </w:r>
      <w:r>
        <w:t>delivered</w:t>
      </w:r>
      <w:r w:rsidRPr="00F1199B">
        <w:t xml:space="preserve"> </w:t>
      </w:r>
      <w:r>
        <w:t>through</w:t>
      </w:r>
      <w:r w:rsidRPr="00F1199B">
        <w:t xml:space="preserve"> </w:t>
      </w:r>
      <w:r>
        <w:t>associated</w:t>
      </w:r>
      <w:r w:rsidRPr="00F1199B">
        <w:t xml:space="preserve"> </w:t>
      </w:r>
      <w:r>
        <w:t xml:space="preserve">infrastructure </w:t>
      </w:r>
      <w:r w:rsidR="000628EE">
        <w:t xml:space="preserve">and urban design </w:t>
      </w:r>
      <w:r>
        <w:t>to support drought resilience</w:t>
      </w:r>
      <w:r w:rsidR="000628EE">
        <w:t xml:space="preserve"> </w:t>
      </w:r>
      <w:r w:rsidR="00EB44D0">
        <w:t>(</w:t>
      </w:r>
      <w:r w:rsidR="00F55627">
        <w:t>Example:</w:t>
      </w:r>
      <w:r w:rsidR="00EB44D0">
        <w:t xml:space="preserve"> complementary measures to support land use and infrastructure planning of priority community assets that might require water to be made available during periods of water shortages).</w:t>
      </w:r>
      <w:r w:rsidR="00EB44D0" w:rsidRPr="00EB44D0">
        <w:rPr>
          <w:rFonts w:ascii="Cambria" w:hAnsi="Cambria" w:cs="Cambria"/>
        </w:rPr>
        <w:t> </w:t>
      </w:r>
    </w:p>
    <w:p w14:paraId="55D1A7D8" w14:textId="77777777" w:rsidR="00A85F5A" w:rsidRPr="00C20932" w:rsidRDefault="00A85F5A" w:rsidP="006E5AD6">
      <w:pPr>
        <w:pStyle w:val="BodyText"/>
      </w:pPr>
      <w:r w:rsidRPr="7E4AEA41">
        <w:t>in regional locations, feedback from the relevant water authority that the provision of water and wastewater, the likely water demand associated with the land use change and planned</w:t>
      </w:r>
      <w:r w:rsidRPr="7E4AEA41" w:rsidDel="00F335D3">
        <w:t xml:space="preserve"> </w:t>
      </w:r>
      <w:r w:rsidRPr="7E4AEA41">
        <w:t xml:space="preserve">infrastructure will be consistent with the latest </w:t>
      </w:r>
      <w:r>
        <w:t xml:space="preserve">adopted </w:t>
      </w:r>
      <w:r w:rsidRPr="7E4AEA41">
        <w:t>Urban Water Strategy.</w:t>
      </w:r>
    </w:p>
    <w:p w14:paraId="752FEEAF" w14:textId="420630FD" w:rsidR="00A85F5A" w:rsidRPr="000753B1" w:rsidRDefault="00A85F5A" w:rsidP="0009560E">
      <w:pPr>
        <w:pStyle w:val="Heading1"/>
      </w:pPr>
      <w:r>
        <w:t>4</w:t>
      </w:r>
      <w:r w:rsidRPr="000753B1">
        <w:t>.0</w:t>
      </w:r>
      <w:r w:rsidR="0009560E">
        <w:tab/>
      </w:r>
      <w:r>
        <w:tab/>
      </w:r>
      <w:r w:rsidRPr="005C05E7">
        <w:t>HOW</w:t>
      </w:r>
      <w:r w:rsidRPr="000753B1">
        <w:t xml:space="preserve"> REQUIREMENTS ARE TO BE </w:t>
      </w:r>
      <w:r>
        <w:t>SATISFIED</w:t>
      </w:r>
    </w:p>
    <w:p w14:paraId="4AE4B4CC" w14:textId="77777777" w:rsidR="00A85F5A" w:rsidRDefault="00A85F5A" w:rsidP="005C05E7">
      <w:pPr>
        <w:rPr>
          <w:b/>
        </w:rPr>
      </w:pPr>
      <w:r w:rsidRPr="000753B1">
        <w:t xml:space="preserve">Planning authorities and proponents </w:t>
      </w:r>
      <w:r>
        <w:t xml:space="preserve">are required </w:t>
      </w:r>
      <w:r w:rsidRPr="000753B1">
        <w:t xml:space="preserve">to demonstrate </w:t>
      </w:r>
      <w:r>
        <w:t xml:space="preserve">that a new planning scheme and relevant amendments have </w:t>
      </w:r>
      <w:r w:rsidRPr="000753B1">
        <w:t>considered and address</w:t>
      </w:r>
      <w:r>
        <w:t>ed</w:t>
      </w:r>
      <w:r w:rsidRPr="000753B1">
        <w:t xml:space="preserve"> </w:t>
      </w:r>
      <w:r>
        <w:t xml:space="preserve">spatial and relevant infrastructure responses to support minimising GHG emissions and increasing the resilience to climate change risks.  Consolidating this information in a </w:t>
      </w:r>
      <w:r w:rsidRPr="003B1836">
        <w:t>Climate change consideration report</w:t>
      </w:r>
      <w:r>
        <w:t xml:space="preserve"> (or suitable equivalent report supporting a precinct structure plan or as a component of a background report) will demonstrate how a climate change assessment has been undertaken.</w:t>
      </w:r>
    </w:p>
    <w:p w14:paraId="42F8CE73" w14:textId="77777777" w:rsidR="00A85F5A" w:rsidRPr="000753B1" w:rsidRDefault="00A85F5A" w:rsidP="005C05E7">
      <w:pPr>
        <w:rPr>
          <w:b/>
        </w:rPr>
      </w:pPr>
      <w:r>
        <w:t xml:space="preserve">An explanation in an explanatory report alone is not sufficient </w:t>
      </w:r>
      <w:bookmarkStart w:id="0" w:name="_Hlk188350304"/>
      <w:r>
        <w:t>for the purposes of the Ministerial Direction.</w:t>
      </w:r>
      <w:bookmarkEnd w:id="0"/>
    </w:p>
    <w:p w14:paraId="5E14F189" w14:textId="6754FEEC" w:rsidR="00A85F5A" w:rsidRPr="009852D1" w:rsidRDefault="00A85F5A" w:rsidP="004B5179">
      <w:pPr>
        <w:pStyle w:val="Heading1NoTOC"/>
      </w:pPr>
      <w:r w:rsidRPr="009852D1">
        <w:t>4.1</w:t>
      </w:r>
      <w:r w:rsidRPr="009852D1">
        <w:tab/>
      </w:r>
      <w:r w:rsidR="004B5179">
        <w:tab/>
      </w:r>
      <w:r w:rsidRPr="009852D1">
        <w:t xml:space="preserve">Climate </w:t>
      </w:r>
      <w:r>
        <w:t>c</w:t>
      </w:r>
      <w:r w:rsidRPr="009852D1">
        <w:t xml:space="preserve">hange </w:t>
      </w:r>
      <w:r>
        <w:t>c</w:t>
      </w:r>
      <w:r w:rsidRPr="009852D1">
        <w:t xml:space="preserve">onsideration </w:t>
      </w:r>
      <w:r>
        <w:t>r</w:t>
      </w:r>
      <w:r w:rsidRPr="009852D1">
        <w:t>eport</w:t>
      </w:r>
    </w:p>
    <w:p w14:paraId="6482F3DA" w14:textId="20F99A3D" w:rsidR="00A85F5A" w:rsidRDefault="00A85F5A" w:rsidP="004B5179">
      <w:r>
        <w:t xml:space="preserve">The Ministerial Direction defines a </w:t>
      </w:r>
      <w:r w:rsidRPr="003B1836">
        <w:t>Climate change consideration report</w:t>
      </w:r>
      <w:r>
        <w:t xml:space="preserve"> as ‘a report that documents how a proposed planning scheme or amendment to a planning scheme considers and responds to minimising greenhouse gas emissions and increasing resilience to climate change risks, when decisions will be made about the use and development of land to which the planning scheme or amendment will apply’.  The report:</w:t>
      </w:r>
    </w:p>
    <w:p w14:paraId="0ED1DF4B" w14:textId="77777777" w:rsidR="00A85F5A" w:rsidRPr="004B5179" w:rsidRDefault="00A85F5A" w:rsidP="004B5179">
      <w:pPr>
        <w:pStyle w:val="BodyText"/>
      </w:pPr>
      <w:r w:rsidRPr="004B5179">
        <w:t xml:space="preserve">provides an evidence base of the specific considerations of climate change </w:t>
      </w:r>
    </w:p>
    <w:p w14:paraId="247005B5" w14:textId="77777777" w:rsidR="00A85F5A" w:rsidRPr="004B5179" w:rsidRDefault="00A85F5A" w:rsidP="004B5179">
      <w:pPr>
        <w:pStyle w:val="BodyText"/>
      </w:pPr>
      <w:r w:rsidRPr="004B5179">
        <w:t>demonstrates how the proposal supports or implements responses to GHG emissions and increasing resilience to climate change risks</w:t>
      </w:r>
    </w:p>
    <w:p w14:paraId="7897B2D6" w14:textId="77777777" w:rsidR="00A85F5A" w:rsidRPr="004B5179" w:rsidRDefault="00A85F5A" w:rsidP="004B5179">
      <w:pPr>
        <w:pStyle w:val="BodyText"/>
      </w:pPr>
      <w:r w:rsidRPr="004B5179">
        <w:t>informs the information to be included as a statement in the planning scheme amendment explanatory report</w:t>
      </w:r>
    </w:p>
    <w:p w14:paraId="6EB4C3E2" w14:textId="77777777" w:rsidR="00A85F5A" w:rsidRPr="004B5179" w:rsidRDefault="00A85F5A" w:rsidP="004B5179">
      <w:pPr>
        <w:pStyle w:val="BodyText"/>
      </w:pPr>
      <w:r w:rsidRPr="004B5179">
        <w:t>supports implementation of the planning scheme amendment and any subsequent stages in the planning approval and development process, such as a development contributions plan (DCP) or infrastructure contribution plan (ICP) in growth areas.</w:t>
      </w:r>
    </w:p>
    <w:p w14:paraId="27CBB6F4" w14:textId="77777777" w:rsidR="00A85F5A" w:rsidRDefault="00A85F5A" w:rsidP="004B5179">
      <w:r w:rsidRPr="003B1836">
        <w:t>Climate change consideration reports</w:t>
      </w:r>
      <w:r>
        <w:t xml:space="preserve"> will differ in the degree of information they provide, depending on the specific amendment proposal and its geographic location.</w:t>
      </w:r>
    </w:p>
    <w:p w14:paraId="4D36803D" w14:textId="77777777" w:rsidR="00A85F5A" w:rsidRDefault="00A85F5A" w:rsidP="004B5179">
      <w:r>
        <w:t>It is not expected that completion of a report would need to be outsourced, including for major proposals.</w:t>
      </w:r>
    </w:p>
    <w:p w14:paraId="3EE27695" w14:textId="77777777" w:rsidR="00A85F5A" w:rsidRDefault="00A85F5A" w:rsidP="004B5179">
      <w:r w:rsidRPr="0063757F">
        <w:t xml:space="preserve">Generally, the assessments needed to meet the requirements of the Ministerial Direction can be drawn out of the technical assessments already undertaken to support the planning scheme amendment. </w:t>
      </w:r>
      <w:r>
        <w:t xml:space="preserve"> </w:t>
      </w:r>
    </w:p>
    <w:p w14:paraId="10EC047A" w14:textId="77777777" w:rsidR="00A85F5A" w:rsidRPr="00C37420" w:rsidRDefault="00A85F5A" w:rsidP="004B5179">
      <w:r w:rsidRPr="00C37420">
        <w:t>For state</w:t>
      </w:r>
      <w:r>
        <w:t>-</w:t>
      </w:r>
      <w:r w:rsidRPr="00C37420">
        <w:t>led projects, housing priority precincts, designated major activity centres and urban land use change</w:t>
      </w:r>
      <w:r w:rsidRPr="00C37420">
        <w:rPr>
          <w:spacing w:val="1"/>
        </w:rPr>
        <w:t xml:space="preserve"> </w:t>
      </w:r>
      <w:r w:rsidRPr="00C37420">
        <w:t>subject</w:t>
      </w:r>
      <w:r w:rsidRPr="00C37420">
        <w:rPr>
          <w:spacing w:val="-3"/>
        </w:rPr>
        <w:t xml:space="preserve"> </w:t>
      </w:r>
      <w:r w:rsidRPr="00C37420">
        <w:t>to</w:t>
      </w:r>
      <w:r w:rsidRPr="00C37420">
        <w:rPr>
          <w:spacing w:val="-3"/>
        </w:rPr>
        <w:t xml:space="preserve"> </w:t>
      </w:r>
      <w:r w:rsidRPr="00C37420">
        <w:t>a precinct</w:t>
      </w:r>
      <w:r w:rsidRPr="00C37420">
        <w:rPr>
          <w:spacing w:val="-3"/>
        </w:rPr>
        <w:t xml:space="preserve"> </w:t>
      </w:r>
      <w:r w:rsidRPr="00C37420">
        <w:t>structure</w:t>
      </w:r>
      <w:r w:rsidRPr="00C37420">
        <w:rPr>
          <w:spacing w:val="-3"/>
        </w:rPr>
        <w:t xml:space="preserve"> </w:t>
      </w:r>
      <w:r w:rsidRPr="00C37420">
        <w:t>plan,</w:t>
      </w:r>
      <w:r w:rsidRPr="00C37420">
        <w:rPr>
          <w:spacing w:val="-2"/>
        </w:rPr>
        <w:t xml:space="preserve"> </w:t>
      </w:r>
      <w:r w:rsidRPr="00C37420">
        <w:t>technical</w:t>
      </w:r>
      <w:r w:rsidRPr="00C37420">
        <w:rPr>
          <w:spacing w:val="-3"/>
        </w:rPr>
        <w:t xml:space="preserve"> </w:t>
      </w:r>
      <w:r w:rsidRPr="00C37420">
        <w:t>reports</w:t>
      </w:r>
      <w:r w:rsidRPr="00C37420">
        <w:rPr>
          <w:spacing w:val="-1"/>
        </w:rPr>
        <w:t xml:space="preserve"> </w:t>
      </w:r>
      <w:r>
        <w:rPr>
          <w:spacing w:val="-1"/>
        </w:rPr>
        <w:t xml:space="preserve">are typically required across a range of relevant issues and these can normally be </w:t>
      </w:r>
      <w:r>
        <w:t xml:space="preserve">extended to </w:t>
      </w:r>
      <w:r w:rsidRPr="00C37420">
        <w:t>test</w:t>
      </w:r>
      <w:r w:rsidRPr="00C37420">
        <w:rPr>
          <w:spacing w:val="-2"/>
        </w:rPr>
        <w:t xml:space="preserve"> </w:t>
      </w:r>
      <w:r w:rsidRPr="00C37420">
        <w:t>response</w:t>
      </w:r>
      <w:r w:rsidRPr="00C37420">
        <w:rPr>
          <w:spacing w:val="-1"/>
        </w:rPr>
        <w:t xml:space="preserve"> </w:t>
      </w:r>
      <w:r w:rsidRPr="00C37420">
        <w:t>options or</w:t>
      </w:r>
      <w:r w:rsidRPr="00C37420">
        <w:rPr>
          <w:spacing w:val="-2"/>
        </w:rPr>
        <w:t xml:space="preserve"> </w:t>
      </w:r>
      <w:r w:rsidRPr="00C37420">
        <w:t>alternative</w:t>
      </w:r>
      <w:r w:rsidRPr="00C37420">
        <w:rPr>
          <w:spacing w:val="-53"/>
        </w:rPr>
        <w:t xml:space="preserve"> </w:t>
      </w:r>
      <w:r w:rsidRPr="00C37420">
        <w:t>development</w:t>
      </w:r>
      <w:r w:rsidRPr="00C37420">
        <w:rPr>
          <w:spacing w:val="-3"/>
        </w:rPr>
        <w:t xml:space="preserve"> </w:t>
      </w:r>
      <w:r w:rsidRPr="00C37420">
        <w:t>scenarios, and</w:t>
      </w:r>
      <w:r w:rsidRPr="00C37420">
        <w:rPr>
          <w:spacing w:val="-2"/>
        </w:rPr>
        <w:t xml:space="preserve"> </w:t>
      </w:r>
      <w:r>
        <w:rPr>
          <w:spacing w:val="-2"/>
        </w:rPr>
        <w:t xml:space="preserve">the findings </w:t>
      </w:r>
      <w:r>
        <w:t xml:space="preserve">consolidated </w:t>
      </w:r>
      <w:r w:rsidRPr="003B1836">
        <w:t>into a</w:t>
      </w:r>
      <w:r w:rsidRPr="003B1836">
        <w:rPr>
          <w:spacing w:val="-3"/>
        </w:rPr>
        <w:t xml:space="preserve"> </w:t>
      </w:r>
      <w:r w:rsidRPr="003B1836">
        <w:t>Climate</w:t>
      </w:r>
      <w:r w:rsidRPr="003B1836">
        <w:rPr>
          <w:spacing w:val="1"/>
        </w:rPr>
        <w:t xml:space="preserve"> </w:t>
      </w:r>
      <w:r w:rsidRPr="003B1836">
        <w:t>change</w:t>
      </w:r>
      <w:r w:rsidRPr="003B1836">
        <w:rPr>
          <w:spacing w:val="1"/>
        </w:rPr>
        <w:t xml:space="preserve"> </w:t>
      </w:r>
      <w:r w:rsidRPr="003B1836">
        <w:t>consideration report</w:t>
      </w:r>
      <w:r w:rsidRPr="00C37420">
        <w:rPr>
          <w:spacing w:val="-1"/>
        </w:rPr>
        <w:t xml:space="preserve"> </w:t>
      </w:r>
      <w:r w:rsidRPr="00C37420">
        <w:t>(or</w:t>
      </w:r>
      <w:r w:rsidRPr="00C37420">
        <w:rPr>
          <w:spacing w:val="-1"/>
        </w:rPr>
        <w:t xml:space="preserve"> </w:t>
      </w:r>
      <w:r w:rsidRPr="00C37420">
        <w:t>suitable</w:t>
      </w:r>
      <w:r w:rsidRPr="00C37420">
        <w:rPr>
          <w:spacing w:val="-1"/>
        </w:rPr>
        <w:t xml:space="preserve"> </w:t>
      </w:r>
      <w:r w:rsidRPr="00C37420">
        <w:t>equivalent</w:t>
      </w:r>
      <w:r w:rsidRPr="00C37420">
        <w:rPr>
          <w:spacing w:val="-2"/>
        </w:rPr>
        <w:t xml:space="preserve"> </w:t>
      </w:r>
      <w:r w:rsidRPr="00C37420">
        <w:t>report).</w:t>
      </w:r>
      <w:r>
        <w:t xml:space="preserve"> </w:t>
      </w:r>
      <w:r w:rsidRPr="003600E7">
        <w:t>For</w:t>
      </w:r>
      <w:r w:rsidRPr="003600E7">
        <w:rPr>
          <w:spacing w:val="-4"/>
        </w:rPr>
        <w:t xml:space="preserve"> </w:t>
      </w:r>
      <w:r w:rsidRPr="003600E7">
        <w:t>both</w:t>
      </w:r>
      <w:r w:rsidRPr="003600E7">
        <w:rPr>
          <w:spacing w:val="-1"/>
        </w:rPr>
        <w:t xml:space="preserve"> </w:t>
      </w:r>
      <w:r w:rsidRPr="003600E7">
        <w:t>greenfield</w:t>
      </w:r>
      <w:r w:rsidRPr="003600E7">
        <w:rPr>
          <w:spacing w:val="-3"/>
        </w:rPr>
        <w:t xml:space="preserve"> </w:t>
      </w:r>
      <w:r w:rsidRPr="003600E7">
        <w:t>and</w:t>
      </w:r>
      <w:r w:rsidRPr="003600E7">
        <w:rPr>
          <w:spacing w:val="-3"/>
        </w:rPr>
        <w:t xml:space="preserve"> </w:t>
      </w:r>
      <w:r w:rsidRPr="003600E7">
        <w:t>infill</w:t>
      </w:r>
      <w:r w:rsidRPr="003600E7">
        <w:rPr>
          <w:spacing w:val="-4"/>
        </w:rPr>
        <w:t xml:space="preserve"> </w:t>
      </w:r>
      <w:r w:rsidRPr="003600E7">
        <w:t>precinct</w:t>
      </w:r>
      <w:r w:rsidRPr="003600E7">
        <w:rPr>
          <w:spacing w:val="-3"/>
        </w:rPr>
        <w:t xml:space="preserve"> </w:t>
      </w:r>
      <w:r w:rsidRPr="003600E7">
        <w:t>structure</w:t>
      </w:r>
      <w:r w:rsidRPr="003600E7">
        <w:rPr>
          <w:spacing w:val="-3"/>
        </w:rPr>
        <w:t xml:space="preserve"> </w:t>
      </w:r>
      <w:r w:rsidRPr="003600E7">
        <w:t>plans</w:t>
      </w:r>
      <w:r w:rsidRPr="003600E7">
        <w:rPr>
          <w:spacing w:val="-2"/>
        </w:rPr>
        <w:t xml:space="preserve"> </w:t>
      </w:r>
      <w:r>
        <w:rPr>
          <w:spacing w:val="-2"/>
        </w:rPr>
        <w:t xml:space="preserve">(PSP) </w:t>
      </w:r>
      <w:r w:rsidRPr="003600E7">
        <w:t>or</w:t>
      </w:r>
      <w:r w:rsidRPr="003600E7">
        <w:rPr>
          <w:spacing w:val="-3"/>
        </w:rPr>
        <w:t xml:space="preserve"> </w:t>
      </w:r>
      <w:r>
        <w:rPr>
          <w:spacing w:val="-3"/>
        </w:rPr>
        <w:t xml:space="preserve">structure plans for </w:t>
      </w:r>
      <w:r w:rsidRPr="003600E7">
        <w:t>major</w:t>
      </w:r>
      <w:r w:rsidRPr="003600E7">
        <w:rPr>
          <w:spacing w:val="-3"/>
        </w:rPr>
        <w:t xml:space="preserve"> </w:t>
      </w:r>
      <w:r w:rsidRPr="003600E7">
        <w:t>urban</w:t>
      </w:r>
      <w:r w:rsidRPr="003600E7">
        <w:rPr>
          <w:spacing w:val="-3"/>
        </w:rPr>
        <w:t xml:space="preserve"> </w:t>
      </w:r>
      <w:r w:rsidRPr="003600E7">
        <w:t>development</w:t>
      </w:r>
      <w:r w:rsidRPr="003600E7">
        <w:rPr>
          <w:spacing w:val="-2"/>
        </w:rPr>
        <w:t xml:space="preserve"> </w:t>
      </w:r>
      <w:r w:rsidRPr="003600E7">
        <w:t>sites</w:t>
      </w:r>
      <w:r>
        <w:t xml:space="preserve"> </w:t>
      </w:r>
      <w:r w:rsidRPr="1B1FCEE1">
        <w:t>typically include plans, diagrams, and tables</w:t>
      </w:r>
      <w:r>
        <w:t xml:space="preserve"> that may already include the necessary information or can be readily adapted to provide suitable information.</w:t>
      </w:r>
    </w:p>
    <w:p w14:paraId="497487B3" w14:textId="622B7456" w:rsidR="00A85F5A" w:rsidRDefault="00A85F5A" w:rsidP="004B5179">
      <w:r w:rsidRPr="003600E7">
        <w:t xml:space="preserve">For </w:t>
      </w:r>
      <w:r>
        <w:t>simple</w:t>
      </w:r>
      <w:r w:rsidRPr="003600E7">
        <w:t xml:space="preserve"> amendments</w:t>
      </w:r>
      <w:r>
        <w:t xml:space="preserve"> with less potential impacts</w:t>
      </w:r>
      <w:r w:rsidRPr="003600E7">
        <w:t xml:space="preserve">, </w:t>
      </w:r>
      <w:r>
        <w:t xml:space="preserve">a more </w:t>
      </w:r>
      <w:r w:rsidRPr="00E361D2">
        <w:t>abbreviated Climate change consideration report</w:t>
      </w:r>
      <w:r>
        <w:t xml:space="preserve"> will generally </w:t>
      </w:r>
      <w:r w:rsidR="00510514">
        <w:t xml:space="preserve">be </w:t>
      </w:r>
      <w:r>
        <w:t>sufficient. For instance, the report could be informed by</w:t>
      </w:r>
      <w:r w:rsidRPr="003600E7">
        <w:t xml:space="preserve"> </w:t>
      </w:r>
      <w:r>
        <w:t xml:space="preserve">one or more </w:t>
      </w:r>
      <w:r w:rsidRPr="003600E7">
        <w:t>annotated land use plan</w:t>
      </w:r>
      <w:r>
        <w:t xml:space="preserve">s and provide a </w:t>
      </w:r>
      <w:r w:rsidRPr="003600E7">
        <w:t xml:space="preserve">checklist </w:t>
      </w:r>
      <w:r>
        <w:t>style response with summary conclusions</w:t>
      </w:r>
      <w:r w:rsidRPr="003600E7">
        <w:t>.</w:t>
      </w:r>
      <w:r w:rsidRPr="003600E7">
        <w:rPr>
          <w:spacing w:val="1"/>
        </w:rPr>
        <w:t xml:space="preserve"> </w:t>
      </w:r>
    </w:p>
    <w:p w14:paraId="1686AD87" w14:textId="77777777" w:rsidR="00A85F5A" w:rsidRDefault="00A85F5A" w:rsidP="004B5179">
      <w:r>
        <w:t>A</w:t>
      </w:r>
      <w:r w:rsidRPr="003600E7">
        <w:t>dditional</w:t>
      </w:r>
      <w:r w:rsidRPr="003600E7">
        <w:rPr>
          <w:spacing w:val="-1"/>
        </w:rPr>
        <w:t xml:space="preserve"> </w:t>
      </w:r>
      <w:r>
        <w:t xml:space="preserve">shared </w:t>
      </w:r>
      <w:r>
        <w:rPr>
          <w:spacing w:val="-53"/>
        </w:rPr>
        <w:t xml:space="preserve">    </w:t>
      </w:r>
      <w:r w:rsidRPr="003600E7">
        <w:t>commitments can be recognised in the adopted report by mutual, voluntary agreement between the relevant</w:t>
      </w:r>
      <w:r w:rsidRPr="003600E7">
        <w:rPr>
          <w:spacing w:val="1"/>
        </w:rPr>
        <w:t xml:space="preserve"> </w:t>
      </w:r>
      <w:r w:rsidRPr="003600E7">
        <w:t>developers and landowners, the planning authority and other government agencies</w:t>
      </w:r>
      <w:r>
        <w:t>. Such agreements are contingent upon consistency with current policy and will require agencies and stakeholders to support relevant strategic responses</w:t>
      </w:r>
      <w:r w:rsidDel="00C060D0">
        <w:t>.</w:t>
      </w:r>
    </w:p>
    <w:p w14:paraId="47BBE32B" w14:textId="129D9DAE" w:rsidR="00A85F5A" w:rsidRPr="009852D1" w:rsidRDefault="00A85F5A" w:rsidP="0009560E">
      <w:pPr>
        <w:pStyle w:val="Heading1NoTOC"/>
      </w:pPr>
      <w:r w:rsidRPr="009852D1">
        <w:t>4.2</w:t>
      </w:r>
      <w:r w:rsidRPr="009852D1">
        <w:tab/>
      </w:r>
      <w:r w:rsidR="00031754">
        <w:tab/>
      </w:r>
      <w:r w:rsidR="0009560E">
        <w:tab/>
      </w:r>
      <w:r w:rsidRPr="009852D1">
        <w:rPr>
          <w:iCs/>
        </w:rPr>
        <w:t>Explanatory</w:t>
      </w:r>
      <w:r w:rsidRPr="009852D1">
        <w:rPr>
          <w:spacing w:val="-5"/>
        </w:rPr>
        <w:t xml:space="preserve"> </w:t>
      </w:r>
      <w:r w:rsidRPr="009852D1">
        <w:t>report</w:t>
      </w:r>
    </w:p>
    <w:p w14:paraId="334B06F5" w14:textId="7E7448C6" w:rsidR="00A85F5A" w:rsidRPr="000753B1" w:rsidRDefault="00A85F5A" w:rsidP="002E4122">
      <w:r>
        <w:t>To ensure that t</w:t>
      </w:r>
      <w:r w:rsidRPr="000753B1">
        <w:t xml:space="preserve">he </w:t>
      </w:r>
      <w:r>
        <w:t xml:space="preserve">requirements </w:t>
      </w:r>
      <w:r w:rsidRPr="000753B1">
        <w:t>under section 12(2A)</w:t>
      </w:r>
      <w:r w:rsidR="00C61A87">
        <w:t xml:space="preserve"> of the Act</w:t>
      </w:r>
      <w:r>
        <w:t xml:space="preserve"> have been satisfied, the Ministerial Direction</w:t>
      </w:r>
      <w:r w:rsidRPr="000753B1">
        <w:t xml:space="preserve"> </w:t>
      </w:r>
      <w:r>
        <w:t xml:space="preserve">requires a statement in the explanatory report to be prepared </w:t>
      </w:r>
      <w:r w:rsidRPr="000753B1">
        <w:t>in</w:t>
      </w:r>
      <w:r w:rsidRPr="000753B1">
        <w:rPr>
          <w:spacing w:val="1"/>
        </w:rPr>
        <w:t xml:space="preserve"> </w:t>
      </w:r>
      <w:r w:rsidRPr="000753B1">
        <w:t>respect to the proposed planning scheme or amendment</w:t>
      </w:r>
      <w:r>
        <w:t>.  The statement needs to report on h</w:t>
      </w:r>
      <w:r w:rsidRPr="000753B1">
        <w:t xml:space="preserve">ow the requirements of the Ministerial </w:t>
      </w:r>
      <w:r w:rsidRPr="00104E50">
        <w:t>Direction have</w:t>
      </w:r>
      <w:r w:rsidRPr="000753B1">
        <w:rPr>
          <w:spacing w:val="-2"/>
        </w:rPr>
        <w:t xml:space="preserve"> </w:t>
      </w:r>
      <w:r w:rsidRPr="000753B1">
        <w:t>been</w:t>
      </w:r>
      <w:r w:rsidRPr="000753B1">
        <w:rPr>
          <w:spacing w:val="-1"/>
        </w:rPr>
        <w:t xml:space="preserve"> </w:t>
      </w:r>
      <w:r w:rsidRPr="000753B1">
        <w:t>satisfied</w:t>
      </w:r>
      <w:r>
        <w:t xml:space="preserve">.  The statement should be drawn </w:t>
      </w:r>
      <w:r w:rsidRPr="003B1836">
        <w:t>from the prepared Climate change consideration report or other technical reports.</w:t>
      </w:r>
    </w:p>
    <w:p w14:paraId="6056A404" w14:textId="372DDA20" w:rsidR="00A85F5A" w:rsidRPr="000753B1" w:rsidRDefault="00A85F5A" w:rsidP="0009560E">
      <w:pPr>
        <w:pStyle w:val="Heading1"/>
        <w:ind w:left="850" w:hanging="850"/>
      </w:pPr>
      <w:r>
        <w:t>5</w:t>
      </w:r>
      <w:r w:rsidRPr="000753B1">
        <w:t>.0</w:t>
      </w:r>
      <w:r w:rsidR="0009560E">
        <w:tab/>
      </w:r>
      <w:r>
        <w:tab/>
      </w:r>
      <w:r w:rsidRPr="000753B1">
        <w:t>RELATIONSHIP</w:t>
      </w:r>
      <w:r w:rsidRPr="000753B1">
        <w:rPr>
          <w:spacing w:val="-6"/>
        </w:rPr>
        <w:t xml:space="preserve"> </w:t>
      </w:r>
      <w:r w:rsidRPr="000753B1">
        <w:t>TO</w:t>
      </w:r>
      <w:r w:rsidRPr="000753B1">
        <w:rPr>
          <w:spacing w:val="-6"/>
        </w:rPr>
        <w:t xml:space="preserve"> </w:t>
      </w:r>
      <w:r w:rsidRPr="000753B1">
        <w:t>OTHER</w:t>
      </w:r>
      <w:r w:rsidRPr="000753B1">
        <w:rPr>
          <w:spacing w:val="-5"/>
        </w:rPr>
        <w:t xml:space="preserve"> </w:t>
      </w:r>
      <w:r w:rsidRPr="000753B1">
        <w:t>CONSIDERATIONS</w:t>
      </w:r>
      <w:r w:rsidRPr="000753B1">
        <w:rPr>
          <w:spacing w:val="-3"/>
        </w:rPr>
        <w:t xml:space="preserve"> </w:t>
      </w:r>
      <w:r w:rsidRPr="000753B1">
        <w:t>AND</w:t>
      </w:r>
      <w:r w:rsidRPr="000753B1">
        <w:rPr>
          <w:spacing w:val="-6"/>
        </w:rPr>
        <w:t xml:space="preserve"> </w:t>
      </w:r>
      <w:r w:rsidRPr="000753B1">
        <w:t>MINISTERIAL</w:t>
      </w:r>
      <w:r w:rsidRPr="000753B1">
        <w:rPr>
          <w:spacing w:val="-5"/>
        </w:rPr>
        <w:t xml:space="preserve"> </w:t>
      </w:r>
      <w:r w:rsidRPr="000753B1">
        <w:t>DIRECTIONS</w:t>
      </w:r>
    </w:p>
    <w:p w14:paraId="76DF2470" w14:textId="48C964A8" w:rsidR="00A85F5A" w:rsidRDefault="00A85F5A" w:rsidP="004B5179">
      <w:r>
        <w:t>There</w:t>
      </w:r>
      <w:r>
        <w:rPr>
          <w:spacing w:val="-3"/>
        </w:rPr>
        <w:t xml:space="preserve"> </w:t>
      </w:r>
      <w:r>
        <w:t>are</w:t>
      </w:r>
      <w:r>
        <w:rPr>
          <w:spacing w:val="-2"/>
        </w:rPr>
        <w:t xml:space="preserve"> </w:t>
      </w:r>
      <w:r>
        <w:t>no matters</w:t>
      </w:r>
      <w:r>
        <w:rPr>
          <w:spacing w:val="-1"/>
        </w:rPr>
        <w:t xml:space="preserve"> </w:t>
      </w:r>
      <w:r>
        <w:t>in</w:t>
      </w:r>
      <w:r>
        <w:rPr>
          <w:spacing w:val="-3"/>
        </w:rPr>
        <w:t xml:space="preserve"> </w:t>
      </w:r>
      <w:r w:rsidRPr="00ED4C39">
        <w:t>s</w:t>
      </w:r>
      <w:r w:rsidR="00005522" w:rsidRPr="00B947AE">
        <w:t xml:space="preserve">ection </w:t>
      </w:r>
      <w:r w:rsidRPr="00ED4C39">
        <w:t>12(2A)</w:t>
      </w:r>
      <w:r w:rsidR="00087CEA">
        <w:t xml:space="preserve"> of the Act</w:t>
      </w:r>
      <w:r>
        <w:rPr>
          <w:spacing w:val="-2"/>
        </w:rPr>
        <w:t xml:space="preserve"> </w:t>
      </w:r>
      <w:r>
        <w:t>or</w:t>
      </w:r>
      <w:r>
        <w:rPr>
          <w:spacing w:val="-3"/>
        </w:rPr>
        <w:t xml:space="preserve"> </w:t>
      </w:r>
      <w:r>
        <w:t>the</w:t>
      </w:r>
      <w:r>
        <w:rPr>
          <w:spacing w:val="-1"/>
        </w:rPr>
        <w:t xml:space="preserve"> </w:t>
      </w:r>
      <w:r>
        <w:t>Ministerial</w:t>
      </w:r>
      <w:r>
        <w:rPr>
          <w:spacing w:val="-2"/>
        </w:rPr>
        <w:t xml:space="preserve"> </w:t>
      </w:r>
      <w:r>
        <w:t>direction that alter</w:t>
      </w:r>
      <w:r>
        <w:rPr>
          <w:spacing w:val="-2"/>
        </w:rPr>
        <w:t xml:space="preserve"> </w:t>
      </w:r>
      <w:r>
        <w:t>the</w:t>
      </w:r>
      <w:r>
        <w:rPr>
          <w:spacing w:val="-1"/>
        </w:rPr>
        <w:t xml:space="preserve"> </w:t>
      </w:r>
      <w:r>
        <w:t>obligation</w:t>
      </w:r>
      <w:r>
        <w:rPr>
          <w:spacing w:val="-3"/>
        </w:rPr>
        <w:t xml:space="preserve"> </w:t>
      </w:r>
      <w:r>
        <w:t>of</w:t>
      </w:r>
      <w:r>
        <w:rPr>
          <w:spacing w:val="1"/>
        </w:rPr>
        <w:t xml:space="preserve"> </w:t>
      </w:r>
      <w:r>
        <w:t>a</w:t>
      </w:r>
      <w:r>
        <w:rPr>
          <w:spacing w:val="-3"/>
        </w:rPr>
        <w:t xml:space="preserve"> </w:t>
      </w:r>
      <w:r>
        <w:t>planning</w:t>
      </w:r>
      <w:r>
        <w:rPr>
          <w:spacing w:val="-3"/>
        </w:rPr>
        <w:t xml:space="preserve"> </w:t>
      </w:r>
      <w:r>
        <w:t>authority</w:t>
      </w:r>
      <w:r>
        <w:rPr>
          <w:spacing w:val="-2"/>
        </w:rPr>
        <w:t xml:space="preserve"> </w:t>
      </w:r>
      <w:r>
        <w:t>to</w:t>
      </w:r>
      <w:r>
        <w:rPr>
          <w:spacing w:val="-1"/>
        </w:rPr>
        <w:t xml:space="preserve"> </w:t>
      </w:r>
      <w:r>
        <w:t>consider</w:t>
      </w:r>
      <w:r w:rsidR="00936549">
        <w:t xml:space="preserve"> </w:t>
      </w:r>
      <w:r>
        <w:rPr>
          <w:spacing w:val="-52"/>
        </w:rPr>
        <w:t xml:space="preserve"> </w:t>
      </w:r>
      <w:r w:rsidR="00936549">
        <w:rPr>
          <w:spacing w:val="-52"/>
        </w:rPr>
        <w:t xml:space="preserve">    </w:t>
      </w:r>
      <w:r>
        <w:t>the matters in s</w:t>
      </w:r>
      <w:r w:rsidR="00005522">
        <w:t xml:space="preserve">ection </w:t>
      </w:r>
      <w:r>
        <w:t>12(2) of the Act when preparing a planning scheme or amendment, including environmental, social</w:t>
      </w:r>
      <w:r>
        <w:rPr>
          <w:spacing w:val="1"/>
        </w:rPr>
        <w:t xml:space="preserve"> </w:t>
      </w:r>
      <w:r>
        <w:t>and economic effects.</w:t>
      </w:r>
    </w:p>
    <w:p w14:paraId="6985C79C" w14:textId="4E616911" w:rsidR="00A85F5A" w:rsidRDefault="00A85F5A" w:rsidP="004B5179">
      <w:r>
        <w:t>A</w:t>
      </w:r>
      <w:r>
        <w:rPr>
          <w:spacing w:val="-4"/>
        </w:rPr>
        <w:t xml:space="preserve"> </w:t>
      </w:r>
      <w:r>
        <w:t>planning</w:t>
      </w:r>
      <w:r>
        <w:rPr>
          <w:spacing w:val="-3"/>
        </w:rPr>
        <w:t xml:space="preserve"> </w:t>
      </w:r>
      <w:r>
        <w:t>authority must</w:t>
      </w:r>
      <w:r>
        <w:rPr>
          <w:spacing w:val="-3"/>
        </w:rPr>
        <w:t xml:space="preserve"> </w:t>
      </w:r>
      <w:r>
        <w:t>still</w:t>
      </w:r>
      <w:r>
        <w:rPr>
          <w:spacing w:val="-4"/>
        </w:rPr>
        <w:t xml:space="preserve"> </w:t>
      </w:r>
      <w:r>
        <w:t>have</w:t>
      </w:r>
      <w:r>
        <w:rPr>
          <w:spacing w:val="-2"/>
        </w:rPr>
        <w:t xml:space="preserve"> </w:t>
      </w:r>
      <w:r>
        <w:t>regard</w:t>
      </w:r>
      <w:r>
        <w:rPr>
          <w:spacing w:val="-3"/>
        </w:rPr>
        <w:t xml:space="preserve"> </w:t>
      </w:r>
      <w:r>
        <w:t>to</w:t>
      </w:r>
      <w:r>
        <w:rPr>
          <w:spacing w:val="-1"/>
        </w:rPr>
        <w:t xml:space="preserve"> </w:t>
      </w:r>
      <w:r>
        <w:t>other</w:t>
      </w:r>
      <w:r>
        <w:rPr>
          <w:spacing w:val="-3"/>
        </w:rPr>
        <w:t xml:space="preserve"> </w:t>
      </w:r>
      <w:r>
        <w:t>applicable</w:t>
      </w:r>
      <w:r>
        <w:rPr>
          <w:spacing w:val="-1"/>
        </w:rPr>
        <w:t xml:space="preserve"> </w:t>
      </w:r>
      <w:r>
        <w:t>Ministerial</w:t>
      </w:r>
      <w:r>
        <w:rPr>
          <w:spacing w:val="-4"/>
        </w:rPr>
        <w:t xml:space="preserve"> </w:t>
      </w:r>
      <w:r>
        <w:t>Directions</w:t>
      </w:r>
      <w:r>
        <w:rPr>
          <w:spacing w:val="-1"/>
        </w:rPr>
        <w:t xml:space="preserve"> </w:t>
      </w:r>
      <w:r>
        <w:t>issued</w:t>
      </w:r>
      <w:r>
        <w:rPr>
          <w:spacing w:val="-1"/>
        </w:rPr>
        <w:t xml:space="preserve"> </w:t>
      </w:r>
      <w:r>
        <w:t>under</w:t>
      </w:r>
      <w:r>
        <w:rPr>
          <w:spacing w:val="-3"/>
        </w:rPr>
        <w:t xml:space="preserve"> </w:t>
      </w:r>
      <w:r>
        <w:t>s</w:t>
      </w:r>
      <w:r w:rsidR="00005522">
        <w:t xml:space="preserve">ection </w:t>
      </w:r>
      <w:r>
        <w:t>12(1A)</w:t>
      </w:r>
      <w:r>
        <w:rPr>
          <w:spacing w:val="-2"/>
        </w:rPr>
        <w:t xml:space="preserve"> </w:t>
      </w:r>
      <w:r>
        <w:t>of</w:t>
      </w:r>
      <w:r>
        <w:rPr>
          <w:spacing w:val="-3"/>
        </w:rPr>
        <w:t xml:space="preserve"> </w:t>
      </w:r>
      <w:r>
        <w:t>the</w:t>
      </w:r>
      <w:r>
        <w:rPr>
          <w:spacing w:val="-3"/>
        </w:rPr>
        <w:t xml:space="preserve"> </w:t>
      </w:r>
      <w:r>
        <w:t>Act</w:t>
      </w:r>
      <w:r w:rsidR="001A48B9">
        <w:t>,</w:t>
      </w:r>
      <w:r w:rsidR="00936549">
        <w:t xml:space="preserve"> </w:t>
      </w:r>
      <w:r>
        <w:rPr>
          <w:spacing w:val="-52"/>
        </w:rPr>
        <w:t xml:space="preserve"> </w:t>
      </w:r>
      <w:r>
        <w:t>even</w:t>
      </w:r>
      <w:r>
        <w:rPr>
          <w:spacing w:val="-2"/>
        </w:rPr>
        <w:t xml:space="preserve"> </w:t>
      </w:r>
      <w:r>
        <w:t>if</w:t>
      </w:r>
      <w:r>
        <w:rPr>
          <w:spacing w:val="-2"/>
        </w:rPr>
        <w:t xml:space="preserve"> </w:t>
      </w:r>
      <w:r>
        <w:t>those</w:t>
      </w:r>
      <w:r>
        <w:rPr>
          <w:spacing w:val="-2"/>
        </w:rPr>
        <w:t xml:space="preserve"> </w:t>
      </w:r>
      <w:r>
        <w:t>directions also</w:t>
      </w:r>
      <w:r>
        <w:rPr>
          <w:spacing w:val="-2"/>
        </w:rPr>
        <w:t xml:space="preserve"> </w:t>
      </w:r>
      <w:r>
        <w:t>require</w:t>
      </w:r>
      <w:r>
        <w:rPr>
          <w:spacing w:val="-2"/>
        </w:rPr>
        <w:t xml:space="preserve"> </w:t>
      </w:r>
      <w:r>
        <w:t>consideration</w:t>
      </w:r>
      <w:r>
        <w:rPr>
          <w:spacing w:val="-2"/>
        </w:rPr>
        <w:t xml:space="preserve"> </w:t>
      </w:r>
      <w:r>
        <w:t>of</w:t>
      </w:r>
      <w:r>
        <w:rPr>
          <w:spacing w:val="8"/>
        </w:rPr>
        <w:t xml:space="preserve"> </w:t>
      </w:r>
      <w:r>
        <w:t>matters relating to</w:t>
      </w:r>
      <w:r>
        <w:rPr>
          <w:spacing w:val="-2"/>
        </w:rPr>
        <w:t xml:space="preserve"> </w:t>
      </w:r>
      <w:r>
        <w:t>climate</w:t>
      </w:r>
      <w:r>
        <w:rPr>
          <w:spacing w:val="-2"/>
        </w:rPr>
        <w:t xml:space="preserve"> </w:t>
      </w:r>
      <w:r>
        <w:t>change.</w:t>
      </w:r>
      <w:r>
        <w:rPr>
          <w:spacing w:val="-1"/>
        </w:rPr>
        <w:t xml:space="preserve"> </w:t>
      </w:r>
      <w:r>
        <w:t>This</w:t>
      </w:r>
      <w:r>
        <w:rPr>
          <w:spacing w:val="-1"/>
        </w:rPr>
        <w:t xml:space="preserve"> </w:t>
      </w:r>
      <w:r>
        <w:t>includes:</w:t>
      </w:r>
    </w:p>
    <w:p w14:paraId="4C478D4E" w14:textId="77777777" w:rsidR="00A85F5A" w:rsidRPr="0063392B" w:rsidRDefault="00A85F5A" w:rsidP="003331FC">
      <w:pPr>
        <w:pStyle w:val="ListParagraph"/>
        <w:widowControl w:val="0"/>
        <w:numPr>
          <w:ilvl w:val="0"/>
          <w:numId w:val="16"/>
        </w:numPr>
        <w:tabs>
          <w:tab w:val="left" w:pos="533"/>
          <w:tab w:val="left" w:pos="534"/>
        </w:tabs>
        <w:autoSpaceDE w:val="0"/>
        <w:autoSpaceDN w:val="0"/>
        <w:spacing w:before="120" w:after="0"/>
        <w:contextualSpacing w:val="0"/>
        <w:rPr>
          <w:rFonts w:ascii="Symbol" w:hAnsi="Symbol"/>
        </w:rPr>
      </w:pPr>
      <w:r w:rsidRPr="3D54D0E2">
        <w:rPr>
          <w:i/>
          <w:iCs/>
        </w:rPr>
        <w:t>Ministerial</w:t>
      </w:r>
      <w:r w:rsidRPr="3D54D0E2">
        <w:rPr>
          <w:i/>
          <w:iCs/>
          <w:spacing w:val="-5"/>
        </w:rPr>
        <w:t xml:space="preserve"> </w:t>
      </w:r>
      <w:r w:rsidRPr="3D54D0E2">
        <w:rPr>
          <w:i/>
          <w:iCs/>
        </w:rPr>
        <w:t>Direction</w:t>
      </w:r>
      <w:r w:rsidRPr="3D54D0E2">
        <w:rPr>
          <w:i/>
          <w:iCs/>
          <w:spacing w:val="-1"/>
        </w:rPr>
        <w:t xml:space="preserve"> </w:t>
      </w:r>
      <w:r w:rsidRPr="3D54D0E2">
        <w:rPr>
          <w:i/>
          <w:iCs/>
        </w:rPr>
        <w:t>11</w:t>
      </w:r>
      <w:r w:rsidRPr="3D54D0E2">
        <w:rPr>
          <w:i/>
          <w:iCs/>
          <w:spacing w:val="-1"/>
        </w:rPr>
        <w:t xml:space="preserve"> </w:t>
      </w:r>
      <w:r w:rsidRPr="3D54D0E2">
        <w:rPr>
          <w:i/>
          <w:iCs/>
        </w:rPr>
        <w:t>- Strategic assessment</w:t>
      </w:r>
      <w:r w:rsidRPr="3D54D0E2">
        <w:rPr>
          <w:i/>
          <w:iCs/>
          <w:spacing w:val="-3"/>
        </w:rPr>
        <w:t xml:space="preserve"> </w:t>
      </w:r>
      <w:r w:rsidRPr="3D54D0E2">
        <w:rPr>
          <w:i/>
          <w:iCs/>
        </w:rPr>
        <w:t>of</w:t>
      </w:r>
      <w:r w:rsidRPr="3D54D0E2">
        <w:rPr>
          <w:i/>
          <w:iCs/>
          <w:spacing w:val="-3"/>
        </w:rPr>
        <w:t xml:space="preserve"> </w:t>
      </w:r>
      <w:r w:rsidRPr="3D54D0E2">
        <w:rPr>
          <w:i/>
          <w:iCs/>
        </w:rPr>
        <w:t>amendments</w:t>
      </w:r>
    </w:p>
    <w:p w14:paraId="52AC200B" w14:textId="77777777" w:rsidR="0009560E" w:rsidRPr="0009560E" w:rsidRDefault="00A85F5A" w:rsidP="003331FC">
      <w:pPr>
        <w:pStyle w:val="ListParagraph"/>
        <w:widowControl w:val="0"/>
        <w:numPr>
          <w:ilvl w:val="0"/>
          <w:numId w:val="16"/>
        </w:numPr>
        <w:tabs>
          <w:tab w:val="left" w:pos="533"/>
          <w:tab w:val="left" w:pos="534"/>
        </w:tabs>
        <w:autoSpaceDE w:val="0"/>
        <w:autoSpaceDN w:val="0"/>
        <w:spacing w:before="120" w:after="0"/>
        <w:contextualSpacing w:val="0"/>
        <w:rPr>
          <w:rFonts w:ascii="Symbol" w:hAnsi="Symbol"/>
        </w:rPr>
      </w:pPr>
      <w:r>
        <w:rPr>
          <w:i/>
          <w:iCs/>
        </w:rPr>
        <w:t>Ministerial Direction 12 – Urban Growth Areas</w:t>
      </w:r>
    </w:p>
    <w:p w14:paraId="11F197C5" w14:textId="316D8C4C" w:rsidR="000C59CD" w:rsidRPr="0009560E" w:rsidRDefault="00A85F5A" w:rsidP="003331FC">
      <w:pPr>
        <w:pStyle w:val="ListParagraph"/>
        <w:widowControl w:val="0"/>
        <w:numPr>
          <w:ilvl w:val="0"/>
          <w:numId w:val="16"/>
        </w:numPr>
        <w:tabs>
          <w:tab w:val="left" w:pos="533"/>
          <w:tab w:val="left" w:pos="534"/>
        </w:tabs>
        <w:autoSpaceDE w:val="0"/>
        <w:autoSpaceDN w:val="0"/>
        <w:spacing w:before="120" w:after="0"/>
        <w:contextualSpacing w:val="0"/>
        <w:rPr>
          <w:rFonts w:ascii="Symbol" w:hAnsi="Symbol"/>
        </w:rPr>
      </w:pPr>
      <w:r w:rsidRPr="001A48B9">
        <w:rPr>
          <w:i/>
        </w:rPr>
        <w:t>Ministerial</w:t>
      </w:r>
      <w:r w:rsidRPr="001A48B9">
        <w:rPr>
          <w:i/>
          <w:spacing w:val="-4"/>
        </w:rPr>
        <w:t xml:space="preserve"> </w:t>
      </w:r>
      <w:r w:rsidRPr="001A48B9">
        <w:rPr>
          <w:i/>
        </w:rPr>
        <w:t>Direction</w:t>
      </w:r>
      <w:r w:rsidRPr="001A48B9">
        <w:rPr>
          <w:i/>
          <w:spacing w:val="-1"/>
        </w:rPr>
        <w:t xml:space="preserve"> </w:t>
      </w:r>
      <w:r w:rsidRPr="001A48B9">
        <w:rPr>
          <w:i/>
        </w:rPr>
        <w:t>13 -</w:t>
      </w:r>
      <w:r w:rsidRPr="001A48B9">
        <w:rPr>
          <w:i/>
          <w:spacing w:val="-2"/>
        </w:rPr>
        <w:t xml:space="preserve"> </w:t>
      </w:r>
      <w:r w:rsidRPr="001A48B9">
        <w:rPr>
          <w:i/>
        </w:rPr>
        <w:t>Managing</w:t>
      </w:r>
      <w:r w:rsidRPr="001A48B9">
        <w:rPr>
          <w:i/>
          <w:spacing w:val="-3"/>
        </w:rPr>
        <w:t xml:space="preserve"> </w:t>
      </w:r>
      <w:r w:rsidRPr="001A48B9">
        <w:rPr>
          <w:i/>
        </w:rPr>
        <w:t>coastal</w:t>
      </w:r>
      <w:r w:rsidRPr="001A48B9">
        <w:rPr>
          <w:i/>
          <w:spacing w:val="-3"/>
        </w:rPr>
        <w:t xml:space="preserve"> </w:t>
      </w:r>
      <w:r w:rsidRPr="001A48B9">
        <w:rPr>
          <w:i/>
        </w:rPr>
        <w:t>hazards</w:t>
      </w:r>
      <w:r w:rsidRPr="3D54D0E2">
        <w:t>.</w:t>
      </w:r>
    </w:p>
    <w:p w14:paraId="4B990251" w14:textId="77777777" w:rsidR="006C77FE" w:rsidRDefault="006C77FE" w:rsidP="006C77FE"/>
    <w:tbl>
      <w:tblPr>
        <w:tblpPr w:leftFromText="180" w:rightFromText="180" w:vertAnchor="text" w:horzAnchor="margin" w:tblpY="7768"/>
        <w:tblW w:w="0" w:type="auto"/>
        <w:tblLayout w:type="fixed"/>
        <w:tblCellMar>
          <w:left w:w="0" w:type="dxa"/>
          <w:right w:w="0" w:type="dxa"/>
        </w:tblCellMar>
        <w:tblLook w:val="01E0" w:firstRow="1" w:lastRow="1" w:firstColumn="1" w:lastColumn="1" w:noHBand="0" w:noVBand="0"/>
      </w:tblPr>
      <w:tblGrid>
        <w:gridCol w:w="5373"/>
        <w:gridCol w:w="4234"/>
      </w:tblGrid>
      <w:tr w:rsidR="004D2117" w14:paraId="7EA41055" w14:textId="77777777" w:rsidTr="004B5179">
        <w:trPr>
          <w:trHeight w:val="4823"/>
        </w:trPr>
        <w:tc>
          <w:tcPr>
            <w:tcW w:w="5373" w:type="dxa"/>
            <w:tcBorders>
              <w:top w:val="single" w:sz="4" w:space="0" w:color="00B1A9"/>
            </w:tcBorders>
          </w:tcPr>
          <w:p w14:paraId="18B42FA3" w14:textId="5E4E1AE6" w:rsidR="004D2117" w:rsidRDefault="004D2117" w:rsidP="004B5179">
            <w:pPr>
              <w:pStyle w:val="TableParagraph"/>
              <w:spacing w:before="183"/>
              <w:ind w:left="144" w:right="196"/>
              <w:rPr>
                <w:rFonts w:ascii="VIC" w:hAnsi="VIC"/>
                <w:sz w:val="16"/>
              </w:rPr>
            </w:pPr>
            <w:r>
              <w:rPr>
                <w:rFonts w:ascii="VIC" w:hAnsi="VIC"/>
                <w:color w:val="52555A"/>
                <w:sz w:val="16"/>
              </w:rPr>
              <w:t>©</w:t>
            </w:r>
            <w:r>
              <w:rPr>
                <w:rFonts w:ascii="VIC" w:hAnsi="VIC"/>
                <w:color w:val="52555A"/>
                <w:spacing w:val="11"/>
                <w:sz w:val="16"/>
              </w:rPr>
              <w:t xml:space="preserve"> </w:t>
            </w:r>
            <w:r>
              <w:rPr>
                <w:rFonts w:ascii="VIC" w:hAnsi="VIC"/>
                <w:color w:val="52555A"/>
                <w:sz w:val="16"/>
              </w:rPr>
              <w:t>The</w:t>
            </w:r>
            <w:r>
              <w:rPr>
                <w:rFonts w:ascii="VIC" w:hAnsi="VIC"/>
                <w:color w:val="52555A"/>
                <w:spacing w:val="9"/>
                <w:sz w:val="16"/>
              </w:rPr>
              <w:t xml:space="preserve"> </w:t>
            </w:r>
            <w:r>
              <w:rPr>
                <w:rFonts w:ascii="VIC" w:hAnsi="VIC"/>
                <w:color w:val="52555A"/>
                <w:sz w:val="16"/>
              </w:rPr>
              <w:t>State</w:t>
            </w:r>
            <w:r>
              <w:rPr>
                <w:rFonts w:ascii="VIC" w:hAnsi="VIC"/>
                <w:color w:val="52555A"/>
                <w:spacing w:val="8"/>
                <w:sz w:val="16"/>
              </w:rPr>
              <w:t xml:space="preserve"> </w:t>
            </w:r>
            <w:r>
              <w:rPr>
                <w:rFonts w:ascii="VIC" w:hAnsi="VIC"/>
                <w:color w:val="52555A"/>
                <w:sz w:val="16"/>
              </w:rPr>
              <w:t>of</w:t>
            </w:r>
            <w:r>
              <w:rPr>
                <w:rFonts w:ascii="VIC" w:hAnsi="VIC"/>
                <w:color w:val="52555A"/>
                <w:spacing w:val="6"/>
                <w:sz w:val="16"/>
              </w:rPr>
              <w:t xml:space="preserve"> </w:t>
            </w:r>
            <w:r>
              <w:rPr>
                <w:rFonts w:ascii="VIC" w:hAnsi="VIC"/>
                <w:color w:val="52555A"/>
                <w:sz w:val="16"/>
              </w:rPr>
              <w:t>Victoria</w:t>
            </w:r>
            <w:r>
              <w:rPr>
                <w:rFonts w:ascii="VIC" w:hAnsi="VIC"/>
                <w:color w:val="52555A"/>
                <w:spacing w:val="12"/>
                <w:sz w:val="16"/>
              </w:rPr>
              <w:t xml:space="preserve"> </w:t>
            </w:r>
            <w:r>
              <w:rPr>
                <w:rFonts w:ascii="VIC" w:hAnsi="VIC"/>
                <w:color w:val="52555A"/>
                <w:sz w:val="16"/>
              </w:rPr>
              <w:t>-</w:t>
            </w:r>
            <w:r>
              <w:rPr>
                <w:rFonts w:ascii="VIC" w:hAnsi="VIC"/>
                <w:color w:val="52555A"/>
                <w:spacing w:val="9"/>
                <w:sz w:val="16"/>
              </w:rPr>
              <w:t xml:space="preserve"> </w:t>
            </w:r>
            <w:r>
              <w:rPr>
                <w:rFonts w:ascii="VIC" w:hAnsi="VIC"/>
                <w:color w:val="52555A"/>
                <w:sz w:val="16"/>
              </w:rPr>
              <w:t>Department</w:t>
            </w:r>
            <w:r>
              <w:rPr>
                <w:rFonts w:ascii="VIC" w:hAnsi="VIC"/>
                <w:color w:val="52555A"/>
                <w:spacing w:val="11"/>
                <w:sz w:val="16"/>
              </w:rPr>
              <w:t xml:space="preserve"> </w:t>
            </w:r>
            <w:r>
              <w:rPr>
                <w:rFonts w:ascii="VIC" w:hAnsi="VIC"/>
                <w:color w:val="52555A"/>
                <w:sz w:val="16"/>
              </w:rPr>
              <w:t>of</w:t>
            </w:r>
            <w:r>
              <w:rPr>
                <w:rFonts w:ascii="VIC" w:hAnsi="VIC"/>
                <w:color w:val="52555A"/>
                <w:spacing w:val="11"/>
                <w:sz w:val="16"/>
              </w:rPr>
              <w:t xml:space="preserve"> </w:t>
            </w:r>
            <w:r>
              <w:rPr>
                <w:rFonts w:ascii="VIC" w:hAnsi="VIC"/>
                <w:color w:val="52555A"/>
                <w:sz w:val="16"/>
              </w:rPr>
              <w:t>Transport</w:t>
            </w:r>
            <w:r>
              <w:rPr>
                <w:rFonts w:ascii="VIC" w:hAnsi="VIC"/>
                <w:color w:val="52555A"/>
                <w:spacing w:val="10"/>
                <w:sz w:val="16"/>
              </w:rPr>
              <w:t xml:space="preserve"> </w:t>
            </w:r>
            <w:r>
              <w:rPr>
                <w:rFonts w:ascii="VIC" w:hAnsi="VIC"/>
                <w:color w:val="52555A"/>
                <w:sz w:val="16"/>
              </w:rPr>
              <w:t>and</w:t>
            </w:r>
            <w:r>
              <w:rPr>
                <w:rFonts w:ascii="VIC" w:hAnsi="VIC"/>
                <w:color w:val="52555A"/>
                <w:spacing w:val="-37"/>
                <w:sz w:val="16"/>
              </w:rPr>
              <w:t xml:space="preserve"> </w:t>
            </w:r>
            <w:r>
              <w:rPr>
                <w:rFonts w:ascii="VIC" w:hAnsi="VIC"/>
                <w:color w:val="52555A"/>
                <w:sz w:val="16"/>
              </w:rPr>
              <w:t>Planning,</w:t>
            </w:r>
            <w:r>
              <w:rPr>
                <w:rFonts w:ascii="VIC" w:hAnsi="VIC"/>
                <w:color w:val="52555A"/>
                <w:spacing w:val="2"/>
                <w:sz w:val="16"/>
              </w:rPr>
              <w:t xml:space="preserve"> </w:t>
            </w:r>
            <w:r w:rsidR="00456FDA" w:rsidRPr="005D5FB1">
              <w:rPr>
                <w:rFonts w:ascii="VIC" w:hAnsi="VIC"/>
                <w:color w:val="52555A"/>
                <w:sz w:val="16"/>
              </w:rPr>
              <w:t>September</w:t>
            </w:r>
            <w:r w:rsidRPr="005D5FB1">
              <w:rPr>
                <w:rFonts w:ascii="VIC" w:hAnsi="VIC"/>
                <w:color w:val="52555A"/>
                <w:sz w:val="16"/>
              </w:rPr>
              <w:t xml:space="preserve"> </w:t>
            </w:r>
            <w:r>
              <w:rPr>
                <w:rFonts w:ascii="VIC" w:hAnsi="VIC"/>
                <w:color w:val="52555A"/>
                <w:sz w:val="16"/>
              </w:rPr>
              <w:t>2025</w:t>
            </w:r>
          </w:p>
          <w:p w14:paraId="7AB1DAE3" w14:textId="0C03060B" w:rsidR="004D2117" w:rsidRPr="005838A5" w:rsidRDefault="004D2117" w:rsidP="004B5179">
            <w:pPr>
              <w:pStyle w:val="TableParagraph"/>
              <w:spacing w:before="183"/>
              <w:ind w:left="144" w:right="196"/>
              <w:rPr>
                <w:rFonts w:ascii="VIC" w:hAnsi="VIC"/>
                <w:sz w:val="16"/>
              </w:rPr>
            </w:pPr>
            <w:r>
              <w:rPr>
                <w:rFonts w:ascii="VIC"/>
                <w:color w:val="52555A"/>
                <w:sz w:val="16"/>
              </w:rPr>
              <w:t>This</w:t>
            </w:r>
            <w:r>
              <w:rPr>
                <w:rFonts w:ascii="VIC"/>
                <w:color w:val="52555A"/>
                <w:spacing w:val="9"/>
                <w:sz w:val="16"/>
              </w:rPr>
              <w:t xml:space="preserve"> </w:t>
            </w:r>
            <w:r>
              <w:rPr>
                <w:rFonts w:ascii="VIC"/>
                <w:color w:val="52555A"/>
                <w:sz w:val="16"/>
              </w:rPr>
              <w:t>work</w:t>
            </w:r>
            <w:r>
              <w:rPr>
                <w:rFonts w:ascii="VIC"/>
                <w:color w:val="52555A"/>
                <w:spacing w:val="10"/>
                <w:sz w:val="16"/>
              </w:rPr>
              <w:t xml:space="preserve"> </w:t>
            </w:r>
            <w:r>
              <w:rPr>
                <w:rFonts w:ascii="VIC"/>
                <w:color w:val="52555A"/>
                <w:sz w:val="16"/>
              </w:rPr>
              <w:t>is</w:t>
            </w:r>
            <w:r>
              <w:rPr>
                <w:rFonts w:ascii="VIC"/>
                <w:color w:val="52555A"/>
                <w:spacing w:val="9"/>
                <w:sz w:val="16"/>
              </w:rPr>
              <w:t xml:space="preserve"> </w:t>
            </w:r>
            <w:r>
              <w:rPr>
                <w:rFonts w:ascii="VIC"/>
                <w:color w:val="52555A"/>
                <w:sz w:val="16"/>
              </w:rPr>
              <w:t>licensed</w:t>
            </w:r>
            <w:r>
              <w:rPr>
                <w:rFonts w:ascii="VIC"/>
                <w:color w:val="52555A"/>
                <w:spacing w:val="9"/>
                <w:sz w:val="16"/>
              </w:rPr>
              <w:t xml:space="preserve"> </w:t>
            </w:r>
            <w:r>
              <w:rPr>
                <w:rFonts w:ascii="VIC"/>
                <w:color w:val="52555A"/>
                <w:sz w:val="16"/>
              </w:rPr>
              <w:t>under</w:t>
            </w:r>
            <w:r>
              <w:rPr>
                <w:rFonts w:ascii="VIC"/>
                <w:color w:val="52555A"/>
                <w:spacing w:val="13"/>
                <w:sz w:val="16"/>
              </w:rPr>
              <w:t xml:space="preserve"> </w:t>
            </w:r>
            <w:r>
              <w:rPr>
                <w:rFonts w:ascii="VIC"/>
                <w:color w:val="52555A"/>
                <w:sz w:val="16"/>
              </w:rPr>
              <w:t>a</w:t>
            </w:r>
            <w:r>
              <w:rPr>
                <w:rFonts w:ascii="VIC"/>
                <w:color w:val="52555A"/>
                <w:spacing w:val="7"/>
                <w:sz w:val="16"/>
              </w:rPr>
              <w:t xml:space="preserve"> </w:t>
            </w:r>
            <w:r>
              <w:rPr>
                <w:rFonts w:ascii="VIC"/>
                <w:color w:val="52555A"/>
                <w:sz w:val="16"/>
              </w:rPr>
              <w:t>Creative</w:t>
            </w:r>
            <w:r>
              <w:rPr>
                <w:rFonts w:ascii="VIC"/>
                <w:color w:val="52555A"/>
                <w:spacing w:val="10"/>
                <w:sz w:val="16"/>
              </w:rPr>
              <w:t xml:space="preserve"> </w:t>
            </w:r>
            <w:r>
              <w:rPr>
                <w:rFonts w:ascii="VIC"/>
                <w:color w:val="52555A"/>
                <w:sz w:val="16"/>
              </w:rPr>
              <w:t>Commons</w:t>
            </w:r>
            <w:r>
              <w:rPr>
                <w:rFonts w:ascii="VIC"/>
                <w:color w:val="52555A"/>
                <w:spacing w:val="-38"/>
                <w:sz w:val="16"/>
              </w:rPr>
              <w:t xml:space="preserve"> </w:t>
            </w:r>
            <w:r>
              <w:rPr>
                <w:rFonts w:ascii="VIC"/>
                <w:color w:val="52555A"/>
                <w:sz w:val="16"/>
              </w:rPr>
              <w:t>Attribution</w:t>
            </w:r>
            <w:r>
              <w:rPr>
                <w:rFonts w:ascii="VIC"/>
                <w:color w:val="52555A"/>
                <w:spacing w:val="4"/>
                <w:sz w:val="16"/>
              </w:rPr>
              <w:t xml:space="preserve"> </w:t>
            </w:r>
            <w:r>
              <w:rPr>
                <w:rFonts w:ascii="VIC"/>
                <w:color w:val="52555A"/>
                <w:sz w:val="16"/>
              </w:rPr>
              <w:t>4.0</w:t>
            </w:r>
            <w:r>
              <w:rPr>
                <w:rFonts w:ascii="VIC"/>
                <w:color w:val="52555A"/>
                <w:spacing w:val="7"/>
                <w:sz w:val="16"/>
              </w:rPr>
              <w:t xml:space="preserve">  </w:t>
            </w:r>
            <w:r>
              <w:rPr>
                <w:rFonts w:ascii="VIC"/>
                <w:color w:val="52555A"/>
                <w:sz w:val="16"/>
              </w:rPr>
              <w:t>International</w:t>
            </w:r>
            <w:r>
              <w:rPr>
                <w:rFonts w:ascii="VIC"/>
                <w:color w:val="52555A"/>
                <w:spacing w:val="7"/>
                <w:sz w:val="16"/>
              </w:rPr>
              <w:t xml:space="preserve"> </w:t>
            </w:r>
            <w:proofErr w:type="spellStart"/>
            <w:r>
              <w:rPr>
                <w:rFonts w:ascii="VIC"/>
                <w:color w:val="52555A"/>
                <w:sz w:val="16"/>
              </w:rPr>
              <w:t>licence</w:t>
            </w:r>
            <w:proofErr w:type="spellEnd"/>
            <w:r>
              <w:rPr>
                <w:rFonts w:ascii="VIC"/>
                <w:color w:val="52555A"/>
                <w:sz w:val="16"/>
              </w:rPr>
              <w:t>.</w:t>
            </w:r>
            <w:r>
              <w:rPr>
                <w:rFonts w:ascii="VIC"/>
                <w:color w:val="52555A"/>
                <w:spacing w:val="7"/>
                <w:sz w:val="16"/>
              </w:rPr>
              <w:t xml:space="preserve"> </w:t>
            </w:r>
            <w:r>
              <w:rPr>
                <w:rFonts w:ascii="VIC"/>
                <w:color w:val="52555A"/>
                <w:sz w:val="16"/>
              </w:rPr>
              <w:t>You</w:t>
            </w:r>
            <w:r>
              <w:rPr>
                <w:rFonts w:ascii="VIC"/>
                <w:color w:val="52555A"/>
                <w:spacing w:val="10"/>
                <w:sz w:val="16"/>
              </w:rPr>
              <w:t xml:space="preserve"> </w:t>
            </w:r>
            <w:r>
              <w:rPr>
                <w:rFonts w:ascii="VIC"/>
                <w:color w:val="52555A"/>
                <w:sz w:val="16"/>
              </w:rPr>
              <w:t>are</w:t>
            </w:r>
            <w:r w:rsidR="005838A5">
              <w:rPr>
                <w:rFonts w:ascii="VIC" w:hAnsi="VIC"/>
                <w:sz w:val="16"/>
              </w:rPr>
              <w:t xml:space="preserve"> </w:t>
            </w:r>
            <w:r>
              <w:rPr>
                <w:rFonts w:ascii="VIC"/>
                <w:color w:val="52555A"/>
                <w:sz w:val="16"/>
              </w:rPr>
              <w:t>free</w:t>
            </w:r>
            <w:r>
              <w:rPr>
                <w:rFonts w:ascii="VIC"/>
                <w:color w:val="52555A"/>
                <w:spacing w:val="10"/>
                <w:sz w:val="16"/>
              </w:rPr>
              <w:t xml:space="preserve"> </w:t>
            </w:r>
            <w:r>
              <w:rPr>
                <w:rFonts w:ascii="VIC"/>
                <w:color w:val="52555A"/>
                <w:sz w:val="16"/>
              </w:rPr>
              <w:t>to</w:t>
            </w:r>
            <w:r>
              <w:rPr>
                <w:rFonts w:ascii="VIC"/>
                <w:color w:val="52555A"/>
                <w:spacing w:val="10"/>
                <w:sz w:val="16"/>
              </w:rPr>
              <w:t xml:space="preserve"> </w:t>
            </w:r>
            <w:r>
              <w:rPr>
                <w:rFonts w:ascii="VIC"/>
                <w:color w:val="52555A"/>
                <w:sz w:val="16"/>
              </w:rPr>
              <w:t>re-use</w:t>
            </w:r>
            <w:r>
              <w:rPr>
                <w:rFonts w:ascii="VIC"/>
                <w:color w:val="52555A"/>
                <w:spacing w:val="11"/>
                <w:sz w:val="16"/>
              </w:rPr>
              <w:t xml:space="preserve"> </w:t>
            </w:r>
            <w:r>
              <w:rPr>
                <w:rFonts w:ascii="VIC"/>
                <w:color w:val="52555A"/>
                <w:sz w:val="16"/>
              </w:rPr>
              <w:t>the</w:t>
            </w:r>
            <w:r>
              <w:rPr>
                <w:rFonts w:ascii="VIC"/>
                <w:color w:val="52555A"/>
                <w:spacing w:val="8"/>
                <w:sz w:val="16"/>
              </w:rPr>
              <w:t xml:space="preserve"> </w:t>
            </w:r>
            <w:r>
              <w:rPr>
                <w:rFonts w:ascii="VIC"/>
                <w:color w:val="52555A"/>
                <w:sz w:val="16"/>
              </w:rPr>
              <w:t>work</w:t>
            </w:r>
            <w:r>
              <w:rPr>
                <w:rFonts w:ascii="VIC"/>
                <w:color w:val="52555A"/>
                <w:spacing w:val="8"/>
                <w:sz w:val="16"/>
              </w:rPr>
              <w:t xml:space="preserve"> </w:t>
            </w:r>
            <w:r>
              <w:rPr>
                <w:rFonts w:ascii="VIC"/>
                <w:color w:val="52555A"/>
                <w:sz w:val="16"/>
              </w:rPr>
              <w:t>under</w:t>
            </w:r>
            <w:r>
              <w:rPr>
                <w:rFonts w:ascii="VIC"/>
                <w:color w:val="52555A"/>
                <w:spacing w:val="10"/>
                <w:sz w:val="16"/>
              </w:rPr>
              <w:t xml:space="preserve"> </w:t>
            </w:r>
            <w:r>
              <w:rPr>
                <w:rFonts w:ascii="VIC"/>
                <w:color w:val="52555A"/>
                <w:sz w:val="16"/>
              </w:rPr>
              <w:t>that</w:t>
            </w:r>
            <w:r>
              <w:rPr>
                <w:rFonts w:ascii="VIC"/>
                <w:color w:val="52555A"/>
                <w:spacing w:val="11"/>
                <w:sz w:val="16"/>
              </w:rPr>
              <w:t xml:space="preserve"> </w:t>
            </w:r>
            <w:proofErr w:type="spellStart"/>
            <w:r>
              <w:rPr>
                <w:rFonts w:ascii="VIC"/>
                <w:color w:val="52555A"/>
                <w:sz w:val="16"/>
              </w:rPr>
              <w:t>licence</w:t>
            </w:r>
            <w:proofErr w:type="spellEnd"/>
            <w:r>
              <w:rPr>
                <w:rFonts w:ascii="VIC"/>
                <w:color w:val="52555A"/>
                <w:sz w:val="16"/>
              </w:rPr>
              <w:t>,</w:t>
            </w:r>
            <w:r>
              <w:rPr>
                <w:rFonts w:ascii="VIC"/>
                <w:color w:val="52555A"/>
                <w:spacing w:val="8"/>
                <w:sz w:val="16"/>
              </w:rPr>
              <w:t xml:space="preserve"> </w:t>
            </w:r>
            <w:r>
              <w:rPr>
                <w:rFonts w:ascii="VIC"/>
                <w:color w:val="52555A"/>
                <w:sz w:val="16"/>
              </w:rPr>
              <w:t>on</w:t>
            </w:r>
            <w:r>
              <w:rPr>
                <w:rFonts w:ascii="VIC"/>
                <w:color w:val="52555A"/>
                <w:spacing w:val="10"/>
                <w:sz w:val="16"/>
              </w:rPr>
              <w:t xml:space="preserve"> </w:t>
            </w:r>
            <w:r>
              <w:rPr>
                <w:rFonts w:ascii="VIC"/>
                <w:color w:val="52555A"/>
                <w:sz w:val="16"/>
              </w:rPr>
              <w:t>the</w:t>
            </w:r>
            <w:r>
              <w:rPr>
                <w:rFonts w:ascii="VIC"/>
                <w:color w:val="52555A"/>
                <w:spacing w:val="12"/>
                <w:sz w:val="16"/>
              </w:rPr>
              <w:t xml:space="preserve"> </w:t>
            </w:r>
            <w:r>
              <w:rPr>
                <w:rFonts w:ascii="VIC"/>
                <w:color w:val="52555A"/>
                <w:sz w:val="16"/>
              </w:rPr>
              <w:t>condition</w:t>
            </w:r>
            <w:r>
              <w:rPr>
                <w:rFonts w:ascii="VIC"/>
                <w:color w:val="52555A"/>
                <w:spacing w:val="-38"/>
                <w:sz w:val="16"/>
              </w:rPr>
              <w:t xml:space="preserve"> </w:t>
            </w:r>
            <w:r>
              <w:rPr>
                <w:rFonts w:ascii="VIC"/>
                <w:color w:val="52555A"/>
                <w:sz w:val="16"/>
              </w:rPr>
              <w:t>that</w:t>
            </w:r>
            <w:r>
              <w:rPr>
                <w:rFonts w:ascii="VIC"/>
                <w:color w:val="52555A"/>
                <w:spacing w:val="6"/>
                <w:sz w:val="16"/>
              </w:rPr>
              <w:t xml:space="preserve"> </w:t>
            </w:r>
            <w:r>
              <w:rPr>
                <w:rFonts w:ascii="VIC"/>
                <w:color w:val="52555A"/>
                <w:sz w:val="16"/>
              </w:rPr>
              <w:t>you</w:t>
            </w:r>
            <w:r>
              <w:rPr>
                <w:rFonts w:ascii="VIC"/>
                <w:color w:val="52555A"/>
                <w:spacing w:val="8"/>
                <w:sz w:val="16"/>
              </w:rPr>
              <w:t xml:space="preserve"> </w:t>
            </w:r>
            <w:r>
              <w:rPr>
                <w:rFonts w:ascii="VIC"/>
                <w:color w:val="52555A"/>
                <w:sz w:val="16"/>
              </w:rPr>
              <w:t>credit</w:t>
            </w:r>
            <w:r>
              <w:rPr>
                <w:rFonts w:ascii="VIC"/>
                <w:color w:val="52555A"/>
                <w:spacing w:val="9"/>
                <w:sz w:val="16"/>
              </w:rPr>
              <w:t xml:space="preserve"> </w:t>
            </w:r>
            <w:r>
              <w:rPr>
                <w:rFonts w:ascii="VIC"/>
                <w:color w:val="52555A"/>
                <w:sz w:val="16"/>
              </w:rPr>
              <w:t>the</w:t>
            </w:r>
            <w:r>
              <w:rPr>
                <w:rFonts w:ascii="VIC"/>
                <w:color w:val="52555A"/>
                <w:spacing w:val="11"/>
                <w:sz w:val="16"/>
              </w:rPr>
              <w:t xml:space="preserve"> </w:t>
            </w:r>
            <w:r>
              <w:rPr>
                <w:rFonts w:ascii="VIC"/>
                <w:color w:val="52555A"/>
                <w:sz w:val="16"/>
              </w:rPr>
              <w:t>State</w:t>
            </w:r>
            <w:r>
              <w:rPr>
                <w:rFonts w:ascii="VIC"/>
                <w:color w:val="52555A"/>
                <w:spacing w:val="8"/>
                <w:sz w:val="16"/>
              </w:rPr>
              <w:t xml:space="preserve"> </w:t>
            </w:r>
            <w:r>
              <w:rPr>
                <w:rFonts w:ascii="VIC"/>
                <w:color w:val="52555A"/>
                <w:sz w:val="16"/>
              </w:rPr>
              <w:t>of</w:t>
            </w:r>
            <w:r>
              <w:rPr>
                <w:rFonts w:ascii="VIC"/>
                <w:color w:val="52555A"/>
                <w:spacing w:val="9"/>
                <w:sz w:val="16"/>
              </w:rPr>
              <w:t xml:space="preserve"> </w:t>
            </w:r>
            <w:r>
              <w:rPr>
                <w:rFonts w:ascii="VIC"/>
                <w:color w:val="52555A"/>
                <w:sz w:val="16"/>
              </w:rPr>
              <w:t>Victoria</w:t>
            </w:r>
            <w:r>
              <w:rPr>
                <w:rFonts w:ascii="VIC"/>
                <w:color w:val="52555A"/>
                <w:spacing w:val="7"/>
                <w:sz w:val="16"/>
              </w:rPr>
              <w:t xml:space="preserve"> </w:t>
            </w:r>
            <w:r>
              <w:rPr>
                <w:rFonts w:ascii="VIC"/>
                <w:color w:val="52555A"/>
                <w:sz w:val="16"/>
              </w:rPr>
              <w:t>as</w:t>
            </w:r>
            <w:r>
              <w:rPr>
                <w:rFonts w:ascii="VIC"/>
                <w:color w:val="52555A"/>
                <w:spacing w:val="8"/>
                <w:sz w:val="16"/>
              </w:rPr>
              <w:t xml:space="preserve"> </w:t>
            </w:r>
            <w:r>
              <w:rPr>
                <w:rFonts w:ascii="VIC"/>
                <w:color w:val="52555A"/>
                <w:sz w:val="16"/>
              </w:rPr>
              <w:t>author.</w:t>
            </w:r>
            <w:r>
              <w:rPr>
                <w:rFonts w:ascii="VIC"/>
                <w:color w:val="52555A"/>
                <w:spacing w:val="11"/>
                <w:sz w:val="16"/>
              </w:rPr>
              <w:t xml:space="preserve"> </w:t>
            </w:r>
            <w:r>
              <w:rPr>
                <w:rFonts w:ascii="VIC"/>
                <w:color w:val="52555A"/>
                <w:sz w:val="16"/>
              </w:rPr>
              <w:t>The</w:t>
            </w:r>
            <w:r>
              <w:rPr>
                <w:rFonts w:ascii="VIC"/>
                <w:color w:val="52555A"/>
                <w:spacing w:val="7"/>
                <w:sz w:val="16"/>
              </w:rPr>
              <w:t xml:space="preserve"> </w:t>
            </w:r>
            <w:proofErr w:type="spellStart"/>
            <w:r>
              <w:rPr>
                <w:rFonts w:ascii="VIC"/>
                <w:color w:val="52555A"/>
                <w:sz w:val="16"/>
              </w:rPr>
              <w:t>licence</w:t>
            </w:r>
            <w:proofErr w:type="spellEnd"/>
            <w:r>
              <w:rPr>
                <w:rFonts w:ascii="VIC"/>
                <w:color w:val="52555A"/>
                <w:spacing w:val="1"/>
                <w:sz w:val="16"/>
              </w:rPr>
              <w:t xml:space="preserve"> </w:t>
            </w:r>
            <w:r>
              <w:rPr>
                <w:rFonts w:ascii="VIC"/>
                <w:color w:val="52555A"/>
                <w:sz w:val="16"/>
              </w:rPr>
              <w:t>does</w:t>
            </w:r>
            <w:r>
              <w:rPr>
                <w:rFonts w:ascii="VIC"/>
                <w:color w:val="52555A"/>
                <w:spacing w:val="6"/>
                <w:sz w:val="16"/>
              </w:rPr>
              <w:t xml:space="preserve"> </w:t>
            </w:r>
            <w:r>
              <w:rPr>
                <w:rFonts w:ascii="VIC"/>
                <w:color w:val="52555A"/>
                <w:sz w:val="16"/>
              </w:rPr>
              <w:t>not</w:t>
            </w:r>
            <w:r>
              <w:rPr>
                <w:rFonts w:ascii="VIC"/>
                <w:color w:val="52555A"/>
                <w:spacing w:val="8"/>
                <w:sz w:val="16"/>
              </w:rPr>
              <w:t xml:space="preserve"> </w:t>
            </w:r>
            <w:r>
              <w:rPr>
                <w:rFonts w:ascii="VIC"/>
                <w:color w:val="52555A"/>
                <w:sz w:val="16"/>
              </w:rPr>
              <w:t>apply</w:t>
            </w:r>
            <w:r>
              <w:rPr>
                <w:rFonts w:ascii="VIC"/>
                <w:color w:val="52555A"/>
                <w:spacing w:val="10"/>
                <w:sz w:val="16"/>
              </w:rPr>
              <w:t xml:space="preserve"> </w:t>
            </w:r>
            <w:r>
              <w:rPr>
                <w:rFonts w:ascii="VIC"/>
                <w:color w:val="52555A"/>
                <w:sz w:val="16"/>
              </w:rPr>
              <w:t>to</w:t>
            </w:r>
            <w:r>
              <w:rPr>
                <w:rFonts w:ascii="VIC"/>
                <w:color w:val="52555A"/>
                <w:spacing w:val="8"/>
                <w:sz w:val="16"/>
              </w:rPr>
              <w:t xml:space="preserve"> </w:t>
            </w:r>
            <w:r>
              <w:rPr>
                <w:rFonts w:ascii="VIC"/>
                <w:color w:val="52555A"/>
                <w:sz w:val="16"/>
              </w:rPr>
              <w:t>any</w:t>
            </w:r>
            <w:r>
              <w:rPr>
                <w:rFonts w:ascii="VIC"/>
                <w:color w:val="52555A"/>
                <w:spacing w:val="10"/>
                <w:sz w:val="16"/>
              </w:rPr>
              <w:t xml:space="preserve"> </w:t>
            </w:r>
            <w:r>
              <w:rPr>
                <w:rFonts w:ascii="VIC"/>
                <w:color w:val="52555A"/>
                <w:sz w:val="16"/>
              </w:rPr>
              <w:t>images,</w:t>
            </w:r>
            <w:r>
              <w:rPr>
                <w:rFonts w:ascii="VIC"/>
                <w:color w:val="52555A"/>
                <w:spacing w:val="6"/>
                <w:sz w:val="16"/>
              </w:rPr>
              <w:t xml:space="preserve"> </w:t>
            </w:r>
            <w:r>
              <w:rPr>
                <w:rFonts w:ascii="VIC"/>
                <w:color w:val="52555A"/>
                <w:sz w:val="16"/>
              </w:rPr>
              <w:t>photographs</w:t>
            </w:r>
            <w:r>
              <w:rPr>
                <w:rFonts w:ascii="VIC"/>
                <w:color w:val="52555A"/>
                <w:spacing w:val="6"/>
                <w:sz w:val="16"/>
              </w:rPr>
              <w:t xml:space="preserve"> </w:t>
            </w:r>
            <w:r>
              <w:rPr>
                <w:rFonts w:ascii="VIC"/>
                <w:color w:val="52555A"/>
                <w:sz w:val="16"/>
              </w:rPr>
              <w:t>or</w:t>
            </w:r>
            <w:r>
              <w:rPr>
                <w:rFonts w:ascii="VIC"/>
                <w:color w:val="52555A"/>
                <w:spacing w:val="11"/>
                <w:sz w:val="16"/>
              </w:rPr>
              <w:t xml:space="preserve"> </w:t>
            </w:r>
            <w:r>
              <w:rPr>
                <w:rFonts w:ascii="VIC"/>
                <w:color w:val="52555A"/>
                <w:sz w:val="16"/>
              </w:rPr>
              <w:t>branding,</w:t>
            </w:r>
            <w:r>
              <w:rPr>
                <w:rFonts w:ascii="VIC"/>
                <w:color w:val="52555A"/>
                <w:spacing w:val="1"/>
                <w:sz w:val="16"/>
              </w:rPr>
              <w:t xml:space="preserve"> </w:t>
            </w:r>
            <w:r>
              <w:rPr>
                <w:rFonts w:ascii="VIC"/>
                <w:color w:val="52555A"/>
                <w:sz w:val="16"/>
              </w:rPr>
              <w:t>including</w:t>
            </w:r>
            <w:r>
              <w:rPr>
                <w:rFonts w:ascii="VIC"/>
                <w:color w:val="52555A"/>
                <w:spacing w:val="6"/>
                <w:sz w:val="16"/>
              </w:rPr>
              <w:t xml:space="preserve"> </w:t>
            </w:r>
            <w:r>
              <w:rPr>
                <w:rFonts w:ascii="VIC"/>
                <w:color w:val="52555A"/>
                <w:sz w:val="16"/>
              </w:rPr>
              <w:t>the</w:t>
            </w:r>
            <w:r>
              <w:rPr>
                <w:rFonts w:ascii="VIC"/>
                <w:color w:val="52555A"/>
                <w:spacing w:val="5"/>
                <w:sz w:val="16"/>
              </w:rPr>
              <w:t xml:space="preserve"> </w:t>
            </w:r>
            <w:r>
              <w:rPr>
                <w:rFonts w:ascii="VIC"/>
                <w:color w:val="52555A"/>
                <w:sz w:val="16"/>
              </w:rPr>
              <w:t>Victorian</w:t>
            </w:r>
            <w:r>
              <w:rPr>
                <w:rFonts w:ascii="VIC"/>
                <w:color w:val="52555A"/>
                <w:spacing w:val="5"/>
                <w:sz w:val="16"/>
              </w:rPr>
              <w:t xml:space="preserve"> </w:t>
            </w:r>
            <w:r>
              <w:rPr>
                <w:rFonts w:ascii="VIC"/>
                <w:color w:val="52555A"/>
                <w:sz w:val="16"/>
              </w:rPr>
              <w:t>Coat</w:t>
            </w:r>
            <w:r>
              <w:rPr>
                <w:rFonts w:ascii="VIC"/>
                <w:color w:val="52555A"/>
                <w:spacing w:val="4"/>
                <w:sz w:val="16"/>
              </w:rPr>
              <w:t xml:space="preserve"> </w:t>
            </w:r>
            <w:r>
              <w:rPr>
                <w:rFonts w:ascii="VIC"/>
                <w:color w:val="52555A"/>
                <w:sz w:val="16"/>
              </w:rPr>
              <w:t>of</w:t>
            </w:r>
            <w:r>
              <w:rPr>
                <w:rFonts w:ascii="VIC"/>
                <w:color w:val="52555A"/>
                <w:spacing w:val="5"/>
                <w:sz w:val="16"/>
              </w:rPr>
              <w:t xml:space="preserve"> </w:t>
            </w:r>
            <w:r>
              <w:rPr>
                <w:rFonts w:ascii="VIC"/>
                <w:color w:val="52555A"/>
                <w:sz w:val="16"/>
              </w:rPr>
              <w:t>Arms,</w:t>
            </w:r>
            <w:r>
              <w:rPr>
                <w:rFonts w:ascii="VIC"/>
                <w:color w:val="52555A"/>
                <w:spacing w:val="7"/>
                <w:sz w:val="16"/>
              </w:rPr>
              <w:t xml:space="preserve"> </w:t>
            </w:r>
            <w:r>
              <w:rPr>
                <w:rFonts w:ascii="VIC"/>
                <w:color w:val="52555A"/>
                <w:sz w:val="16"/>
              </w:rPr>
              <w:t>the</w:t>
            </w:r>
            <w:r>
              <w:rPr>
                <w:rFonts w:ascii="VIC"/>
                <w:color w:val="52555A"/>
                <w:spacing w:val="5"/>
                <w:sz w:val="16"/>
              </w:rPr>
              <w:t xml:space="preserve"> </w:t>
            </w:r>
            <w:r>
              <w:rPr>
                <w:rFonts w:ascii="VIC"/>
                <w:color w:val="52555A"/>
                <w:sz w:val="16"/>
              </w:rPr>
              <w:t>Victorian</w:t>
            </w:r>
            <w:r>
              <w:rPr>
                <w:rFonts w:ascii="VIC"/>
                <w:color w:val="52555A"/>
                <w:spacing w:val="1"/>
                <w:sz w:val="16"/>
              </w:rPr>
              <w:t xml:space="preserve"> </w:t>
            </w:r>
            <w:r>
              <w:rPr>
                <w:rFonts w:ascii="VIC"/>
                <w:color w:val="52555A"/>
                <w:sz w:val="16"/>
              </w:rPr>
              <w:t>Government</w:t>
            </w:r>
            <w:r>
              <w:rPr>
                <w:rFonts w:ascii="VIC"/>
                <w:color w:val="52555A"/>
                <w:spacing w:val="6"/>
                <w:sz w:val="16"/>
              </w:rPr>
              <w:t xml:space="preserve"> </w:t>
            </w:r>
            <w:r>
              <w:rPr>
                <w:rFonts w:ascii="VIC"/>
                <w:color w:val="52555A"/>
                <w:sz w:val="16"/>
              </w:rPr>
              <w:t>logo</w:t>
            </w:r>
            <w:r>
              <w:rPr>
                <w:rFonts w:ascii="VIC"/>
                <w:color w:val="52555A"/>
                <w:spacing w:val="8"/>
                <w:sz w:val="16"/>
              </w:rPr>
              <w:t xml:space="preserve"> </w:t>
            </w:r>
            <w:r>
              <w:rPr>
                <w:rFonts w:ascii="VIC"/>
                <w:color w:val="52555A"/>
                <w:sz w:val="16"/>
              </w:rPr>
              <w:t>and</w:t>
            </w:r>
            <w:r>
              <w:rPr>
                <w:rFonts w:ascii="VIC"/>
                <w:color w:val="52555A"/>
                <w:spacing w:val="6"/>
                <w:sz w:val="16"/>
              </w:rPr>
              <w:t xml:space="preserve"> </w:t>
            </w:r>
            <w:r>
              <w:rPr>
                <w:rFonts w:ascii="VIC"/>
                <w:color w:val="52555A"/>
                <w:sz w:val="16"/>
              </w:rPr>
              <w:t>the</w:t>
            </w:r>
            <w:r>
              <w:rPr>
                <w:rFonts w:ascii="VIC"/>
                <w:color w:val="52555A"/>
                <w:spacing w:val="8"/>
                <w:sz w:val="16"/>
              </w:rPr>
              <w:t xml:space="preserve"> </w:t>
            </w:r>
            <w:r>
              <w:rPr>
                <w:rFonts w:ascii="VIC"/>
                <w:color w:val="52555A"/>
                <w:sz w:val="16"/>
              </w:rPr>
              <w:t>Department</w:t>
            </w:r>
            <w:r>
              <w:rPr>
                <w:rFonts w:ascii="VIC"/>
                <w:color w:val="52555A"/>
                <w:spacing w:val="6"/>
                <w:sz w:val="16"/>
              </w:rPr>
              <w:t xml:space="preserve"> </w:t>
            </w:r>
            <w:r>
              <w:rPr>
                <w:rFonts w:ascii="VIC"/>
                <w:color w:val="52555A"/>
                <w:sz w:val="16"/>
              </w:rPr>
              <w:t>of</w:t>
            </w:r>
            <w:r>
              <w:rPr>
                <w:rFonts w:ascii="VIC"/>
                <w:color w:val="52555A"/>
                <w:spacing w:val="9"/>
                <w:sz w:val="16"/>
              </w:rPr>
              <w:t xml:space="preserve"> </w:t>
            </w:r>
            <w:r>
              <w:rPr>
                <w:rFonts w:ascii="VIC"/>
                <w:color w:val="52555A"/>
                <w:sz w:val="16"/>
              </w:rPr>
              <w:t>Transport</w:t>
            </w:r>
            <w:r>
              <w:rPr>
                <w:rFonts w:ascii="VIC"/>
                <w:color w:val="52555A"/>
                <w:spacing w:val="11"/>
                <w:sz w:val="16"/>
              </w:rPr>
              <w:t xml:space="preserve"> </w:t>
            </w:r>
            <w:r>
              <w:rPr>
                <w:rFonts w:ascii="VIC"/>
                <w:color w:val="52555A"/>
                <w:sz w:val="16"/>
              </w:rPr>
              <w:t>and</w:t>
            </w:r>
            <w:r>
              <w:rPr>
                <w:rFonts w:ascii="VIC"/>
                <w:color w:val="52555A"/>
                <w:spacing w:val="1"/>
                <w:sz w:val="16"/>
              </w:rPr>
              <w:t xml:space="preserve"> </w:t>
            </w:r>
            <w:r>
              <w:rPr>
                <w:rFonts w:ascii="VIC"/>
                <w:color w:val="52555A"/>
                <w:sz w:val="16"/>
              </w:rPr>
              <w:t>Planning</w:t>
            </w:r>
            <w:r>
              <w:rPr>
                <w:rFonts w:ascii="VIC"/>
                <w:color w:val="52555A"/>
                <w:spacing w:val="4"/>
                <w:sz w:val="16"/>
              </w:rPr>
              <w:t xml:space="preserve"> </w:t>
            </w:r>
            <w:r>
              <w:rPr>
                <w:rFonts w:ascii="VIC"/>
                <w:color w:val="52555A"/>
                <w:sz w:val="16"/>
              </w:rPr>
              <w:t>(DTP)</w:t>
            </w:r>
            <w:r>
              <w:rPr>
                <w:rFonts w:ascii="VIC"/>
                <w:color w:val="52555A"/>
                <w:spacing w:val="6"/>
                <w:sz w:val="16"/>
              </w:rPr>
              <w:t xml:space="preserve"> </w:t>
            </w:r>
            <w:r>
              <w:rPr>
                <w:rFonts w:ascii="VIC"/>
                <w:color w:val="52555A"/>
                <w:sz w:val="16"/>
              </w:rPr>
              <w:t>logo.</w:t>
            </w:r>
            <w:r>
              <w:rPr>
                <w:rFonts w:ascii="VIC"/>
                <w:color w:val="52555A"/>
                <w:spacing w:val="9"/>
                <w:sz w:val="16"/>
              </w:rPr>
              <w:t xml:space="preserve"> </w:t>
            </w:r>
            <w:r>
              <w:rPr>
                <w:rFonts w:ascii="VIC"/>
                <w:color w:val="52555A"/>
                <w:sz w:val="16"/>
              </w:rPr>
              <w:t>To</w:t>
            </w:r>
            <w:r>
              <w:rPr>
                <w:rFonts w:ascii="VIC"/>
                <w:color w:val="52555A"/>
                <w:spacing w:val="6"/>
                <w:sz w:val="16"/>
              </w:rPr>
              <w:t xml:space="preserve"> </w:t>
            </w:r>
            <w:r>
              <w:rPr>
                <w:rFonts w:ascii="VIC"/>
                <w:color w:val="52555A"/>
                <w:sz w:val="16"/>
              </w:rPr>
              <w:t>view</w:t>
            </w:r>
            <w:r>
              <w:rPr>
                <w:rFonts w:ascii="VIC"/>
                <w:color w:val="52555A"/>
                <w:spacing w:val="7"/>
                <w:sz w:val="16"/>
              </w:rPr>
              <w:t xml:space="preserve"> </w:t>
            </w:r>
            <w:r>
              <w:rPr>
                <w:rFonts w:ascii="VIC"/>
                <w:color w:val="52555A"/>
                <w:sz w:val="16"/>
              </w:rPr>
              <w:t>a</w:t>
            </w:r>
            <w:r>
              <w:rPr>
                <w:rFonts w:ascii="VIC"/>
                <w:color w:val="52555A"/>
                <w:spacing w:val="5"/>
                <w:sz w:val="16"/>
              </w:rPr>
              <w:t xml:space="preserve"> </w:t>
            </w:r>
            <w:r>
              <w:rPr>
                <w:rFonts w:ascii="VIC"/>
                <w:color w:val="52555A"/>
                <w:sz w:val="16"/>
              </w:rPr>
              <w:t>copy</w:t>
            </w:r>
            <w:r>
              <w:rPr>
                <w:rFonts w:ascii="VIC"/>
                <w:color w:val="52555A"/>
                <w:spacing w:val="7"/>
                <w:sz w:val="16"/>
              </w:rPr>
              <w:t xml:space="preserve"> </w:t>
            </w:r>
            <w:r>
              <w:rPr>
                <w:rFonts w:ascii="VIC"/>
                <w:color w:val="52555A"/>
                <w:sz w:val="16"/>
              </w:rPr>
              <w:t>of</w:t>
            </w:r>
            <w:r>
              <w:rPr>
                <w:rFonts w:ascii="VIC"/>
                <w:color w:val="52555A"/>
                <w:spacing w:val="8"/>
                <w:sz w:val="16"/>
              </w:rPr>
              <w:t xml:space="preserve"> </w:t>
            </w:r>
            <w:r>
              <w:rPr>
                <w:rFonts w:ascii="VIC"/>
                <w:color w:val="52555A"/>
                <w:sz w:val="16"/>
              </w:rPr>
              <w:t>this</w:t>
            </w:r>
            <w:r>
              <w:rPr>
                <w:rFonts w:ascii="VIC"/>
                <w:color w:val="52555A"/>
                <w:spacing w:val="9"/>
                <w:sz w:val="16"/>
              </w:rPr>
              <w:t xml:space="preserve"> </w:t>
            </w:r>
            <w:proofErr w:type="spellStart"/>
            <w:r>
              <w:rPr>
                <w:rFonts w:ascii="VIC"/>
                <w:color w:val="52555A"/>
                <w:sz w:val="16"/>
              </w:rPr>
              <w:t>licence</w:t>
            </w:r>
            <w:proofErr w:type="spellEnd"/>
            <w:r>
              <w:rPr>
                <w:rFonts w:ascii="VIC"/>
                <w:color w:val="52555A"/>
                <w:sz w:val="16"/>
              </w:rPr>
              <w:t>,</w:t>
            </w:r>
            <w:r>
              <w:rPr>
                <w:rFonts w:ascii="VIC"/>
                <w:color w:val="52555A"/>
                <w:spacing w:val="8"/>
                <w:sz w:val="16"/>
              </w:rPr>
              <w:t xml:space="preserve"> </w:t>
            </w:r>
            <w:r>
              <w:rPr>
                <w:rFonts w:ascii="VIC"/>
                <w:color w:val="52555A"/>
                <w:sz w:val="16"/>
              </w:rPr>
              <w:t>visit</w:t>
            </w:r>
            <w:r>
              <w:rPr>
                <w:rFonts w:ascii="VIC"/>
                <w:color w:val="52555A"/>
                <w:spacing w:val="1"/>
                <w:sz w:val="16"/>
              </w:rPr>
              <w:t xml:space="preserve"> </w:t>
            </w:r>
            <w:hyperlink r:id="rId27">
              <w:r>
                <w:rPr>
                  <w:rFonts w:ascii="VIC"/>
                  <w:color w:val="52555A"/>
                  <w:sz w:val="16"/>
                  <w:u w:val="single" w:color="52555A"/>
                </w:rPr>
                <w:t>http://creativecommons.org/licenses/by/4.0/</w:t>
              </w:r>
            </w:hyperlink>
          </w:p>
          <w:p w14:paraId="14273758" w14:textId="6DC31C81" w:rsidR="004D2117" w:rsidRDefault="004D2117" w:rsidP="004B5179">
            <w:pPr>
              <w:pStyle w:val="TableParagraph"/>
              <w:spacing w:before="118"/>
              <w:ind w:left="144"/>
              <w:rPr>
                <w:rFonts w:ascii="VIC"/>
                <w:sz w:val="16"/>
              </w:rPr>
            </w:pPr>
            <w:r>
              <w:rPr>
                <w:rFonts w:ascii="VIC"/>
                <w:color w:val="52555A"/>
                <w:sz w:val="16"/>
              </w:rPr>
              <w:t>ISBN</w:t>
            </w:r>
            <w:r w:rsidRPr="00EE7D92">
              <w:rPr>
                <w:rFonts w:ascii="VIC"/>
                <w:color w:val="52555A"/>
                <w:sz w:val="16"/>
              </w:rPr>
              <w:t xml:space="preserve"> </w:t>
            </w:r>
            <w:r w:rsidR="00EE7D92" w:rsidRPr="00EE7D92">
              <w:rPr>
                <w:rFonts w:ascii="VIC"/>
                <w:color w:val="52555A"/>
                <w:sz w:val="16"/>
              </w:rPr>
              <w:t xml:space="preserve"> 978</w:t>
            </w:r>
            <w:r w:rsidR="005D5FB1" w:rsidRPr="00EE7D92">
              <w:rPr>
                <w:rFonts w:ascii="VIC"/>
                <w:color w:val="52555A"/>
                <w:sz w:val="16"/>
              </w:rPr>
              <w:t>-</w:t>
            </w:r>
            <w:r w:rsidR="00EE7D92" w:rsidRPr="00EE7D92">
              <w:rPr>
                <w:rFonts w:ascii="VIC"/>
                <w:color w:val="52555A"/>
                <w:sz w:val="16"/>
              </w:rPr>
              <w:t>0-7311-9355-4</w:t>
            </w:r>
            <w:r>
              <w:rPr>
                <w:rFonts w:ascii="VIC"/>
                <w:color w:val="FF0000"/>
                <w:spacing w:val="13"/>
                <w:sz w:val="16"/>
              </w:rPr>
              <w:t xml:space="preserve"> </w:t>
            </w:r>
            <w:r>
              <w:rPr>
                <w:rFonts w:ascii="VIC"/>
                <w:color w:val="52555A"/>
                <w:sz w:val="16"/>
              </w:rPr>
              <w:t>(pdf/online/MS</w:t>
            </w:r>
            <w:r>
              <w:rPr>
                <w:rFonts w:ascii="VIC"/>
                <w:color w:val="52555A"/>
                <w:spacing w:val="12"/>
                <w:sz w:val="16"/>
              </w:rPr>
              <w:t xml:space="preserve"> </w:t>
            </w:r>
            <w:r>
              <w:rPr>
                <w:rFonts w:ascii="VIC"/>
                <w:color w:val="52555A"/>
                <w:sz w:val="16"/>
              </w:rPr>
              <w:t>word)</w:t>
            </w:r>
          </w:p>
          <w:p w14:paraId="3F82EEA1" w14:textId="77777777" w:rsidR="004D2117" w:rsidRDefault="004D2117" w:rsidP="004B5179">
            <w:pPr>
              <w:pStyle w:val="TableParagraph"/>
              <w:spacing w:before="122"/>
              <w:ind w:left="144"/>
              <w:rPr>
                <w:rFonts w:ascii="VIC"/>
                <w:b/>
                <w:sz w:val="16"/>
              </w:rPr>
            </w:pPr>
            <w:r>
              <w:rPr>
                <w:rFonts w:ascii="VIC"/>
                <w:b/>
                <w:color w:val="52555A"/>
                <w:sz w:val="16"/>
              </w:rPr>
              <w:t>Disclaimer</w:t>
            </w:r>
          </w:p>
          <w:p w14:paraId="1D097127" w14:textId="77777777" w:rsidR="004D2117" w:rsidRDefault="004D2117" w:rsidP="004B5179">
            <w:pPr>
              <w:pStyle w:val="TableParagraph"/>
              <w:spacing w:before="38"/>
              <w:ind w:left="144" w:right="373"/>
              <w:rPr>
                <w:rFonts w:ascii="VIC"/>
                <w:sz w:val="16"/>
              </w:rPr>
            </w:pPr>
            <w:r>
              <w:rPr>
                <w:rFonts w:ascii="VIC"/>
                <w:color w:val="52555A"/>
                <w:sz w:val="16"/>
              </w:rPr>
              <w:t>This</w:t>
            </w:r>
            <w:r>
              <w:rPr>
                <w:rFonts w:ascii="VIC"/>
                <w:color w:val="52555A"/>
                <w:spacing w:val="10"/>
                <w:sz w:val="16"/>
              </w:rPr>
              <w:t xml:space="preserve"> </w:t>
            </w:r>
            <w:r>
              <w:rPr>
                <w:rFonts w:ascii="VIC"/>
                <w:color w:val="52555A"/>
                <w:sz w:val="16"/>
              </w:rPr>
              <w:t>publication</w:t>
            </w:r>
            <w:r>
              <w:rPr>
                <w:rFonts w:ascii="VIC"/>
                <w:color w:val="52555A"/>
                <w:spacing w:val="11"/>
                <w:sz w:val="16"/>
              </w:rPr>
              <w:t xml:space="preserve"> </w:t>
            </w:r>
            <w:r>
              <w:rPr>
                <w:rFonts w:ascii="VIC"/>
                <w:color w:val="52555A"/>
                <w:sz w:val="16"/>
              </w:rPr>
              <w:t>may</w:t>
            </w:r>
            <w:r>
              <w:rPr>
                <w:rFonts w:ascii="VIC"/>
                <w:color w:val="52555A"/>
                <w:spacing w:val="9"/>
                <w:sz w:val="16"/>
              </w:rPr>
              <w:t xml:space="preserve"> </w:t>
            </w:r>
            <w:r>
              <w:rPr>
                <w:rFonts w:ascii="VIC"/>
                <w:color w:val="52555A"/>
                <w:sz w:val="16"/>
              </w:rPr>
              <w:t>be</w:t>
            </w:r>
            <w:r>
              <w:rPr>
                <w:rFonts w:ascii="VIC"/>
                <w:color w:val="52555A"/>
                <w:spacing w:val="7"/>
                <w:sz w:val="16"/>
              </w:rPr>
              <w:t xml:space="preserve"> </w:t>
            </w:r>
            <w:r>
              <w:rPr>
                <w:rFonts w:ascii="VIC"/>
                <w:color w:val="52555A"/>
                <w:sz w:val="16"/>
              </w:rPr>
              <w:t>of</w:t>
            </w:r>
            <w:r>
              <w:rPr>
                <w:rFonts w:ascii="VIC"/>
                <w:color w:val="52555A"/>
                <w:spacing w:val="9"/>
                <w:sz w:val="16"/>
              </w:rPr>
              <w:t xml:space="preserve"> </w:t>
            </w:r>
            <w:r>
              <w:rPr>
                <w:rFonts w:ascii="VIC"/>
                <w:color w:val="52555A"/>
                <w:sz w:val="16"/>
              </w:rPr>
              <w:t>assistance</w:t>
            </w:r>
            <w:r>
              <w:rPr>
                <w:rFonts w:ascii="VIC"/>
                <w:color w:val="52555A"/>
                <w:spacing w:val="7"/>
                <w:sz w:val="16"/>
              </w:rPr>
              <w:t xml:space="preserve"> </w:t>
            </w:r>
            <w:r>
              <w:rPr>
                <w:rFonts w:ascii="VIC"/>
                <w:color w:val="52555A"/>
                <w:sz w:val="16"/>
              </w:rPr>
              <w:t>to</w:t>
            </w:r>
            <w:r>
              <w:rPr>
                <w:rFonts w:ascii="VIC"/>
                <w:color w:val="52555A"/>
                <w:spacing w:val="9"/>
                <w:sz w:val="16"/>
              </w:rPr>
              <w:t xml:space="preserve"> </w:t>
            </w:r>
            <w:r>
              <w:rPr>
                <w:rFonts w:ascii="VIC"/>
                <w:color w:val="52555A"/>
                <w:sz w:val="16"/>
              </w:rPr>
              <w:t>you</w:t>
            </w:r>
            <w:r>
              <w:rPr>
                <w:rFonts w:ascii="VIC"/>
                <w:color w:val="52555A"/>
                <w:spacing w:val="9"/>
                <w:sz w:val="16"/>
              </w:rPr>
              <w:t xml:space="preserve"> </w:t>
            </w:r>
            <w:r>
              <w:rPr>
                <w:rFonts w:ascii="VIC"/>
                <w:color w:val="52555A"/>
                <w:sz w:val="16"/>
              </w:rPr>
              <w:t>but</w:t>
            </w:r>
            <w:r>
              <w:rPr>
                <w:rFonts w:ascii="VIC"/>
                <w:color w:val="52555A"/>
                <w:spacing w:val="9"/>
                <w:sz w:val="16"/>
              </w:rPr>
              <w:t xml:space="preserve"> </w:t>
            </w:r>
            <w:r>
              <w:rPr>
                <w:rFonts w:ascii="VIC"/>
                <w:color w:val="52555A"/>
                <w:sz w:val="16"/>
              </w:rPr>
              <w:t>the</w:t>
            </w:r>
            <w:r>
              <w:rPr>
                <w:rFonts w:ascii="VIC"/>
                <w:color w:val="52555A"/>
                <w:spacing w:val="8"/>
                <w:sz w:val="16"/>
              </w:rPr>
              <w:t xml:space="preserve"> </w:t>
            </w:r>
            <w:r>
              <w:rPr>
                <w:rFonts w:ascii="VIC"/>
                <w:color w:val="52555A"/>
                <w:sz w:val="16"/>
              </w:rPr>
              <w:t>State</w:t>
            </w:r>
            <w:r>
              <w:rPr>
                <w:rFonts w:ascii="VIC"/>
                <w:color w:val="52555A"/>
                <w:spacing w:val="7"/>
                <w:sz w:val="16"/>
              </w:rPr>
              <w:t xml:space="preserve"> </w:t>
            </w:r>
            <w:r>
              <w:rPr>
                <w:rFonts w:ascii="VIC"/>
                <w:color w:val="52555A"/>
                <w:sz w:val="16"/>
              </w:rPr>
              <w:t>of</w:t>
            </w:r>
            <w:r>
              <w:rPr>
                <w:rFonts w:ascii="VIC"/>
                <w:color w:val="52555A"/>
                <w:spacing w:val="-37"/>
                <w:sz w:val="16"/>
              </w:rPr>
              <w:t xml:space="preserve"> </w:t>
            </w:r>
            <w:r>
              <w:rPr>
                <w:rFonts w:ascii="VIC"/>
                <w:color w:val="52555A"/>
                <w:sz w:val="16"/>
              </w:rPr>
              <w:t>Victoria</w:t>
            </w:r>
            <w:r>
              <w:rPr>
                <w:rFonts w:ascii="VIC"/>
                <w:color w:val="52555A"/>
                <w:spacing w:val="4"/>
                <w:sz w:val="16"/>
              </w:rPr>
              <w:t xml:space="preserve"> </w:t>
            </w:r>
            <w:r>
              <w:rPr>
                <w:rFonts w:ascii="VIC"/>
                <w:color w:val="52555A"/>
                <w:sz w:val="16"/>
              </w:rPr>
              <w:t>and</w:t>
            </w:r>
            <w:r>
              <w:rPr>
                <w:rFonts w:ascii="VIC"/>
                <w:color w:val="52555A"/>
                <w:spacing w:val="4"/>
                <w:sz w:val="16"/>
              </w:rPr>
              <w:t xml:space="preserve"> </w:t>
            </w:r>
            <w:r>
              <w:rPr>
                <w:rFonts w:ascii="VIC"/>
                <w:color w:val="52555A"/>
                <w:sz w:val="16"/>
              </w:rPr>
              <w:t>its</w:t>
            </w:r>
            <w:r>
              <w:rPr>
                <w:rFonts w:ascii="VIC"/>
                <w:color w:val="52555A"/>
                <w:spacing w:val="5"/>
                <w:sz w:val="16"/>
              </w:rPr>
              <w:t xml:space="preserve"> </w:t>
            </w:r>
            <w:r>
              <w:rPr>
                <w:rFonts w:ascii="VIC"/>
                <w:color w:val="52555A"/>
                <w:sz w:val="16"/>
              </w:rPr>
              <w:t>employees</w:t>
            </w:r>
            <w:r>
              <w:rPr>
                <w:rFonts w:ascii="VIC"/>
                <w:color w:val="52555A"/>
                <w:spacing w:val="5"/>
                <w:sz w:val="16"/>
              </w:rPr>
              <w:t xml:space="preserve"> </w:t>
            </w:r>
            <w:r>
              <w:rPr>
                <w:rFonts w:ascii="VIC"/>
                <w:color w:val="52555A"/>
                <w:sz w:val="16"/>
              </w:rPr>
              <w:t>do</w:t>
            </w:r>
            <w:r>
              <w:rPr>
                <w:rFonts w:ascii="VIC"/>
                <w:color w:val="52555A"/>
                <w:spacing w:val="3"/>
                <w:sz w:val="16"/>
              </w:rPr>
              <w:t xml:space="preserve"> </w:t>
            </w:r>
            <w:r>
              <w:rPr>
                <w:rFonts w:ascii="VIC"/>
                <w:color w:val="52555A"/>
                <w:sz w:val="16"/>
              </w:rPr>
              <w:t>not</w:t>
            </w:r>
            <w:r>
              <w:rPr>
                <w:rFonts w:ascii="VIC"/>
                <w:color w:val="52555A"/>
                <w:spacing w:val="7"/>
                <w:sz w:val="16"/>
              </w:rPr>
              <w:t xml:space="preserve"> </w:t>
            </w:r>
            <w:r>
              <w:rPr>
                <w:rFonts w:ascii="VIC"/>
                <w:color w:val="52555A"/>
                <w:sz w:val="16"/>
              </w:rPr>
              <w:t>guarantee</w:t>
            </w:r>
            <w:r>
              <w:rPr>
                <w:rFonts w:ascii="VIC"/>
                <w:color w:val="52555A"/>
                <w:spacing w:val="5"/>
                <w:sz w:val="16"/>
              </w:rPr>
              <w:t xml:space="preserve"> </w:t>
            </w:r>
            <w:r>
              <w:rPr>
                <w:rFonts w:ascii="VIC"/>
                <w:color w:val="52555A"/>
                <w:sz w:val="16"/>
              </w:rPr>
              <w:t>that</w:t>
            </w:r>
            <w:r>
              <w:rPr>
                <w:rFonts w:ascii="VIC"/>
                <w:color w:val="52555A"/>
                <w:spacing w:val="7"/>
                <w:sz w:val="16"/>
              </w:rPr>
              <w:t xml:space="preserve"> </w:t>
            </w:r>
            <w:r>
              <w:rPr>
                <w:rFonts w:ascii="VIC"/>
                <w:color w:val="52555A"/>
                <w:sz w:val="16"/>
              </w:rPr>
              <w:t>the</w:t>
            </w:r>
            <w:r>
              <w:rPr>
                <w:rFonts w:ascii="VIC"/>
                <w:color w:val="52555A"/>
                <w:spacing w:val="1"/>
                <w:sz w:val="16"/>
              </w:rPr>
              <w:t xml:space="preserve"> </w:t>
            </w:r>
            <w:r>
              <w:rPr>
                <w:rFonts w:ascii="VIC"/>
                <w:color w:val="52555A"/>
                <w:sz w:val="16"/>
              </w:rPr>
              <w:t>publication</w:t>
            </w:r>
            <w:r>
              <w:rPr>
                <w:rFonts w:ascii="VIC"/>
                <w:color w:val="52555A"/>
                <w:spacing w:val="5"/>
                <w:sz w:val="16"/>
              </w:rPr>
              <w:t xml:space="preserve"> </w:t>
            </w:r>
            <w:r>
              <w:rPr>
                <w:rFonts w:ascii="VIC"/>
                <w:color w:val="52555A"/>
                <w:sz w:val="16"/>
              </w:rPr>
              <w:t>is</w:t>
            </w:r>
            <w:r>
              <w:rPr>
                <w:rFonts w:ascii="VIC"/>
                <w:color w:val="52555A"/>
                <w:spacing w:val="6"/>
                <w:sz w:val="16"/>
              </w:rPr>
              <w:t xml:space="preserve"> </w:t>
            </w:r>
            <w:r>
              <w:rPr>
                <w:rFonts w:ascii="VIC"/>
                <w:color w:val="52555A"/>
                <w:sz w:val="16"/>
              </w:rPr>
              <w:t>without</w:t>
            </w:r>
            <w:r>
              <w:rPr>
                <w:rFonts w:ascii="VIC"/>
                <w:color w:val="52555A"/>
                <w:spacing w:val="5"/>
                <w:sz w:val="16"/>
              </w:rPr>
              <w:t xml:space="preserve"> </w:t>
            </w:r>
            <w:r>
              <w:rPr>
                <w:rFonts w:ascii="VIC"/>
                <w:color w:val="52555A"/>
                <w:sz w:val="16"/>
              </w:rPr>
              <w:t>flaw</w:t>
            </w:r>
            <w:r>
              <w:rPr>
                <w:rFonts w:ascii="VIC"/>
                <w:color w:val="52555A"/>
                <w:spacing w:val="7"/>
                <w:sz w:val="16"/>
              </w:rPr>
              <w:t xml:space="preserve"> </w:t>
            </w:r>
            <w:r>
              <w:rPr>
                <w:rFonts w:ascii="VIC"/>
                <w:color w:val="52555A"/>
                <w:sz w:val="16"/>
              </w:rPr>
              <w:t>of</w:t>
            </w:r>
            <w:r>
              <w:rPr>
                <w:rFonts w:ascii="VIC"/>
                <w:color w:val="52555A"/>
                <w:spacing w:val="9"/>
                <w:sz w:val="16"/>
              </w:rPr>
              <w:t xml:space="preserve"> </w:t>
            </w:r>
            <w:r>
              <w:rPr>
                <w:rFonts w:ascii="VIC"/>
                <w:color w:val="52555A"/>
                <w:sz w:val="16"/>
              </w:rPr>
              <w:t>any</w:t>
            </w:r>
            <w:r>
              <w:rPr>
                <w:rFonts w:ascii="VIC"/>
                <w:color w:val="52555A"/>
                <w:spacing w:val="7"/>
                <w:sz w:val="16"/>
              </w:rPr>
              <w:t xml:space="preserve"> </w:t>
            </w:r>
            <w:r>
              <w:rPr>
                <w:rFonts w:ascii="VIC"/>
                <w:color w:val="52555A"/>
                <w:sz w:val="16"/>
              </w:rPr>
              <w:t>kind</w:t>
            </w:r>
            <w:r>
              <w:rPr>
                <w:rFonts w:ascii="VIC"/>
                <w:color w:val="52555A"/>
                <w:spacing w:val="7"/>
                <w:sz w:val="16"/>
              </w:rPr>
              <w:t xml:space="preserve"> </w:t>
            </w:r>
            <w:r>
              <w:rPr>
                <w:rFonts w:ascii="VIC"/>
                <w:color w:val="52555A"/>
                <w:sz w:val="16"/>
              </w:rPr>
              <w:t>or</w:t>
            </w:r>
            <w:r>
              <w:rPr>
                <w:rFonts w:ascii="VIC"/>
                <w:color w:val="52555A"/>
                <w:spacing w:val="7"/>
                <w:sz w:val="16"/>
              </w:rPr>
              <w:t xml:space="preserve"> </w:t>
            </w:r>
            <w:r>
              <w:rPr>
                <w:rFonts w:ascii="VIC"/>
                <w:color w:val="52555A"/>
                <w:sz w:val="16"/>
              </w:rPr>
              <w:t>is</w:t>
            </w:r>
            <w:r>
              <w:rPr>
                <w:rFonts w:ascii="VIC"/>
                <w:color w:val="52555A"/>
                <w:spacing w:val="6"/>
                <w:sz w:val="16"/>
              </w:rPr>
              <w:t xml:space="preserve"> </w:t>
            </w:r>
            <w:r>
              <w:rPr>
                <w:rFonts w:ascii="VIC"/>
                <w:color w:val="52555A"/>
                <w:sz w:val="16"/>
              </w:rPr>
              <w:t>wholly</w:t>
            </w:r>
            <w:r>
              <w:rPr>
                <w:rFonts w:ascii="VIC"/>
                <w:color w:val="52555A"/>
                <w:spacing w:val="1"/>
                <w:sz w:val="16"/>
              </w:rPr>
              <w:t xml:space="preserve"> </w:t>
            </w:r>
            <w:r>
              <w:rPr>
                <w:rFonts w:ascii="VIC"/>
                <w:color w:val="52555A"/>
                <w:sz w:val="16"/>
              </w:rPr>
              <w:t>appropriate</w:t>
            </w:r>
            <w:r>
              <w:rPr>
                <w:rFonts w:ascii="VIC"/>
                <w:color w:val="52555A"/>
                <w:spacing w:val="7"/>
                <w:sz w:val="16"/>
              </w:rPr>
              <w:t xml:space="preserve"> </w:t>
            </w:r>
            <w:r>
              <w:rPr>
                <w:rFonts w:ascii="VIC"/>
                <w:color w:val="52555A"/>
                <w:sz w:val="16"/>
              </w:rPr>
              <w:t>for</w:t>
            </w:r>
            <w:r>
              <w:rPr>
                <w:rFonts w:ascii="VIC"/>
                <w:color w:val="52555A"/>
                <w:spacing w:val="7"/>
                <w:sz w:val="16"/>
              </w:rPr>
              <w:t xml:space="preserve"> </w:t>
            </w:r>
            <w:r>
              <w:rPr>
                <w:rFonts w:ascii="VIC"/>
                <w:color w:val="52555A"/>
                <w:sz w:val="16"/>
              </w:rPr>
              <w:t>your</w:t>
            </w:r>
            <w:r>
              <w:rPr>
                <w:rFonts w:ascii="VIC"/>
                <w:color w:val="52555A"/>
                <w:spacing w:val="10"/>
                <w:sz w:val="16"/>
              </w:rPr>
              <w:t xml:space="preserve"> </w:t>
            </w:r>
            <w:r>
              <w:rPr>
                <w:rFonts w:ascii="VIC"/>
                <w:color w:val="52555A"/>
                <w:sz w:val="16"/>
              </w:rPr>
              <w:t>particular</w:t>
            </w:r>
            <w:r>
              <w:rPr>
                <w:rFonts w:ascii="VIC"/>
                <w:color w:val="52555A"/>
                <w:spacing w:val="8"/>
                <w:sz w:val="16"/>
              </w:rPr>
              <w:t xml:space="preserve"> </w:t>
            </w:r>
            <w:r>
              <w:rPr>
                <w:rFonts w:ascii="VIC"/>
                <w:color w:val="52555A"/>
                <w:sz w:val="16"/>
              </w:rPr>
              <w:t>purposes</w:t>
            </w:r>
            <w:r>
              <w:rPr>
                <w:rFonts w:ascii="VIC"/>
                <w:color w:val="52555A"/>
                <w:spacing w:val="6"/>
                <w:sz w:val="16"/>
              </w:rPr>
              <w:t xml:space="preserve"> </w:t>
            </w:r>
            <w:r>
              <w:rPr>
                <w:rFonts w:ascii="VIC"/>
                <w:color w:val="52555A"/>
                <w:sz w:val="16"/>
              </w:rPr>
              <w:t>and</w:t>
            </w:r>
            <w:r>
              <w:rPr>
                <w:rFonts w:ascii="VIC"/>
                <w:color w:val="52555A"/>
                <w:spacing w:val="7"/>
                <w:sz w:val="16"/>
              </w:rPr>
              <w:t xml:space="preserve"> </w:t>
            </w:r>
            <w:r>
              <w:rPr>
                <w:rFonts w:ascii="VIC"/>
                <w:color w:val="52555A"/>
                <w:sz w:val="16"/>
              </w:rPr>
              <w:t>therefore</w:t>
            </w:r>
            <w:r>
              <w:rPr>
                <w:rFonts w:ascii="VIC"/>
                <w:color w:val="52555A"/>
                <w:spacing w:val="1"/>
                <w:sz w:val="16"/>
              </w:rPr>
              <w:t xml:space="preserve"> </w:t>
            </w:r>
            <w:r>
              <w:rPr>
                <w:rFonts w:ascii="VIC"/>
                <w:color w:val="52555A"/>
                <w:sz w:val="16"/>
              </w:rPr>
              <w:t>disclaims</w:t>
            </w:r>
            <w:r>
              <w:rPr>
                <w:rFonts w:ascii="VIC"/>
                <w:color w:val="52555A"/>
                <w:spacing w:val="10"/>
                <w:sz w:val="16"/>
              </w:rPr>
              <w:t xml:space="preserve"> </w:t>
            </w:r>
            <w:r>
              <w:rPr>
                <w:rFonts w:ascii="VIC"/>
                <w:color w:val="52555A"/>
                <w:sz w:val="16"/>
              </w:rPr>
              <w:t>all</w:t>
            </w:r>
            <w:r>
              <w:rPr>
                <w:rFonts w:ascii="VIC"/>
                <w:color w:val="52555A"/>
                <w:spacing w:val="13"/>
                <w:sz w:val="16"/>
              </w:rPr>
              <w:t xml:space="preserve"> </w:t>
            </w:r>
            <w:r>
              <w:rPr>
                <w:rFonts w:ascii="VIC"/>
                <w:color w:val="52555A"/>
                <w:sz w:val="16"/>
              </w:rPr>
              <w:t>liability</w:t>
            </w:r>
            <w:r>
              <w:rPr>
                <w:rFonts w:ascii="VIC"/>
                <w:color w:val="52555A"/>
                <w:spacing w:val="11"/>
                <w:sz w:val="16"/>
              </w:rPr>
              <w:t xml:space="preserve"> </w:t>
            </w:r>
            <w:r>
              <w:rPr>
                <w:rFonts w:ascii="VIC"/>
                <w:color w:val="52555A"/>
                <w:sz w:val="16"/>
              </w:rPr>
              <w:t>for</w:t>
            </w:r>
            <w:r>
              <w:rPr>
                <w:rFonts w:ascii="VIC"/>
                <w:color w:val="52555A"/>
                <w:spacing w:val="12"/>
                <w:sz w:val="16"/>
              </w:rPr>
              <w:t xml:space="preserve"> </w:t>
            </w:r>
            <w:r>
              <w:rPr>
                <w:rFonts w:ascii="VIC"/>
                <w:color w:val="52555A"/>
                <w:sz w:val="16"/>
              </w:rPr>
              <w:t>any</w:t>
            </w:r>
            <w:r>
              <w:rPr>
                <w:rFonts w:ascii="VIC"/>
                <w:color w:val="52555A"/>
                <w:spacing w:val="11"/>
                <w:sz w:val="16"/>
              </w:rPr>
              <w:t xml:space="preserve"> </w:t>
            </w:r>
            <w:r>
              <w:rPr>
                <w:rFonts w:ascii="VIC"/>
                <w:color w:val="52555A"/>
                <w:sz w:val="16"/>
              </w:rPr>
              <w:t>error,</w:t>
            </w:r>
            <w:r>
              <w:rPr>
                <w:rFonts w:ascii="VIC"/>
                <w:color w:val="52555A"/>
                <w:spacing w:val="10"/>
                <w:sz w:val="16"/>
              </w:rPr>
              <w:t xml:space="preserve"> </w:t>
            </w:r>
            <w:r>
              <w:rPr>
                <w:rFonts w:ascii="VIC"/>
                <w:color w:val="52555A"/>
                <w:sz w:val="16"/>
              </w:rPr>
              <w:t>loss</w:t>
            </w:r>
            <w:r>
              <w:rPr>
                <w:rFonts w:ascii="VIC"/>
                <w:color w:val="52555A"/>
                <w:spacing w:val="10"/>
                <w:sz w:val="16"/>
              </w:rPr>
              <w:t xml:space="preserve"> </w:t>
            </w:r>
            <w:r>
              <w:rPr>
                <w:rFonts w:ascii="VIC"/>
                <w:color w:val="52555A"/>
                <w:sz w:val="16"/>
              </w:rPr>
              <w:t>or</w:t>
            </w:r>
            <w:r>
              <w:rPr>
                <w:rFonts w:ascii="VIC"/>
                <w:color w:val="52555A"/>
                <w:spacing w:val="11"/>
                <w:sz w:val="16"/>
              </w:rPr>
              <w:t xml:space="preserve"> </w:t>
            </w:r>
            <w:r>
              <w:rPr>
                <w:rFonts w:ascii="VIC"/>
                <w:color w:val="52555A"/>
                <w:sz w:val="16"/>
              </w:rPr>
              <w:t>other</w:t>
            </w:r>
            <w:r>
              <w:rPr>
                <w:rFonts w:ascii="VIC"/>
                <w:color w:val="52555A"/>
                <w:spacing w:val="11"/>
                <w:sz w:val="16"/>
              </w:rPr>
              <w:t xml:space="preserve"> </w:t>
            </w:r>
            <w:r>
              <w:rPr>
                <w:rFonts w:ascii="VIC"/>
                <w:color w:val="52555A"/>
                <w:sz w:val="16"/>
              </w:rPr>
              <w:t>consequence</w:t>
            </w:r>
            <w:r>
              <w:rPr>
                <w:rFonts w:ascii="VIC"/>
                <w:color w:val="52555A"/>
                <w:spacing w:val="1"/>
                <w:sz w:val="16"/>
              </w:rPr>
              <w:t xml:space="preserve"> </w:t>
            </w:r>
            <w:r>
              <w:rPr>
                <w:rFonts w:ascii="VIC"/>
                <w:color w:val="52555A"/>
                <w:sz w:val="16"/>
              </w:rPr>
              <w:t>which</w:t>
            </w:r>
            <w:r>
              <w:rPr>
                <w:rFonts w:ascii="VIC"/>
                <w:color w:val="52555A"/>
                <w:spacing w:val="10"/>
                <w:sz w:val="16"/>
              </w:rPr>
              <w:t xml:space="preserve"> </w:t>
            </w:r>
            <w:r>
              <w:rPr>
                <w:rFonts w:ascii="VIC"/>
                <w:color w:val="52555A"/>
                <w:sz w:val="16"/>
              </w:rPr>
              <w:t>may</w:t>
            </w:r>
            <w:r>
              <w:rPr>
                <w:rFonts w:ascii="VIC"/>
                <w:color w:val="52555A"/>
                <w:spacing w:val="7"/>
                <w:sz w:val="16"/>
              </w:rPr>
              <w:t xml:space="preserve"> </w:t>
            </w:r>
            <w:r>
              <w:rPr>
                <w:rFonts w:ascii="VIC"/>
                <w:color w:val="52555A"/>
                <w:sz w:val="16"/>
              </w:rPr>
              <w:t>arise</w:t>
            </w:r>
            <w:r>
              <w:rPr>
                <w:rFonts w:ascii="VIC"/>
                <w:color w:val="52555A"/>
                <w:spacing w:val="7"/>
                <w:sz w:val="16"/>
              </w:rPr>
              <w:t xml:space="preserve"> </w:t>
            </w:r>
            <w:r>
              <w:rPr>
                <w:rFonts w:ascii="VIC"/>
                <w:color w:val="52555A"/>
                <w:sz w:val="16"/>
              </w:rPr>
              <w:t>from</w:t>
            </w:r>
            <w:r>
              <w:rPr>
                <w:rFonts w:ascii="VIC"/>
                <w:color w:val="52555A"/>
                <w:spacing w:val="6"/>
                <w:sz w:val="16"/>
              </w:rPr>
              <w:t xml:space="preserve"> </w:t>
            </w:r>
            <w:r>
              <w:rPr>
                <w:rFonts w:ascii="VIC"/>
                <w:color w:val="52555A"/>
                <w:sz w:val="16"/>
              </w:rPr>
              <w:t>you</w:t>
            </w:r>
            <w:r>
              <w:rPr>
                <w:rFonts w:ascii="VIC"/>
                <w:color w:val="52555A"/>
                <w:spacing w:val="7"/>
                <w:sz w:val="16"/>
              </w:rPr>
              <w:t xml:space="preserve"> </w:t>
            </w:r>
            <w:r>
              <w:rPr>
                <w:rFonts w:ascii="VIC"/>
                <w:color w:val="52555A"/>
                <w:sz w:val="16"/>
              </w:rPr>
              <w:t>relying</w:t>
            </w:r>
            <w:r>
              <w:rPr>
                <w:rFonts w:ascii="VIC"/>
                <w:color w:val="52555A"/>
                <w:spacing w:val="6"/>
                <w:sz w:val="16"/>
              </w:rPr>
              <w:t xml:space="preserve"> </w:t>
            </w:r>
            <w:r>
              <w:rPr>
                <w:rFonts w:ascii="VIC"/>
                <w:color w:val="52555A"/>
                <w:sz w:val="16"/>
              </w:rPr>
              <w:t>on</w:t>
            </w:r>
            <w:r>
              <w:rPr>
                <w:rFonts w:ascii="VIC"/>
                <w:color w:val="52555A"/>
                <w:spacing w:val="7"/>
                <w:sz w:val="16"/>
              </w:rPr>
              <w:t xml:space="preserve"> </w:t>
            </w:r>
            <w:r>
              <w:rPr>
                <w:rFonts w:ascii="VIC"/>
                <w:color w:val="52555A"/>
                <w:sz w:val="16"/>
              </w:rPr>
              <w:t>any</w:t>
            </w:r>
            <w:r>
              <w:rPr>
                <w:rFonts w:ascii="VIC"/>
                <w:color w:val="52555A"/>
                <w:spacing w:val="11"/>
                <w:sz w:val="16"/>
              </w:rPr>
              <w:t xml:space="preserve"> </w:t>
            </w:r>
            <w:r>
              <w:rPr>
                <w:rFonts w:ascii="VIC"/>
                <w:color w:val="52555A"/>
                <w:sz w:val="16"/>
              </w:rPr>
              <w:t>information</w:t>
            </w:r>
            <w:r>
              <w:rPr>
                <w:rFonts w:ascii="VIC"/>
                <w:color w:val="52555A"/>
                <w:spacing w:val="8"/>
                <w:sz w:val="16"/>
              </w:rPr>
              <w:t xml:space="preserve"> </w:t>
            </w:r>
            <w:r>
              <w:rPr>
                <w:rFonts w:ascii="VIC"/>
                <w:color w:val="52555A"/>
                <w:sz w:val="16"/>
              </w:rPr>
              <w:t>in</w:t>
            </w:r>
            <w:r>
              <w:rPr>
                <w:rFonts w:ascii="VIC"/>
                <w:color w:val="52555A"/>
                <w:spacing w:val="11"/>
                <w:sz w:val="16"/>
              </w:rPr>
              <w:t xml:space="preserve"> </w:t>
            </w:r>
            <w:r>
              <w:rPr>
                <w:rFonts w:ascii="VIC"/>
                <w:color w:val="52555A"/>
                <w:sz w:val="16"/>
              </w:rPr>
              <w:t>this</w:t>
            </w:r>
          </w:p>
          <w:p w14:paraId="0E46B6C5" w14:textId="77777777" w:rsidR="004D2117" w:rsidRDefault="004D2117" w:rsidP="004B5179">
            <w:pPr>
              <w:pStyle w:val="TableParagraph"/>
              <w:spacing w:before="1" w:line="196" w:lineRule="exact"/>
              <w:ind w:left="144"/>
              <w:rPr>
                <w:rFonts w:ascii="VIC"/>
                <w:sz w:val="16"/>
              </w:rPr>
            </w:pPr>
            <w:r>
              <w:rPr>
                <w:rFonts w:ascii="VIC"/>
                <w:color w:val="52555A"/>
                <w:sz w:val="16"/>
              </w:rPr>
              <w:t>publication.</w:t>
            </w:r>
          </w:p>
        </w:tc>
        <w:tc>
          <w:tcPr>
            <w:tcW w:w="4234" w:type="dxa"/>
            <w:tcBorders>
              <w:top w:val="single" w:sz="4" w:space="0" w:color="00B1A9"/>
            </w:tcBorders>
          </w:tcPr>
          <w:p w14:paraId="49DE4FA0" w14:textId="77777777" w:rsidR="004D2117" w:rsidRDefault="004D2117" w:rsidP="004B5179">
            <w:pPr>
              <w:pStyle w:val="TableParagraph"/>
              <w:spacing w:before="161"/>
              <w:ind w:left="284"/>
              <w:rPr>
                <w:rFonts w:ascii="VIC"/>
                <w:b/>
              </w:rPr>
            </w:pPr>
            <w:r>
              <w:rPr>
                <w:rFonts w:ascii="VIC"/>
                <w:b/>
                <w:color w:val="52555A"/>
              </w:rPr>
              <w:t>Accessibility</w:t>
            </w:r>
          </w:p>
          <w:p w14:paraId="70A17F78" w14:textId="77777777" w:rsidR="004D2117" w:rsidRDefault="004D2117" w:rsidP="004B5179">
            <w:pPr>
              <w:pStyle w:val="TableParagraph"/>
              <w:spacing w:before="62" w:line="242" w:lineRule="auto"/>
              <w:ind w:left="284" w:right="90"/>
              <w:rPr>
                <w:rFonts w:ascii="VIC"/>
                <w:sz w:val="20"/>
              </w:rPr>
            </w:pPr>
            <w:r>
              <w:rPr>
                <w:color w:val="52555A"/>
                <w:sz w:val="20"/>
              </w:rPr>
              <w:t>If you would like to receive this publication</w:t>
            </w:r>
            <w:r>
              <w:rPr>
                <w:color w:val="52555A"/>
                <w:spacing w:val="1"/>
                <w:sz w:val="20"/>
              </w:rPr>
              <w:t xml:space="preserve"> </w:t>
            </w:r>
            <w:r>
              <w:rPr>
                <w:color w:val="52555A"/>
                <w:sz w:val="20"/>
              </w:rPr>
              <w:t>in an alternative format, please go to</w:t>
            </w:r>
            <w:r>
              <w:rPr>
                <w:color w:val="52555A"/>
                <w:spacing w:val="1"/>
                <w:sz w:val="20"/>
              </w:rPr>
              <w:t xml:space="preserve"> </w:t>
            </w:r>
            <w:hyperlink r:id="rId28">
              <w:r>
                <w:rPr>
                  <w:rFonts w:ascii="VIC"/>
                  <w:color w:val="007C7C"/>
                  <w:sz w:val="20"/>
                  <w:u w:val="single" w:color="007C7C"/>
                </w:rPr>
                <w:t>planning.vic.gov.au</w:t>
              </w:r>
              <w:r>
                <w:rPr>
                  <w:rFonts w:ascii="VIC"/>
                  <w:color w:val="007C7C"/>
                  <w:spacing w:val="7"/>
                  <w:sz w:val="20"/>
                </w:rPr>
                <w:t xml:space="preserve"> </w:t>
              </w:r>
            </w:hyperlink>
            <w:r>
              <w:rPr>
                <w:color w:val="52555A"/>
                <w:sz w:val="20"/>
              </w:rPr>
              <w:t>or email</w:t>
            </w:r>
            <w:r>
              <w:rPr>
                <w:color w:val="52555A"/>
                <w:spacing w:val="1"/>
                <w:sz w:val="20"/>
              </w:rPr>
              <w:t xml:space="preserve"> </w:t>
            </w:r>
            <w:hyperlink r:id="rId29">
              <w:r>
                <w:rPr>
                  <w:rFonts w:ascii="VIC"/>
                  <w:color w:val="007C7C"/>
                  <w:w w:val="95"/>
                  <w:sz w:val="20"/>
                  <w:u w:val="single" w:color="007C7C"/>
                </w:rPr>
                <w:t>planning.systems@transport.vic.gov.au</w:t>
              </w:r>
            </w:hyperlink>
          </w:p>
        </w:tc>
      </w:tr>
    </w:tbl>
    <w:p w14:paraId="7FE76970" w14:textId="7A211571" w:rsidR="006C77FE" w:rsidRPr="006C77FE" w:rsidRDefault="006C77FE" w:rsidP="006C77FE"/>
    <w:sectPr w:rsidR="006C77FE" w:rsidRPr="006C77FE" w:rsidSect="00B26A81">
      <w:headerReference w:type="default" r:id="rId30"/>
      <w:footerReference w:type="default" r:id="rId31"/>
      <w:headerReference w:type="first" r:id="rId32"/>
      <w:footerReference w:type="first" r:id="rId33"/>
      <w:pgSz w:w="11906" w:h="16838"/>
      <w:pgMar w:top="1758" w:right="991" w:bottom="1531" w:left="993"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C1E09" w14:textId="77777777" w:rsidR="00DE457E" w:rsidRDefault="00DE457E" w:rsidP="005C306E">
      <w:pPr>
        <w:spacing w:after="0"/>
      </w:pPr>
      <w:r>
        <w:separator/>
      </w:r>
    </w:p>
    <w:p w14:paraId="3FB929BF" w14:textId="77777777" w:rsidR="00DE457E" w:rsidRDefault="00DE457E"/>
    <w:p w14:paraId="3D834799" w14:textId="77777777" w:rsidR="00DE457E" w:rsidRDefault="00DE457E"/>
  </w:endnote>
  <w:endnote w:type="continuationSeparator" w:id="0">
    <w:p w14:paraId="76BF6F6E" w14:textId="77777777" w:rsidR="00DE457E" w:rsidRDefault="00DE457E" w:rsidP="005C306E">
      <w:pPr>
        <w:spacing w:after="0"/>
      </w:pPr>
      <w:r>
        <w:continuationSeparator/>
      </w:r>
    </w:p>
    <w:p w14:paraId="2922C593" w14:textId="77777777" w:rsidR="00DE457E" w:rsidRDefault="00DE457E"/>
    <w:p w14:paraId="3602608F" w14:textId="77777777" w:rsidR="00DE457E" w:rsidRDefault="00DE457E"/>
  </w:endnote>
  <w:endnote w:type="continuationNotice" w:id="1">
    <w:p w14:paraId="5570675B" w14:textId="77777777" w:rsidR="00DE457E" w:rsidRDefault="00DE4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altName w:val="Cambria"/>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VIC Medium">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2751"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4936178E" w14:textId="38B64A0D"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7D8AE959" wp14:editId="5526F76A">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B0F9720"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52EE6F8E" wp14:editId="203A7075">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A5D0915"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7CF8F21F" wp14:editId="756D833F">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E68334A"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6C77FE">
      <w:t>Climate change consideration guidelines</w:t>
    </w:r>
  </w:p>
  <w:p w14:paraId="3B328737" w14:textId="39B67580" w:rsidR="004176BE" w:rsidRDefault="00C622BD" w:rsidP="00CF01B0">
    <w:pPr>
      <w:pStyle w:val="FooterLight"/>
    </w:pPr>
    <w:r>
      <w:ptab w:relativeTo="margin" w:alignment="right" w:leader="none"/>
    </w:r>
    <w:r w:rsidR="00456FDA">
      <w:t>September</w:t>
    </w:r>
    <w:r w:rsidR="006778C6">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D485"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3529B514" w14:textId="4DB67F2E"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50E65C95" wp14:editId="307A9FF7">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292D95"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6B57866B" wp14:editId="17CC9FD9">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ADA4C8A"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201D0DBE" wp14:editId="15A4F78F">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59F66E7"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r w:rsidR="006C77FE">
      <w:t>Climate change consideration guidelines</w:t>
    </w:r>
  </w:p>
  <w:p w14:paraId="1C14940A" w14:textId="3C89EEFD" w:rsidR="00C42FB0" w:rsidRPr="00C42FB0" w:rsidRDefault="00C42FB0" w:rsidP="0008556C">
    <w:pPr>
      <w:pStyle w:val="FooterLight"/>
    </w:pPr>
    <w:r w:rsidRPr="00C42FB0">
      <w:ptab w:relativeTo="margin" w:alignment="right" w:leader="none"/>
    </w:r>
    <w:r w:rsidR="00456FDA">
      <w:t>September</w:t>
    </w:r>
    <w:r w:rsidR="006778C6">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BAF7" w14:textId="77777777" w:rsidR="00DE457E" w:rsidRDefault="00DE457E" w:rsidP="005C306E">
      <w:pPr>
        <w:spacing w:after="0"/>
      </w:pPr>
      <w:r>
        <w:separator/>
      </w:r>
    </w:p>
  </w:footnote>
  <w:footnote w:type="continuationSeparator" w:id="0">
    <w:p w14:paraId="01FAD91D" w14:textId="77777777" w:rsidR="00DE457E" w:rsidRDefault="00DE457E" w:rsidP="005C306E">
      <w:pPr>
        <w:spacing w:after="0"/>
      </w:pPr>
      <w:r>
        <w:continuationSeparator/>
      </w:r>
    </w:p>
    <w:p w14:paraId="0F67E4E9" w14:textId="77777777" w:rsidR="00DE457E" w:rsidRDefault="00DE457E"/>
  </w:footnote>
  <w:footnote w:type="continuationNotice" w:id="1">
    <w:p w14:paraId="760E088B" w14:textId="77777777" w:rsidR="00DE457E" w:rsidRDefault="00DE457E">
      <w:pPr>
        <w:spacing w:before="0" w:after="0"/>
      </w:pPr>
    </w:p>
    <w:p w14:paraId="136ABB81" w14:textId="77777777" w:rsidR="00DE457E" w:rsidRDefault="00DE4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9801"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3814F5B4" wp14:editId="1722D6DB">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8E461D7"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2E994895" wp14:editId="4982385F">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162C4B5" id="Straight Connector 2" o:spid="_x0000_s1026" alt="&quot;&quot;"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23B96FDA" wp14:editId="1C04C1C8">
          <wp:simplePos x="0" y="0"/>
          <wp:positionH relativeFrom="rightMargin">
            <wp:posOffset>-1289050</wp:posOffset>
          </wp:positionH>
          <wp:positionV relativeFrom="page">
            <wp:posOffset>0</wp:posOffset>
          </wp:positionV>
          <wp:extent cx="518400" cy="900000"/>
          <wp:effectExtent l="0" t="0" r="0" b="0"/>
          <wp:wrapNone/>
          <wp:docPr id="205517947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7B7" w14:textId="717BB3C7" w:rsidR="0023215C" w:rsidRDefault="0023215C" w:rsidP="004D2117">
    <w:pPr>
      <w:pStyle w:val="BannerTitle"/>
    </w:pPr>
    <w:r>
      <w:rPr>
        <w:noProof/>
      </w:rPr>
      <w:drawing>
        <wp:anchor distT="0" distB="0" distL="114300" distR="114300" simplePos="0" relativeHeight="251658252" behindDoc="1" locked="0" layoutInCell="1" allowOverlap="1" wp14:anchorId="05510EFD" wp14:editId="11B8A035">
          <wp:simplePos x="0" y="0"/>
          <wp:positionH relativeFrom="rightMargin">
            <wp:posOffset>-1620520</wp:posOffset>
          </wp:positionH>
          <wp:positionV relativeFrom="page">
            <wp:posOffset>738718</wp:posOffset>
          </wp:positionV>
          <wp:extent cx="1306800" cy="403200"/>
          <wp:effectExtent l="0" t="0" r="0" b="0"/>
          <wp:wrapNone/>
          <wp:docPr id="848404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72E6CFBE" wp14:editId="1BBC9899">
          <wp:simplePos x="0" y="0"/>
          <wp:positionH relativeFrom="rightMargin">
            <wp:posOffset>-2491740</wp:posOffset>
          </wp:positionH>
          <wp:positionV relativeFrom="page">
            <wp:posOffset>0</wp:posOffset>
          </wp:positionV>
          <wp:extent cx="842400" cy="1620000"/>
          <wp:effectExtent l="0" t="0" r="0" b="0"/>
          <wp:wrapNone/>
          <wp:docPr id="17826130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77FE">
      <w:rPr>
        <w:rStyle w:val="Style1Char"/>
      </w:rPr>
      <w:t xml:space="preserve">Climate change consideration </w:t>
    </w:r>
    <w:r w:rsidR="006C77FE">
      <w:rPr>
        <w:rStyle w:val="Style1Char"/>
      </w:rPr>
      <w:br/>
      <w:t>guidelines</w:t>
    </w:r>
    <w:r>
      <w:rPr>
        <w:noProof/>
      </w:rPr>
      <mc:AlternateContent>
        <mc:Choice Requires="wps">
          <w:drawing>
            <wp:anchor distT="0" distB="0" distL="114300" distR="114300" simplePos="0" relativeHeight="251658249" behindDoc="0" locked="0" layoutInCell="1" allowOverlap="1" wp14:anchorId="2D36E0B4" wp14:editId="2D5718EE">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35B8B86D" id="Straight Connector 2" o:spid="_x0000_s1026" alt="&quot;&quot;" style="position:absolute;z-index:25165824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7422EEED" w14:textId="7B6B48A0" w:rsidR="00CC20E4" w:rsidRPr="00456FDA" w:rsidRDefault="00456FDA" w:rsidP="00CC20E4">
    <w:pPr>
      <w:pStyle w:val="BannerSubtitle"/>
      <w:rPr>
        <w:color w:val="auto"/>
      </w:rPr>
    </w:pPr>
    <w:r w:rsidRPr="00456FDA">
      <w:rPr>
        <w:color w:val="auto"/>
      </w:rPr>
      <w:t>September</w:t>
    </w:r>
    <w:r w:rsidR="00432379" w:rsidRPr="00456FDA">
      <w:rPr>
        <w:color w:val="auto"/>
      </w:rPr>
      <w:t xml:space="preserve"> 2025</w:t>
    </w:r>
    <w:r w:rsidR="0023215C" w:rsidRPr="00456FDA">
      <w:rPr>
        <w:noProof/>
        <w:color w:val="auto"/>
      </w:rPr>
      <mc:AlternateContent>
        <mc:Choice Requires="wps">
          <w:drawing>
            <wp:anchor distT="0" distB="133350" distL="114300" distR="114300" simplePos="0" relativeHeight="251658250" behindDoc="0" locked="0" layoutInCell="1" allowOverlap="1" wp14:anchorId="01643D81" wp14:editId="7D982592">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6276F8DB" id="Straight Connector 2" o:spid="_x0000_s1026" alt="&quot;&quot;" style="position:absolute;z-index:251658250;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79E"/>
    <w:multiLevelType w:val="hybridMultilevel"/>
    <w:tmpl w:val="693ECC2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0F701E4"/>
    <w:multiLevelType w:val="multilevel"/>
    <w:tmpl w:val="FEAA512A"/>
    <w:numStyleLink w:val="ListContinueList"/>
  </w:abstractNum>
  <w:abstractNum w:abstractNumId="5" w15:restartNumberingAfterBreak="0">
    <w:nsid w:val="177D3CCF"/>
    <w:multiLevelType w:val="hybridMultilevel"/>
    <w:tmpl w:val="0FFCAF28"/>
    <w:lvl w:ilvl="0" w:tplc="306E6D6A">
      <w:start w:val="1"/>
      <w:numFmt w:val="bullet"/>
      <w:pStyle w:val="BodyText"/>
      <w:lvlText w:val=""/>
      <w:lvlJc w:val="left"/>
      <w:pPr>
        <w:ind w:left="663" w:hanging="360"/>
      </w:pPr>
      <w:rPr>
        <w:rFonts w:ascii="Symbol" w:hAnsi="Symbol" w:hint="default"/>
        <w:color w:val="auto"/>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6"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7" w15:restartNumberingAfterBreak="0">
    <w:nsid w:val="238F594A"/>
    <w:multiLevelType w:val="hybridMultilevel"/>
    <w:tmpl w:val="4ECEBC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9" w15:restartNumberingAfterBreak="0">
    <w:nsid w:val="30FF5F05"/>
    <w:multiLevelType w:val="multilevel"/>
    <w:tmpl w:val="7474E35E"/>
    <w:numStyleLink w:val="TableListContinueSet"/>
  </w:abstractNum>
  <w:abstractNum w:abstractNumId="10"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EDD667D"/>
    <w:multiLevelType w:val="hybridMultilevel"/>
    <w:tmpl w:val="8034AAEA"/>
    <w:lvl w:ilvl="0" w:tplc="420AD00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18A05D8"/>
    <w:multiLevelType w:val="hybridMultilevel"/>
    <w:tmpl w:val="AB14B8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4BC192C"/>
    <w:multiLevelType w:val="multilevel"/>
    <w:tmpl w:val="0CB26120"/>
    <w:numStyleLink w:val="TableCellLists"/>
  </w:abstractNum>
  <w:abstractNum w:abstractNumId="14" w15:restartNumberingAfterBreak="0">
    <w:nsid w:val="4A2000C2"/>
    <w:multiLevelType w:val="hybridMultilevel"/>
    <w:tmpl w:val="ABBE07FC"/>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5" w15:restartNumberingAfterBreak="0">
    <w:nsid w:val="4CB05055"/>
    <w:multiLevelType w:val="hybridMultilevel"/>
    <w:tmpl w:val="2AE29F62"/>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6" w15:restartNumberingAfterBreak="0">
    <w:nsid w:val="54AF7A95"/>
    <w:multiLevelType w:val="hybridMultilevel"/>
    <w:tmpl w:val="A7A4AF3C"/>
    <w:lvl w:ilvl="0" w:tplc="FFFFFFFF">
      <w:numFmt w:val="bullet"/>
      <w:lvlText w:val=""/>
      <w:lvlJc w:val="left"/>
      <w:pPr>
        <w:ind w:left="533" w:hanging="428"/>
      </w:pPr>
      <w:rPr>
        <w:rFonts w:ascii="Symbol" w:eastAsia="Symbol" w:hAnsi="Symbol" w:cs="Symbol" w:hint="default"/>
        <w:w w:val="99"/>
        <w:lang w:val="en-US" w:eastAsia="en-US" w:bidi="ar-SA"/>
      </w:rPr>
    </w:lvl>
    <w:lvl w:ilvl="1" w:tplc="FBCEBAFA">
      <w:start w:val="1"/>
      <w:numFmt w:val="bullet"/>
      <w:lvlText w:val=""/>
      <w:lvlJc w:val="left"/>
      <w:pPr>
        <w:ind w:left="957" w:hanging="360"/>
      </w:pPr>
      <w:rPr>
        <w:rFonts w:ascii="Symbol" w:hAnsi="Symbol" w:hint="default"/>
      </w:rPr>
    </w:lvl>
    <w:lvl w:ilvl="2" w:tplc="FFFFFFFF">
      <w:numFmt w:val="bullet"/>
      <w:lvlText w:val="•"/>
      <w:lvlJc w:val="left"/>
      <w:pPr>
        <w:ind w:left="960" w:hanging="361"/>
      </w:pPr>
      <w:rPr>
        <w:rFonts w:hint="default"/>
        <w:lang w:val="en-US" w:eastAsia="en-US" w:bidi="ar-SA"/>
      </w:rPr>
    </w:lvl>
    <w:lvl w:ilvl="3" w:tplc="FFFFFFFF">
      <w:numFmt w:val="bullet"/>
      <w:lvlText w:val="•"/>
      <w:lvlJc w:val="left"/>
      <w:pPr>
        <w:ind w:left="2193" w:hanging="361"/>
      </w:pPr>
      <w:rPr>
        <w:rFonts w:hint="default"/>
        <w:lang w:val="en-US" w:eastAsia="en-US" w:bidi="ar-SA"/>
      </w:rPr>
    </w:lvl>
    <w:lvl w:ilvl="4" w:tplc="FFFFFFFF">
      <w:numFmt w:val="bullet"/>
      <w:lvlText w:val="•"/>
      <w:lvlJc w:val="left"/>
      <w:pPr>
        <w:ind w:left="3426" w:hanging="361"/>
      </w:pPr>
      <w:rPr>
        <w:rFonts w:hint="default"/>
        <w:lang w:val="en-US" w:eastAsia="en-US" w:bidi="ar-SA"/>
      </w:rPr>
    </w:lvl>
    <w:lvl w:ilvl="5" w:tplc="FFFFFFFF">
      <w:numFmt w:val="bullet"/>
      <w:lvlText w:val="•"/>
      <w:lvlJc w:val="left"/>
      <w:pPr>
        <w:ind w:left="4659" w:hanging="361"/>
      </w:pPr>
      <w:rPr>
        <w:rFonts w:hint="default"/>
        <w:lang w:val="en-US" w:eastAsia="en-US" w:bidi="ar-SA"/>
      </w:rPr>
    </w:lvl>
    <w:lvl w:ilvl="6" w:tplc="FFFFFFFF">
      <w:numFmt w:val="bullet"/>
      <w:lvlText w:val="•"/>
      <w:lvlJc w:val="left"/>
      <w:pPr>
        <w:ind w:left="5893" w:hanging="361"/>
      </w:pPr>
      <w:rPr>
        <w:rFonts w:hint="default"/>
        <w:lang w:val="en-US" w:eastAsia="en-US" w:bidi="ar-SA"/>
      </w:rPr>
    </w:lvl>
    <w:lvl w:ilvl="7" w:tplc="FFFFFFFF">
      <w:numFmt w:val="bullet"/>
      <w:lvlText w:val="•"/>
      <w:lvlJc w:val="left"/>
      <w:pPr>
        <w:ind w:left="7126" w:hanging="361"/>
      </w:pPr>
      <w:rPr>
        <w:rFonts w:hint="default"/>
        <w:lang w:val="en-US" w:eastAsia="en-US" w:bidi="ar-SA"/>
      </w:rPr>
    </w:lvl>
    <w:lvl w:ilvl="8" w:tplc="FFFFFFFF">
      <w:numFmt w:val="bullet"/>
      <w:lvlText w:val="•"/>
      <w:lvlJc w:val="left"/>
      <w:pPr>
        <w:ind w:left="8359" w:hanging="361"/>
      </w:pPr>
      <w:rPr>
        <w:rFonts w:hint="default"/>
        <w:lang w:val="en-US" w:eastAsia="en-US" w:bidi="ar-SA"/>
      </w:rPr>
    </w:lvl>
  </w:abstractNum>
  <w:abstractNum w:abstractNumId="17" w15:restartNumberingAfterBreak="0">
    <w:nsid w:val="56111DE1"/>
    <w:multiLevelType w:val="singleLevel"/>
    <w:tmpl w:val="11D22C94"/>
    <w:lvl w:ilvl="0">
      <w:start w:val="1"/>
      <w:numFmt w:val="bullet"/>
      <w:pStyle w:val="VPPBodytextbullet1"/>
      <w:lvlText w:val=""/>
      <w:lvlJc w:val="left"/>
      <w:pPr>
        <w:tabs>
          <w:tab w:val="num" w:pos="1211"/>
        </w:tabs>
        <w:ind w:left="1211" w:hanging="360"/>
      </w:pPr>
      <w:rPr>
        <w:rFonts w:ascii="Wingdings" w:hAnsi="Wingdings" w:hint="default"/>
        <w:sz w:val="20"/>
      </w:rPr>
    </w:lvl>
  </w:abstractNum>
  <w:abstractNum w:abstractNumId="18" w15:restartNumberingAfterBreak="0">
    <w:nsid w:val="565241B5"/>
    <w:multiLevelType w:val="hybridMultilevel"/>
    <w:tmpl w:val="E2EE5BDC"/>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9"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610C4423"/>
    <w:multiLevelType w:val="hybridMultilevel"/>
    <w:tmpl w:val="4C6E7C62"/>
    <w:lvl w:ilvl="0" w:tplc="56AA50DA">
      <w:numFmt w:val="bullet"/>
      <w:lvlText w:val=""/>
      <w:lvlJc w:val="left"/>
      <w:pPr>
        <w:ind w:left="533" w:hanging="428"/>
      </w:pPr>
      <w:rPr>
        <w:rFonts w:ascii="Symbol" w:eastAsia="Symbol" w:hAnsi="Symbol" w:cs="Symbol" w:hint="default"/>
        <w:w w:val="99"/>
        <w:lang w:val="en-US" w:eastAsia="en-US" w:bidi="ar-SA"/>
      </w:rPr>
    </w:lvl>
    <w:lvl w:ilvl="1" w:tplc="32626AC4">
      <w:numFmt w:val="bullet"/>
      <w:lvlText w:val=""/>
      <w:lvlJc w:val="left"/>
      <w:pPr>
        <w:ind w:left="958" w:hanging="361"/>
      </w:pPr>
      <w:rPr>
        <w:rFonts w:ascii="Symbol" w:eastAsia="Symbol" w:hAnsi="Symbol" w:cs="Symbol" w:hint="default"/>
        <w:b w:val="0"/>
        <w:bCs w:val="0"/>
        <w:i w:val="0"/>
        <w:iCs w:val="0"/>
        <w:w w:val="99"/>
        <w:sz w:val="20"/>
        <w:szCs w:val="20"/>
        <w:lang w:val="en-US" w:eastAsia="en-US" w:bidi="ar-SA"/>
      </w:rPr>
    </w:lvl>
    <w:lvl w:ilvl="2" w:tplc="414C50EE">
      <w:numFmt w:val="bullet"/>
      <w:lvlText w:val="•"/>
      <w:lvlJc w:val="left"/>
      <w:pPr>
        <w:ind w:left="960" w:hanging="361"/>
      </w:pPr>
      <w:rPr>
        <w:rFonts w:hint="default"/>
        <w:lang w:val="en-US" w:eastAsia="en-US" w:bidi="ar-SA"/>
      </w:rPr>
    </w:lvl>
    <w:lvl w:ilvl="3" w:tplc="2DCC4170">
      <w:numFmt w:val="bullet"/>
      <w:lvlText w:val="•"/>
      <w:lvlJc w:val="left"/>
      <w:pPr>
        <w:ind w:left="2193" w:hanging="361"/>
      </w:pPr>
      <w:rPr>
        <w:rFonts w:hint="default"/>
        <w:lang w:val="en-US" w:eastAsia="en-US" w:bidi="ar-SA"/>
      </w:rPr>
    </w:lvl>
    <w:lvl w:ilvl="4" w:tplc="B1C66988">
      <w:numFmt w:val="bullet"/>
      <w:lvlText w:val="•"/>
      <w:lvlJc w:val="left"/>
      <w:pPr>
        <w:ind w:left="3426" w:hanging="361"/>
      </w:pPr>
      <w:rPr>
        <w:rFonts w:hint="default"/>
        <w:lang w:val="en-US" w:eastAsia="en-US" w:bidi="ar-SA"/>
      </w:rPr>
    </w:lvl>
    <w:lvl w:ilvl="5" w:tplc="FD680384">
      <w:numFmt w:val="bullet"/>
      <w:lvlText w:val="•"/>
      <w:lvlJc w:val="left"/>
      <w:pPr>
        <w:ind w:left="4659" w:hanging="361"/>
      </w:pPr>
      <w:rPr>
        <w:rFonts w:hint="default"/>
        <w:lang w:val="en-US" w:eastAsia="en-US" w:bidi="ar-SA"/>
      </w:rPr>
    </w:lvl>
    <w:lvl w:ilvl="6" w:tplc="284C67AE">
      <w:numFmt w:val="bullet"/>
      <w:lvlText w:val="•"/>
      <w:lvlJc w:val="left"/>
      <w:pPr>
        <w:ind w:left="5893" w:hanging="361"/>
      </w:pPr>
      <w:rPr>
        <w:rFonts w:hint="default"/>
        <w:lang w:val="en-US" w:eastAsia="en-US" w:bidi="ar-SA"/>
      </w:rPr>
    </w:lvl>
    <w:lvl w:ilvl="7" w:tplc="FA4CF122">
      <w:numFmt w:val="bullet"/>
      <w:lvlText w:val="•"/>
      <w:lvlJc w:val="left"/>
      <w:pPr>
        <w:ind w:left="7126" w:hanging="361"/>
      </w:pPr>
      <w:rPr>
        <w:rFonts w:hint="default"/>
        <w:lang w:val="en-US" w:eastAsia="en-US" w:bidi="ar-SA"/>
      </w:rPr>
    </w:lvl>
    <w:lvl w:ilvl="8" w:tplc="5016DA4E">
      <w:numFmt w:val="bullet"/>
      <w:lvlText w:val="•"/>
      <w:lvlJc w:val="left"/>
      <w:pPr>
        <w:ind w:left="8359" w:hanging="361"/>
      </w:pPr>
      <w:rPr>
        <w:rFonts w:hint="default"/>
        <w:lang w:val="en-US" w:eastAsia="en-US" w:bidi="ar-SA"/>
      </w:rPr>
    </w:lvl>
  </w:abstractNum>
  <w:abstractNum w:abstractNumId="21" w15:restartNumberingAfterBreak="0">
    <w:nsid w:val="61EB3132"/>
    <w:multiLevelType w:val="multilevel"/>
    <w:tmpl w:val="EF46D354"/>
    <w:numStyleLink w:val="Lists"/>
  </w:abstractNum>
  <w:abstractNum w:abstractNumId="22"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3" w15:restartNumberingAfterBreak="0">
    <w:nsid w:val="66E81B1E"/>
    <w:multiLevelType w:val="multilevel"/>
    <w:tmpl w:val="6A28D734"/>
    <w:styleLink w:val="1ai"/>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10"/>
  </w:num>
  <w:num w:numId="2" w16cid:durableId="1323777600">
    <w:abstractNumId w:val="23"/>
  </w:num>
  <w:num w:numId="3" w16cid:durableId="301155632">
    <w:abstractNumId w:val="19"/>
  </w:num>
  <w:num w:numId="4" w16cid:durableId="573202172">
    <w:abstractNumId w:val="6"/>
  </w:num>
  <w:num w:numId="5" w16cid:durableId="1559125064">
    <w:abstractNumId w:val="24"/>
  </w:num>
  <w:num w:numId="6" w16cid:durableId="1870336632">
    <w:abstractNumId w:val="22"/>
  </w:num>
  <w:num w:numId="7" w16cid:durableId="1291597006">
    <w:abstractNumId w:val="8"/>
  </w:num>
  <w:num w:numId="8" w16cid:durableId="1773864742">
    <w:abstractNumId w:val="1"/>
  </w:num>
  <w:num w:numId="9" w16cid:durableId="713967767">
    <w:abstractNumId w:val="3"/>
  </w:num>
  <w:num w:numId="10" w16cid:durableId="1172254618">
    <w:abstractNumId w:val="21"/>
  </w:num>
  <w:num w:numId="11" w16cid:durableId="1016419744">
    <w:abstractNumId w:val="4"/>
  </w:num>
  <w:num w:numId="12" w16cid:durableId="1390109764">
    <w:abstractNumId w:val="2"/>
  </w:num>
  <w:num w:numId="13" w16cid:durableId="1548180336">
    <w:abstractNumId w:val="13"/>
  </w:num>
  <w:num w:numId="14" w16cid:durableId="2084792584">
    <w:abstractNumId w:val="9"/>
  </w:num>
  <w:num w:numId="15" w16cid:durableId="400492041">
    <w:abstractNumId w:val="1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6" w16cid:durableId="260647674">
    <w:abstractNumId w:val="20"/>
  </w:num>
  <w:num w:numId="17" w16cid:durableId="710224716">
    <w:abstractNumId w:val="14"/>
  </w:num>
  <w:num w:numId="18" w16cid:durableId="1851332768">
    <w:abstractNumId w:val="18"/>
  </w:num>
  <w:num w:numId="19" w16cid:durableId="1672102803">
    <w:abstractNumId w:val="7"/>
  </w:num>
  <w:num w:numId="20" w16cid:durableId="367341574">
    <w:abstractNumId w:val="0"/>
  </w:num>
  <w:num w:numId="21" w16cid:durableId="1790467236">
    <w:abstractNumId w:val="16"/>
  </w:num>
  <w:num w:numId="22" w16cid:durableId="181818995">
    <w:abstractNumId w:val="11"/>
  </w:num>
  <w:num w:numId="23" w16cid:durableId="685407739">
    <w:abstractNumId w:val="15"/>
  </w:num>
  <w:num w:numId="24" w16cid:durableId="1702974197">
    <w:abstractNumId w:val="12"/>
  </w:num>
  <w:num w:numId="25" w16cid:durableId="1613242023">
    <w:abstractNumId w:val="17"/>
  </w:num>
  <w:num w:numId="26" w16cid:durableId="416828401">
    <w:abstractNumId w:val="5"/>
  </w:num>
  <w:num w:numId="27" w16cid:durableId="953555976">
    <w:abstractNumId w:val="1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8" w16cid:durableId="1232499145">
    <w:abstractNumId w:val="1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FE"/>
    <w:rsid w:val="00000CDF"/>
    <w:rsid w:val="00003208"/>
    <w:rsid w:val="00005522"/>
    <w:rsid w:val="00005CDD"/>
    <w:rsid w:val="00011CDA"/>
    <w:rsid w:val="0001252C"/>
    <w:rsid w:val="000127BF"/>
    <w:rsid w:val="00012ABD"/>
    <w:rsid w:val="00013046"/>
    <w:rsid w:val="000133F9"/>
    <w:rsid w:val="000146F8"/>
    <w:rsid w:val="00014F64"/>
    <w:rsid w:val="00017AC2"/>
    <w:rsid w:val="00020C65"/>
    <w:rsid w:val="00020FFB"/>
    <w:rsid w:val="00021EF3"/>
    <w:rsid w:val="00021FB2"/>
    <w:rsid w:val="000239B7"/>
    <w:rsid w:val="000305FA"/>
    <w:rsid w:val="00030726"/>
    <w:rsid w:val="00030CF5"/>
    <w:rsid w:val="00031754"/>
    <w:rsid w:val="0003223E"/>
    <w:rsid w:val="00032310"/>
    <w:rsid w:val="00035BD3"/>
    <w:rsid w:val="0004068B"/>
    <w:rsid w:val="00041E9F"/>
    <w:rsid w:val="00042BF3"/>
    <w:rsid w:val="00044A6C"/>
    <w:rsid w:val="00044BCA"/>
    <w:rsid w:val="000453AB"/>
    <w:rsid w:val="00045662"/>
    <w:rsid w:val="00050B0B"/>
    <w:rsid w:val="000570DC"/>
    <w:rsid w:val="0005715D"/>
    <w:rsid w:val="00060DD5"/>
    <w:rsid w:val="00061E09"/>
    <w:rsid w:val="00062090"/>
    <w:rsid w:val="000623E9"/>
    <w:rsid w:val="000628EE"/>
    <w:rsid w:val="00063C4A"/>
    <w:rsid w:val="0006453D"/>
    <w:rsid w:val="00064C0E"/>
    <w:rsid w:val="00071144"/>
    <w:rsid w:val="0007384B"/>
    <w:rsid w:val="00077AFD"/>
    <w:rsid w:val="00080AC3"/>
    <w:rsid w:val="00080D93"/>
    <w:rsid w:val="00082CD0"/>
    <w:rsid w:val="000843B8"/>
    <w:rsid w:val="00084C9F"/>
    <w:rsid w:val="0008556C"/>
    <w:rsid w:val="000865A4"/>
    <w:rsid w:val="00087382"/>
    <w:rsid w:val="00087CEA"/>
    <w:rsid w:val="00090147"/>
    <w:rsid w:val="00091099"/>
    <w:rsid w:val="0009560E"/>
    <w:rsid w:val="00096ECF"/>
    <w:rsid w:val="000A0795"/>
    <w:rsid w:val="000A0AC5"/>
    <w:rsid w:val="000A0D3E"/>
    <w:rsid w:val="000A1107"/>
    <w:rsid w:val="000B03DB"/>
    <w:rsid w:val="000B3550"/>
    <w:rsid w:val="000B3783"/>
    <w:rsid w:val="000B65A5"/>
    <w:rsid w:val="000B6A0A"/>
    <w:rsid w:val="000B732E"/>
    <w:rsid w:val="000C01B1"/>
    <w:rsid w:val="000C04AE"/>
    <w:rsid w:val="000C2324"/>
    <w:rsid w:val="000C2694"/>
    <w:rsid w:val="000C2AAB"/>
    <w:rsid w:val="000C2D94"/>
    <w:rsid w:val="000C59CD"/>
    <w:rsid w:val="000C5FB4"/>
    <w:rsid w:val="000C6F37"/>
    <w:rsid w:val="000D1070"/>
    <w:rsid w:val="000D1292"/>
    <w:rsid w:val="000D365C"/>
    <w:rsid w:val="000D3ACB"/>
    <w:rsid w:val="000D3EBA"/>
    <w:rsid w:val="000D56E8"/>
    <w:rsid w:val="000D6F29"/>
    <w:rsid w:val="000D7431"/>
    <w:rsid w:val="000E0EE8"/>
    <w:rsid w:val="000E1AAF"/>
    <w:rsid w:val="000E324E"/>
    <w:rsid w:val="000E6942"/>
    <w:rsid w:val="000E69AC"/>
    <w:rsid w:val="000E6CBA"/>
    <w:rsid w:val="000E7846"/>
    <w:rsid w:val="000E7ED0"/>
    <w:rsid w:val="000F1B57"/>
    <w:rsid w:val="000F5B68"/>
    <w:rsid w:val="000F62AC"/>
    <w:rsid w:val="000F7D8D"/>
    <w:rsid w:val="00107B94"/>
    <w:rsid w:val="00110942"/>
    <w:rsid w:val="00110C87"/>
    <w:rsid w:val="00112656"/>
    <w:rsid w:val="00112D43"/>
    <w:rsid w:val="00116B3A"/>
    <w:rsid w:val="001171CC"/>
    <w:rsid w:val="00117967"/>
    <w:rsid w:val="0012228F"/>
    <w:rsid w:val="00125474"/>
    <w:rsid w:val="00126ACA"/>
    <w:rsid w:val="00126F94"/>
    <w:rsid w:val="001300E1"/>
    <w:rsid w:val="00131C8D"/>
    <w:rsid w:val="00132727"/>
    <w:rsid w:val="00137D53"/>
    <w:rsid w:val="00137DB5"/>
    <w:rsid w:val="001401A9"/>
    <w:rsid w:val="00142264"/>
    <w:rsid w:val="00143B5C"/>
    <w:rsid w:val="00144F3B"/>
    <w:rsid w:val="00146289"/>
    <w:rsid w:val="00147AAD"/>
    <w:rsid w:val="00147C44"/>
    <w:rsid w:val="00151572"/>
    <w:rsid w:val="0015437A"/>
    <w:rsid w:val="00154FC0"/>
    <w:rsid w:val="00163A28"/>
    <w:rsid w:val="00164BFC"/>
    <w:rsid w:val="001652F4"/>
    <w:rsid w:val="00165545"/>
    <w:rsid w:val="00166496"/>
    <w:rsid w:val="00166C97"/>
    <w:rsid w:val="001761DE"/>
    <w:rsid w:val="00181699"/>
    <w:rsid w:val="0018323C"/>
    <w:rsid w:val="0018612E"/>
    <w:rsid w:val="00192079"/>
    <w:rsid w:val="00197232"/>
    <w:rsid w:val="001A0367"/>
    <w:rsid w:val="001A07C9"/>
    <w:rsid w:val="001A17D8"/>
    <w:rsid w:val="001A48B9"/>
    <w:rsid w:val="001A7943"/>
    <w:rsid w:val="001B2723"/>
    <w:rsid w:val="001B3B80"/>
    <w:rsid w:val="001B4777"/>
    <w:rsid w:val="001B5B1A"/>
    <w:rsid w:val="001B7913"/>
    <w:rsid w:val="001C1D7E"/>
    <w:rsid w:val="001C33E0"/>
    <w:rsid w:val="001C3E19"/>
    <w:rsid w:val="001C62C0"/>
    <w:rsid w:val="001D28F7"/>
    <w:rsid w:val="001D2F7A"/>
    <w:rsid w:val="001D541E"/>
    <w:rsid w:val="001D7902"/>
    <w:rsid w:val="001D7BB1"/>
    <w:rsid w:val="001E1207"/>
    <w:rsid w:val="001E1C4C"/>
    <w:rsid w:val="001E3174"/>
    <w:rsid w:val="001E3226"/>
    <w:rsid w:val="001E504D"/>
    <w:rsid w:val="001E5566"/>
    <w:rsid w:val="001E5826"/>
    <w:rsid w:val="001E6028"/>
    <w:rsid w:val="001E6522"/>
    <w:rsid w:val="001E741C"/>
    <w:rsid w:val="001E74C9"/>
    <w:rsid w:val="001F126C"/>
    <w:rsid w:val="001F3220"/>
    <w:rsid w:val="001F3C6F"/>
    <w:rsid w:val="001F4D95"/>
    <w:rsid w:val="001F6F24"/>
    <w:rsid w:val="001F75F7"/>
    <w:rsid w:val="002023D3"/>
    <w:rsid w:val="00202740"/>
    <w:rsid w:val="002109DE"/>
    <w:rsid w:val="00211B3C"/>
    <w:rsid w:val="00212F6C"/>
    <w:rsid w:val="00213518"/>
    <w:rsid w:val="00215913"/>
    <w:rsid w:val="002159CB"/>
    <w:rsid w:val="0021646D"/>
    <w:rsid w:val="0021733F"/>
    <w:rsid w:val="0022298B"/>
    <w:rsid w:val="00223069"/>
    <w:rsid w:val="00225A6C"/>
    <w:rsid w:val="00226C2D"/>
    <w:rsid w:val="002273C1"/>
    <w:rsid w:val="0023215C"/>
    <w:rsid w:val="0023297B"/>
    <w:rsid w:val="00233D95"/>
    <w:rsid w:val="00237B26"/>
    <w:rsid w:val="00240A1B"/>
    <w:rsid w:val="00241F7D"/>
    <w:rsid w:val="00242CF4"/>
    <w:rsid w:val="00243F90"/>
    <w:rsid w:val="0024621A"/>
    <w:rsid w:val="002502E4"/>
    <w:rsid w:val="0025118B"/>
    <w:rsid w:val="00251539"/>
    <w:rsid w:val="00252CBE"/>
    <w:rsid w:val="00253BD2"/>
    <w:rsid w:val="00256AA4"/>
    <w:rsid w:val="00261769"/>
    <w:rsid w:val="00261AB3"/>
    <w:rsid w:val="00261DEF"/>
    <w:rsid w:val="00261F74"/>
    <w:rsid w:val="00262B80"/>
    <w:rsid w:val="002638FB"/>
    <w:rsid w:val="0026436B"/>
    <w:rsid w:val="00264457"/>
    <w:rsid w:val="00266DC4"/>
    <w:rsid w:val="002671D4"/>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A5632"/>
    <w:rsid w:val="002B271F"/>
    <w:rsid w:val="002B49B7"/>
    <w:rsid w:val="002B518C"/>
    <w:rsid w:val="002B7D47"/>
    <w:rsid w:val="002C14F0"/>
    <w:rsid w:val="002C37F5"/>
    <w:rsid w:val="002C4A63"/>
    <w:rsid w:val="002C6DFF"/>
    <w:rsid w:val="002C78D7"/>
    <w:rsid w:val="002D0670"/>
    <w:rsid w:val="002D2617"/>
    <w:rsid w:val="002D6B4F"/>
    <w:rsid w:val="002D7DF6"/>
    <w:rsid w:val="002E1586"/>
    <w:rsid w:val="002E19BC"/>
    <w:rsid w:val="002E2DBE"/>
    <w:rsid w:val="002E4122"/>
    <w:rsid w:val="002E4B00"/>
    <w:rsid w:val="002E7474"/>
    <w:rsid w:val="002F1FE3"/>
    <w:rsid w:val="002F23D7"/>
    <w:rsid w:val="002F3730"/>
    <w:rsid w:val="002F510C"/>
    <w:rsid w:val="00300A1D"/>
    <w:rsid w:val="00300DE1"/>
    <w:rsid w:val="003024D7"/>
    <w:rsid w:val="003032CE"/>
    <w:rsid w:val="00303A39"/>
    <w:rsid w:val="00303BA5"/>
    <w:rsid w:val="00304BC1"/>
    <w:rsid w:val="00307D47"/>
    <w:rsid w:val="003114CB"/>
    <w:rsid w:val="00314068"/>
    <w:rsid w:val="00314A79"/>
    <w:rsid w:val="00314FF2"/>
    <w:rsid w:val="003161EB"/>
    <w:rsid w:val="003169D6"/>
    <w:rsid w:val="003171C7"/>
    <w:rsid w:val="003268A5"/>
    <w:rsid w:val="00327D27"/>
    <w:rsid w:val="00331381"/>
    <w:rsid w:val="00332CDE"/>
    <w:rsid w:val="003330ED"/>
    <w:rsid w:val="003331FC"/>
    <w:rsid w:val="00334DCE"/>
    <w:rsid w:val="00335230"/>
    <w:rsid w:val="00337BF0"/>
    <w:rsid w:val="00341706"/>
    <w:rsid w:val="003457BE"/>
    <w:rsid w:val="003457F1"/>
    <w:rsid w:val="00345913"/>
    <w:rsid w:val="003478E6"/>
    <w:rsid w:val="003515EF"/>
    <w:rsid w:val="003542AA"/>
    <w:rsid w:val="00360A3E"/>
    <w:rsid w:val="00364AD9"/>
    <w:rsid w:val="00366B34"/>
    <w:rsid w:val="00367E5E"/>
    <w:rsid w:val="00370AA6"/>
    <w:rsid w:val="00370AD8"/>
    <w:rsid w:val="00371B2F"/>
    <w:rsid w:val="0037387E"/>
    <w:rsid w:val="00374686"/>
    <w:rsid w:val="00375DB0"/>
    <w:rsid w:val="00376C1E"/>
    <w:rsid w:val="00380980"/>
    <w:rsid w:val="00381498"/>
    <w:rsid w:val="0038156E"/>
    <w:rsid w:val="00381B26"/>
    <w:rsid w:val="00382863"/>
    <w:rsid w:val="00384433"/>
    <w:rsid w:val="00384921"/>
    <w:rsid w:val="00392BA6"/>
    <w:rsid w:val="003931AD"/>
    <w:rsid w:val="00393341"/>
    <w:rsid w:val="00393678"/>
    <w:rsid w:val="00393C43"/>
    <w:rsid w:val="003A0E7C"/>
    <w:rsid w:val="003A1160"/>
    <w:rsid w:val="003A342B"/>
    <w:rsid w:val="003A364E"/>
    <w:rsid w:val="003A573B"/>
    <w:rsid w:val="003A5A44"/>
    <w:rsid w:val="003B09AC"/>
    <w:rsid w:val="003B15A1"/>
    <w:rsid w:val="003B1FF9"/>
    <w:rsid w:val="003B222E"/>
    <w:rsid w:val="003B57FE"/>
    <w:rsid w:val="003B61CC"/>
    <w:rsid w:val="003B7678"/>
    <w:rsid w:val="003C3AE5"/>
    <w:rsid w:val="003D6291"/>
    <w:rsid w:val="003D7742"/>
    <w:rsid w:val="003E12B1"/>
    <w:rsid w:val="003E29AA"/>
    <w:rsid w:val="003E2C64"/>
    <w:rsid w:val="003E7840"/>
    <w:rsid w:val="003E7C50"/>
    <w:rsid w:val="003F0019"/>
    <w:rsid w:val="003F0920"/>
    <w:rsid w:val="003F0CAB"/>
    <w:rsid w:val="003F389D"/>
    <w:rsid w:val="0040131D"/>
    <w:rsid w:val="004015F5"/>
    <w:rsid w:val="004035AB"/>
    <w:rsid w:val="0040528C"/>
    <w:rsid w:val="00406878"/>
    <w:rsid w:val="004069E3"/>
    <w:rsid w:val="004115F4"/>
    <w:rsid w:val="00414B97"/>
    <w:rsid w:val="00414BED"/>
    <w:rsid w:val="00415A52"/>
    <w:rsid w:val="004176BE"/>
    <w:rsid w:val="0042213E"/>
    <w:rsid w:val="00423286"/>
    <w:rsid w:val="004249AE"/>
    <w:rsid w:val="00424BEE"/>
    <w:rsid w:val="004256CC"/>
    <w:rsid w:val="00427D6D"/>
    <w:rsid w:val="004306CF"/>
    <w:rsid w:val="00432379"/>
    <w:rsid w:val="00433537"/>
    <w:rsid w:val="0043556D"/>
    <w:rsid w:val="0044435C"/>
    <w:rsid w:val="004450B2"/>
    <w:rsid w:val="0044607C"/>
    <w:rsid w:val="00446083"/>
    <w:rsid w:val="00450104"/>
    <w:rsid w:val="00450FB1"/>
    <w:rsid w:val="00451FC9"/>
    <w:rsid w:val="004534A2"/>
    <w:rsid w:val="00454C51"/>
    <w:rsid w:val="004555FC"/>
    <w:rsid w:val="00455D87"/>
    <w:rsid w:val="00456672"/>
    <w:rsid w:val="00456FDA"/>
    <w:rsid w:val="0046094F"/>
    <w:rsid w:val="00463642"/>
    <w:rsid w:val="0046401A"/>
    <w:rsid w:val="00470A71"/>
    <w:rsid w:val="00471EDB"/>
    <w:rsid w:val="00472FE4"/>
    <w:rsid w:val="00473940"/>
    <w:rsid w:val="004746DD"/>
    <w:rsid w:val="004748BA"/>
    <w:rsid w:val="00474962"/>
    <w:rsid w:val="00475914"/>
    <w:rsid w:val="00476133"/>
    <w:rsid w:val="00481905"/>
    <w:rsid w:val="00481BF5"/>
    <w:rsid w:val="0048333F"/>
    <w:rsid w:val="004840EA"/>
    <w:rsid w:val="00486632"/>
    <w:rsid w:val="004903DE"/>
    <w:rsid w:val="00494BCB"/>
    <w:rsid w:val="00495D62"/>
    <w:rsid w:val="00495EB5"/>
    <w:rsid w:val="0049604F"/>
    <w:rsid w:val="00496524"/>
    <w:rsid w:val="00497AB6"/>
    <w:rsid w:val="004A0FD1"/>
    <w:rsid w:val="004A2C2D"/>
    <w:rsid w:val="004A40B5"/>
    <w:rsid w:val="004A4B9C"/>
    <w:rsid w:val="004A7E57"/>
    <w:rsid w:val="004B1041"/>
    <w:rsid w:val="004B3093"/>
    <w:rsid w:val="004B43EC"/>
    <w:rsid w:val="004B5179"/>
    <w:rsid w:val="004B59E6"/>
    <w:rsid w:val="004C1E50"/>
    <w:rsid w:val="004C379A"/>
    <w:rsid w:val="004D2117"/>
    <w:rsid w:val="004D31AD"/>
    <w:rsid w:val="004D4C36"/>
    <w:rsid w:val="004D539E"/>
    <w:rsid w:val="004D5604"/>
    <w:rsid w:val="004E03EE"/>
    <w:rsid w:val="004E1889"/>
    <w:rsid w:val="004E2640"/>
    <w:rsid w:val="004E30BA"/>
    <w:rsid w:val="004E39E8"/>
    <w:rsid w:val="004E49A0"/>
    <w:rsid w:val="004F1B27"/>
    <w:rsid w:val="004F1DBF"/>
    <w:rsid w:val="004F1DFE"/>
    <w:rsid w:val="004F2304"/>
    <w:rsid w:val="004F3945"/>
    <w:rsid w:val="004F3AC6"/>
    <w:rsid w:val="004F52C1"/>
    <w:rsid w:val="00504301"/>
    <w:rsid w:val="00504FC3"/>
    <w:rsid w:val="0050545B"/>
    <w:rsid w:val="00506A82"/>
    <w:rsid w:val="00510514"/>
    <w:rsid w:val="00511419"/>
    <w:rsid w:val="005120EA"/>
    <w:rsid w:val="005174A2"/>
    <w:rsid w:val="00517877"/>
    <w:rsid w:val="005209F0"/>
    <w:rsid w:val="005215AE"/>
    <w:rsid w:val="00523A72"/>
    <w:rsid w:val="0052420B"/>
    <w:rsid w:val="005267EA"/>
    <w:rsid w:val="00527070"/>
    <w:rsid w:val="00530ECB"/>
    <w:rsid w:val="00533113"/>
    <w:rsid w:val="00533BAE"/>
    <w:rsid w:val="00533D66"/>
    <w:rsid w:val="005347E5"/>
    <w:rsid w:val="00534C9B"/>
    <w:rsid w:val="00540C78"/>
    <w:rsid w:val="005410AD"/>
    <w:rsid w:val="0054164D"/>
    <w:rsid w:val="00541C83"/>
    <w:rsid w:val="005451FF"/>
    <w:rsid w:val="0054624E"/>
    <w:rsid w:val="00550ADA"/>
    <w:rsid w:val="005512A2"/>
    <w:rsid w:val="00553DA6"/>
    <w:rsid w:val="005542D3"/>
    <w:rsid w:val="0055476F"/>
    <w:rsid w:val="005548B8"/>
    <w:rsid w:val="0055492F"/>
    <w:rsid w:val="00560074"/>
    <w:rsid w:val="00560A14"/>
    <w:rsid w:val="00560C66"/>
    <w:rsid w:val="005621D7"/>
    <w:rsid w:val="0056275E"/>
    <w:rsid w:val="00563B19"/>
    <w:rsid w:val="00563F1E"/>
    <w:rsid w:val="00567978"/>
    <w:rsid w:val="0057278C"/>
    <w:rsid w:val="005729CE"/>
    <w:rsid w:val="005761C3"/>
    <w:rsid w:val="00576A83"/>
    <w:rsid w:val="00577CC8"/>
    <w:rsid w:val="0058014D"/>
    <w:rsid w:val="00580D1D"/>
    <w:rsid w:val="00581C06"/>
    <w:rsid w:val="005838A5"/>
    <w:rsid w:val="005845EA"/>
    <w:rsid w:val="00585245"/>
    <w:rsid w:val="005916F1"/>
    <w:rsid w:val="00594261"/>
    <w:rsid w:val="00594F26"/>
    <w:rsid w:val="005A035F"/>
    <w:rsid w:val="005A163D"/>
    <w:rsid w:val="005A32EA"/>
    <w:rsid w:val="005A35AD"/>
    <w:rsid w:val="005A5024"/>
    <w:rsid w:val="005A564E"/>
    <w:rsid w:val="005A65C1"/>
    <w:rsid w:val="005B0E01"/>
    <w:rsid w:val="005B5570"/>
    <w:rsid w:val="005B68C1"/>
    <w:rsid w:val="005C0294"/>
    <w:rsid w:val="005C05E7"/>
    <w:rsid w:val="005C1280"/>
    <w:rsid w:val="005C306E"/>
    <w:rsid w:val="005C577F"/>
    <w:rsid w:val="005C5A51"/>
    <w:rsid w:val="005C7347"/>
    <w:rsid w:val="005D1A3A"/>
    <w:rsid w:val="005D5FB1"/>
    <w:rsid w:val="005D6B99"/>
    <w:rsid w:val="005E0A22"/>
    <w:rsid w:val="005E10F7"/>
    <w:rsid w:val="005E2D18"/>
    <w:rsid w:val="005E2E68"/>
    <w:rsid w:val="005E318D"/>
    <w:rsid w:val="005F7635"/>
    <w:rsid w:val="005F782E"/>
    <w:rsid w:val="005F7DCB"/>
    <w:rsid w:val="006007B7"/>
    <w:rsid w:val="00604BE2"/>
    <w:rsid w:val="00606745"/>
    <w:rsid w:val="00610C10"/>
    <w:rsid w:val="00611CBB"/>
    <w:rsid w:val="00614137"/>
    <w:rsid w:val="006156D3"/>
    <w:rsid w:val="00616F6D"/>
    <w:rsid w:val="00617071"/>
    <w:rsid w:val="00620095"/>
    <w:rsid w:val="006215B6"/>
    <w:rsid w:val="0062228C"/>
    <w:rsid w:val="00626651"/>
    <w:rsid w:val="00631E9B"/>
    <w:rsid w:val="00632238"/>
    <w:rsid w:val="00632AB5"/>
    <w:rsid w:val="006337CE"/>
    <w:rsid w:val="006357C7"/>
    <w:rsid w:val="00637BA1"/>
    <w:rsid w:val="00640A63"/>
    <w:rsid w:val="00640EFE"/>
    <w:rsid w:val="00645DC5"/>
    <w:rsid w:val="00646E6A"/>
    <w:rsid w:val="00651D8E"/>
    <w:rsid w:val="00653BF6"/>
    <w:rsid w:val="006547AF"/>
    <w:rsid w:val="00654CA9"/>
    <w:rsid w:val="00654CCB"/>
    <w:rsid w:val="006561E6"/>
    <w:rsid w:val="006579CC"/>
    <w:rsid w:val="00657E00"/>
    <w:rsid w:val="0066198D"/>
    <w:rsid w:val="00662535"/>
    <w:rsid w:val="00663D36"/>
    <w:rsid w:val="00664D23"/>
    <w:rsid w:val="00665B26"/>
    <w:rsid w:val="00673A0A"/>
    <w:rsid w:val="00673B01"/>
    <w:rsid w:val="006778C6"/>
    <w:rsid w:val="00680C89"/>
    <w:rsid w:val="00681E5E"/>
    <w:rsid w:val="00682422"/>
    <w:rsid w:val="006836E6"/>
    <w:rsid w:val="00687E52"/>
    <w:rsid w:val="0069126A"/>
    <w:rsid w:val="00692079"/>
    <w:rsid w:val="006927C5"/>
    <w:rsid w:val="00694941"/>
    <w:rsid w:val="006969B7"/>
    <w:rsid w:val="00697C99"/>
    <w:rsid w:val="006A3A83"/>
    <w:rsid w:val="006A5A94"/>
    <w:rsid w:val="006A62EB"/>
    <w:rsid w:val="006A634A"/>
    <w:rsid w:val="006A681B"/>
    <w:rsid w:val="006A71F9"/>
    <w:rsid w:val="006A73D3"/>
    <w:rsid w:val="006A7AF4"/>
    <w:rsid w:val="006B2815"/>
    <w:rsid w:val="006B2FF8"/>
    <w:rsid w:val="006B58DA"/>
    <w:rsid w:val="006B69FB"/>
    <w:rsid w:val="006C018B"/>
    <w:rsid w:val="006C0A9F"/>
    <w:rsid w:val="006C127E"/>
    <w:rsid w:val="006C1D69"/>
    <w:rsid w:val="006C3727"/>
    <w:rsid w:val="006C5BB2"/>
    <w:rsid w:val="006C6E7F"/>
    <w:rsid w:val="006C6FBA"/>
    <w:rsid w:val="006C7135"/>
    <w:rsid w:val="006C77FE"/>
    <w:rsid w:val="006D04EC"/>
    <w:rsid w:val="006D1C01"/>
    <w:rsid w:val="006D24A0"/>
    <w:rsid w:val="006D2F76"/>
    <w:rsid w:val="006D2FC9"/>
    <w:rsid w:val="006D64B1"/>
    <w:rsid w:val="006D65D3"/>
    <w:rsid w:val="006E2446"/>
    <w:rsid w:val="006E3630"/>
    <w:rsid w:val="006E5490"/>
    <w:rsid w:val="006E5AD6"/>
    <w:rsid w:val="006F33B2"/>
    <w:rsid w:val="006F39F0"/>
    <w:rsid w:val="006F51DA"/>
    <w:rsid w:val="006F7F66"/>
    <w:rsid w:val="0070181E"/>
    <w:rsid w:val="0070190F"/>
    <w:rsid w:val="00702F52"/>
    <w:rsid w:val="0070373F"/>
    <w:rsid w:val="00704771"/>
    <w:rsid w:val="0070511A"/>
    <w:rsid w:val="00706BC8"/>
    <w:rsid w:val="007105D6"/>
    <w:rsid w:val="0071565B"/>
    <w:rsid w:val="007165F9"/>
    <w:rsid w:val="00717543"/>
    <w:rsid w:val="00717E55"/>
    <w:rsid w:val="00717FA2"/>
    <w:rsid w:val="00725DFE"/>
    <w:rsid w:val="007265AF"/>
    <w:rsid w:val="00731336"/>
    <w:rsid w:val="00736212"/>
    <w:rsid w:val="0073783B"/>
    <w:rsid w:val="007401DC"/>
    <w:rsid w:val="00743618"/>
    <w:rsid w:val="00746810"/>
    <w:rsid w:val="00746E80"/>
    <w:rsid w:val="007512F6"/>
    <w:rsid w:val="0075189D"/>
    <w:rsid w:val="00754A64"/>
    <w:rsid w:val="00760E50"/>
    <w:rsid w:val="00760EEC"/>
    <w:rsid w:val="00764729"/>
    <w:rsid w:val="0077036F"/>
    <w:rsid w:val="007707EE"/>
    <w:rsid w:val="00770871"/>
    <w:rsid w:val="007728BF"/>
    <w:rsid w:val="007731FD"/>
    <w:rsid w:val="007743E9"/>
    <w:rsid w:val="00775E55"/>
    <w:rsid w:val="0077613C"/>
    <w:rsid w:val="007761EA"/>
    <w:rsid w:val="0077648D"/>
    <w:rsid w:val="007769FB"/>
    <w:rsid w:val="00781ABD"/>
    <w:rsid w:val="00783E89"/>
    <w:rsid w:val="007848B2"/>
    <w:rsid w:val="00786C60"/>
    <w:rsid w:val="007872C2"/>
    <w:rsid w:val="00787624"/>
    <w:rsid w:val="00787D04"/>
    <w:rsid w:val="00790AAC"/>
    <w:rsid w:val="007914ED"/>
    <w:rsid w:val="007A03A5"/>
    <w:rsid w:val="007A14AE"/>
    <w:rsid w:val="007A49B5"/>
    <w:rsid w:val="007A6AE8"/>
    <w:rsid w:val="007A794B"/>
    <w:rsid w:val="007B20C3"/>
    <w:rsid w:val="007B384B"/>
    <w:rsid w:val="007B5366"/>
    <w:rsid w:val="007B6A7E"/>
    <w:rsid w:val="007B7144"/>
    <w:rsid w:val="007C0791"/>
    <w:rsid w:val="007C2426"/>
    <w:rsid w:val="007C4DCA"/>
    <w:rsid w:val="007D0873"/>
    <w:rsid w:val="007D1B3E"/>
    <w:rsid w:val="007D2093"/>
    <w:rsid w:val="007D3404"/>
    <w:rsid w:val="007D6B23"/>
    <w:rsid w:val="007D7895"/>
    <w:rsid w:val="007E3FD6"/>
    <w:rsid w:val="007E4EDE"/>
    <w:rsid w:val="007E52E4"/>
    <w:rsid w:val="007E54E3"/>
    <w:rsid w:val="007E5B9D"/>
    <w:rsid w:val="007E6FD7"/>
    <w:rsid w:val="007F09C0"/>
    <w:rsid w:val="007F5A73"/>
    <w:rsid w:val="007F64FF"/>
    <w:rsid w:val="007F6668"/>
    <w:rsid w:val="0080144F"/>
    <w:rsid w:val="00802F09"/>
    <w:rsid w:val="00803193"/>
    <w:rsid w:val="00803244"/>
    <w:rsid w:val="00803658"/>
    <w:rsid w:val="0080469B"/>
    <w:rsid w:val="0080607A"/>
    <w:rsid w:val="00807005"/>
    <w:rsid w:val="008124EB"/>
    <w:rsid w:val="0081330D"/>
    <w:rsid w:val="00813F1A"/>
    <w:rsid w:val="00817289"/>
    <w:rsid w:val="008200A3"/>
    <w:rsid w:val="00821076"/>
    <w:rsid w:val="0082201B"/>
    <w:rsid w:val="008225CB"/>
    <w:rsid w:val="00823CC7"/>
    <w:rsid w:val="00827986"/>
    <w:rsid w:val="00834066"/>
    <w:rsid w:val="008342C5"/>
    <w:rsid w:val="00842044"/>
    <w:rsid w:val="0084206F"/>
    <w:rsid w:val="00846400"/>
    <w:rsid w:val="0085016D"/>
    <w:rsid w:val="00852B38"/>
    <w:rsid w:val="00853743"/>
    <w:rsid w:val="0085475E"/>
    <w:rsid w:val="00862037"/>
    <w:rsid w:val="00866ED3"/>
    <w:rsid w:val="00870140"/>
    <w:rsid w:val="008706A1"/>
    <w:rsid w:val="008715C0"/>
    <w:rsid w:val="0087589E"/>
    <w:rsid w:val="00876377"/>
    <w:rsid w:val="00876995"/>
    <w:rsid w:val="008818BE"/>
    <w:rsid w:val="00886AEF"/>
    <w:rsid w:val="00892843"/>
    <w:rsid w:val="00893B98"/>
    <w:rsid w:val="008976DA"/>
    <w:rsid w:val="008979DD"/>
    <w:rsid w:val="008A01BC"/>
    <w:rsid w:val="008A11A7"/>
    <w:rsid w:val="008A1430"/>
    <w:rsid w:val="008A2D1D"/>
    <w:rsid w:val="008A330C"/>
    <w:rsid w:val="008A3BBE"/>
    <w:rsid w:val="008A4161"/>
    <w:rsid w:val="008A6A0C"/>
    <w:rsid w:val="008A704A"/>
    <w:rsid w:val="008B1B95"/>
    <w:rsid w:val="008B24A2"/>
    <w:rsid w:val="008B4BC3"/>
    <w:rsid w:val="008C0321"/>
    <w:rsid w:val="008C090F"/>
    <w:rsid w:val="008C1D9E"/>
    <w:rsid w:val="008C1FEC"/>
    <w:rsid w:val="008C21C6"/>
    <w:rsid w:val="008C29D5"/>
    <w:rsid w:val="008C416B"/>
    <w:rsid w:val="008C4CFF"/>
    <w:rsid w:val="008C6CA6"/>
    <w:rsid w:val="008C6F17"/>
    <w:rsid w:val="008D08C7"/>
    <w:rsid w:val="008D4C3D"/>
    <w:rsid w:val="008D72B6"/>
    <w:rsid w:val="008E2221"/>
    <w:rsid w:val="008E4923"/>
    <w:rsid w:val="008E6FFC"/>
    <w:rsid w:val="008F046A"/>
    <w:rsid w:val="008F0B98"/>
    <w:rsid w:val="008F281E"/>
    <w:rsid w:val="008F4B89"/>
    <w:rsid w:val="008F5EE1"/>
    <w:rsid w:val="008F6590"/>
    <w:rsid w:val="008F7D7C"/>
    <w:rsid w:val="009003A4"/>
    <w:rsid w:val="009012F6"/>
    <w:rsid w:val="00902BD7"/>
    <w:rsid w:val="00904628"/>
    <w:rsid w:val="0090467F"/>
    <w:rsid w:val="00905FBF"/>
    <w:rsid w:val="00910DDA"/>
    <w:rsid w:val="009120A0"/>
    <w:rsid w:val="0091231B"/>
    <w:rsid w:val="00912698"/>
    <w:rsid w:val="0091338D"/>
    <w:rsid w:val="009136AA"/>
    <w:rsid w:val="009154B7"/>
    <w:rsid w:val="0091571A"/>
    <w:rsid w:val="009209BF"/>
    <w:rsid w:val="009210E6"/>
    <w:rsid w:val="009212C6"/>
    <w:rsid w:val="009214E4"/>
    <w:rsid w:val="00922D13"/>
    <w:rsid w:val="00923746"/>
    <w:rsid w:val="00923D54"/>
    <w:rsid w:val="009252BE"/>
    <w:rsid w:val="00932F67"/>
    <w:rsid w:val="0093424D"/>
    <w:rsid w:val="009357E4"/>
    <w:rsid w:val="00936549"/>
    <w:rsid w:val="00936C83"/>
    <w:rsid w:val="00937768"/>
    <w:rsid w:val="009377C7"/>
    <w:rsid w:val="00937D1A"/>
    <w:rsid w:val="00940249"/>
    <w:rsid w:val="0094112A"/>
    <w:rsid w:val="00944992"/>
    <w:rsid w:val="00946254"/>
    <w:rsid w:val="009473AF"/>
    <w:rsid w:val="00947F5B"/>
    <w:rsid w:val="0095036C"/>
    <w:rsid w:val="009513C8"/>
    <w:rsid w:val="00951E4A"/>
    <w:rsid w:val="00952208"/>
    <w:rsid w:val="009524B1"/>
    <w:rsid w:val="009532FE"/>
    <w:rsid w:val="00953F76"/>
    <w:rsid w:val="00955862"/>
    <w:rsid w:val="00960830"/>
    <w:rsid w:val="0096115C"/>
    <w:rsid w:val="009614DA"/>
    <w:rsid w:val="00963A12"/>
    <w:rsid w:val="00964323"/>
    <w:rsid w:val="00965355"/>
    <w:rsid w:val="00965D12"/>
    <w:rsid w:val="00971825"/>
    <w:rsid w:val="00972ED2"/>
    <w:rsid w:val="00974890"/>
    <w:rsid w:val="00974D39"/>
    <w:rsid w:val="00975171"/>
    <w:rsid w:val="00975B94"/>
    <w:rsid w:val="00976548"/>
    <w:rsid w:val="00981F3B"/>
    <w:rsid w:val="009821C3"/>
    <w:rsid w:val="00983233"/>
    <w:rsid w:val="00985371"/>
    <w:rsid w:val="00986358"/>
    <w:rsid w:val="009865D5"/>
    <w:rsid w:val="00986CD7"/>
    <w:rsid w:val="0099074E"/>
    <w:rsid w:val="00990AE4"/>
    <w:rsid w:val="00990E2F"/>
    <w:rsid w:val="00993C95"/>
    <w:rsid w:val="00996A55"/>
    <w:rsid w:val="00996BCF"/>
    <w:rsid w:val="00996E4F"/>
    <w:rsid w:val="00997F96"/>
    <w:rsid w:val="009A211F"/>
    <w:rsid w:val="009A5077"/>
    <w:rsid w:val="009A6A1A"/>
    <w:rsid w:val="009A6C36"/>
    <w:rsid w:val="009A7C95"/>
    <w:rsid w:val="009B0D37"/>
    <w:rsid w:val="009B0D4D"/>
    <w:rsid w:val="009B1962"/>
    <w:rsid w:val="009B3324"/>
    <w:rsid w:val="009B5AF4"/>
    <w:rsid w:val="009B5C92"/>
    <w:rsid w:val="009C171A"/>
    <w:rsid w:val="009C1E0E"/>
    <w:rsid w:val="009C3A0A"/>
    <w:rsid w:val="009C59E8"/>
    <w:rsid w:val="009C67EE"/>
    <w:rsid w:val="009C71AF"/>
    <w:rsid w:val="009D42BE"/>
    <w:rsid w:val="009D47C2"/>
    <w:rsid w:val="009D519D"/>
    <w:rsid w:val="009D5CEF"/>
    <w:rsid w:val="009D6FF6"/>
    <w:rsid w:val="009D737F"/>
    <w:rsid w:val="009E16D2"/>
    <w:rsid w:val="009E3209"/>
    <w:rsid w:val="009E3B03"/>
    <w:rsid w:val="009E3F7D"/>
    <w:rsid w:val="009E5240"/>
    <w:rsid w:val="009E5598"/>
    <w:rsid w:val="009E5AE9"/>
    <w:rsid w:val="009E6DA6"/>
    <w:rsid w:val="009E7561"/>
    <w:rsid w:val="009F3009"/>
    <w:rsid w:val="009F4D4E"/>
    <w:rsid w:val="00A048E5"/>
    <w:rsid w:val="00A06B17"/>
    <w:rsid w:val="00A11362"/>
    <w:rsid w:val="00A11D5C"/>
    <w:rsid w:val="00A142C6"/>
    <w:rsid w:val="00A1616A"/>
    <w:rsid w:val="00A17441"/>
    <w:rsid w:val="00A21C73"/>
    <w:rsid w:val="00A233D2"/>
    <w:rsid w:val="00A2519D"/>
    <w:rsid w:val="00A261D5"/>
    <w:rsid w:val="00A27E58"/>
    <w:rsid w:val="00A3078E"/>
    <w:rsid w:val="00A33A33"/>
    <w:rsid w:val="00A344EB"/>
    <w:rsid w:val="00A37082"/>
    <w:rsid w:val="00A37890"/>
    <w:rsid w:val="00A379C5"/>
    <w:rsid w:val="00A43846"/>
    <w:rsid w:val="00A45143"/>
    <w:rsid w:val="00A4528D"/>
    <w:rsid w:val="00A4569D"/>
    <w:rsid w:val="00A45AD9"/>
    <w:rsid w:val="00A46066"/>
    <w:rsid w:val="00A473D6"/>
    <w:rsid w:val="00A50C02"/>
    <w:rsid w:val="00A52387"/>
    <w:rsid w:val="00A528AC"/>
    <w:rsid w:val="00A538B1"/>
    <w:rsid w:val="00A54A7A"/>
    <w:rsid w:val="00A5553E"/>
    <w:rsid w:val="00A55B85"/>
    <w:rsid w:val="00A5612F"/>
    <w:rsid w:val="00A56D5A"/>
    <w:rsid w:val="00A60EB3"/>
    <w:rsid w:val="00A61DAA"/>
    <w:rsid w:val="00A658AD"/>
    <w:rsid w:val="00A65DB2"/>
    <w:rsid w:val="00A671B8"/>
    <w:rsid w:val="00A67753"/>
    <w:rsid w:val="00A679F1"/>
    <w:rsid w:val="00A73FE7"/>
    <w:rsid w:val="00A74DA0"/>
    <w:rsid w:val="00A76DCD"/>
    <w:rsid w:val="00A77829"/>
    <w:rsid w:val="00A85F5A"/>
    <w:rsid w:val="00A86766"/>
    <w:rsid w:val="00A910E3"/>
    <w:rsid w:val="00A9551F"/>
    <w:rsid w:val="00A962C3"/>
    <w:rsid w:val="00A9671A"/>
    <w:rsid w:val="00A973AC"/>
    <w:rsid w:val="00A97DD6"/>
    <w:rsid w:val="00AA3A84"/>
    <w:rsid w:val="00AA5129"/>
    <w:rsid w:val="00AA6F06"/>
    <w:rsid w:val="00AB0AEB"/>
    <w:rsid w:val="00AB4351"/>
    <w:rsid w:val="00AB563E"/>
    <w:rsid w:val="00AC10CC"/>
    <w:rsid w:val="00AC146B"/>
    <w:rsid w:val="00AC2BC6"/>
    <w:rsid w:val="00AC32C1"/>
    <w:rsid w:val="00AC3CDE"/>
    <w:rsid w:val="00AC605C"/>
    <w:rsid w:val="00AD03FD"/>
    <w:rsid w:val="00AD62F0"/>
    <w:rsid w:val="00AD6799"/>
    <w:rsid w:val="00AD68B2"/>
    <w:rsid w:val="00AD6A3E"/>
    <w:rsid w:val="00AE1354"/>
    <w:rsid w:val="00AE3221"/>
    <w:rsid w:val="00AE637E"/>
    <w:rsid w:val="00AE6C71"/>
    <w:rsid w:val="00AF1035"/>
    <w:rsid w:val="00AF10BC"/>
    <w:rsid w:val="00B03F6A"/>
    <w:rsid w:val="00B06054"/>
    <w:rsid w:val="00B1121E"/>
    <w:rsid w:val="00B11898"/>
    <w:rsid w:val="00B12294"/>
    <w:rsid w:val="00B12AF4"/>
    <w:rsid w:val="00B12EE6"/>
    <w:rsid w:val="00B1365E"/>
    <w:rsid w:val="00B13DF0"/>
    <w:rsid w:val="00B14212"/>
    <w:rsid w:val="00B26A81"/>
    <w:rsid w:val="00B275C5"/>
    <w:rsid w:val="00B30044"/>
    <w:rsid w:val="00B318C2"/>
    <w:rsid w:val="00B32BB1"/>
    <w:rsid w:val="00B36D9C"/>
    <w:rsid w:val="00B371F2"/>
    <w:rsid w:val="00B37862"/>
    <w:rsid w:val="00B406E2"/>
    <w:rsid w:val="00B45EAE"/>
    <w:rsid w:val="00B46B71"/>
    <w:rsid w:val="00B52E1D"/>
    <w:rsid w:val="00B53C1B"/>
    <w:rsid w:val="00B54124"/>
    <w:rsid w:val="00B552AF"/>
    <w:rsid w:val="00B552B7"/>
    <w:rsid w:val="00B56484"/>
    <w:rsid w:val="00B60F27"/>
    <w:rsid w:val="00B64950"/>
    <w:rsid w:val="00B64BA9"/>
    <w:rsid w:val="00B712C9"/>
    <w:rsid w:val="00B802D8"/>
    <w:rsid w:val="00B810C0"/>
    <w:rsid w:val="00B820DF"/>
    <w:rsid w:val="00B84E8D"/>
    <w:rsid w:val="00B85C84"/>
    <w:rsid w:val="00B864AB"/>
    <w:rsid w:val="00B87C98"/>
    <w:rsid w:val="00B9056F"/>
    <w:rsid w:val="00B92C11"/>
    <w:rsid w:val="00B93299"/>
    <w:rsid w:val="00B93F55"/>
    <w:rsid w:val="00B947AE"/>
    <w:rsid w:val="00B94B18"/>
    <w:rsid w:val="00B9778E"/>
    <w:rsid w:val="00B97AE6"/>
    <w:rsid w:val="00BA1068"/>
    <w:rsid w:val="00BA3FF4"/>
    <w:rsid w:val="00BA6751"/>
    <w:rsid w:val="00BB00D0"/>
    <w:rsid w:val="00BB1566"/>
    <w:rsid w:val="00BB2733"/>
    <w:rsid w:val="00BB3976"/>
    <w:rsid w:val="00BB4CC3"/>
    <w:rsid w:val="00BB50BA"/>
    <w:rsid w:val="00BB710F"/>
    <w:rsid w:val="00BB7D8D"/>
    <w:rsid w:val="00BC0513"/>
    <w:rsid w:val="00BC1CED"/>
    <w:rsid w:val="00BC43F5"/>
    <w:rsid w:val="00BC69F3"/>
    <w:rsid w:val="00BC6B50"/>
    <w:rsid w:val="00BC73B0"/>
    <w:rsid w:val="00BD190F"/>
    <w:rsid w:val="00BE2483"/>
    <w:rsid w:val="00BE28F3"/>
    <w:rsid w:val="00BE2E4B"/>
    <w:rsid w:val="00BE6F66"/>
    <w:rsid w:val="00BE77DE"/>
    <w:rsid w:val="00BF1462"/>
    <w:rsid w:val="00BF278F"/>
    <w:rsid w:val="00BF4202"/>
    <w:rsid w:val="00BF426B"/>
    <w:rsid w:val="00BF451D"/>
    <w:rsid w:val="00BF731E"/>
    <w:rsid w:val="00BF7A91"/>
    <w:rsid w:val="00C07F8F"/>
    <w:rsid w:val="00C10D1B"/>
    <w:rsid w:val="00C110AF"/>
    <w:rsid w:val="00C11912"/>
    <w:rsid w:val="00C12512"/>
    <w:rsid w:val="00C1443A"/>
    <w:rsid w:val="00C14EA8"/>
    <w:rsid w:val="00C151B4"/>
    <w:rsid w:val="00C1606D"/>
    <w:rsid w:val="00C16C6C"/>
    <w:rsid w:val="00C17396"/>
    <w:rsid w:val="00C23C7B"/>
    <w:rsid w:val="00C24D81"/>
    <w:rsid w:val="00C2625D"/>
    <w:rsid w:val="00C27756"/>
    <w:rsid w:val="00C27C55"/>
    <w:rsid w:val="00C3165D"/>
    <w:rsid w:val="00C31E01"/>
    <w:rsid w:val="00C36306"/>
    <w:rsid w:val="00C3648B"/>
    <w:rsid w:val="00C36961"/>
    <w:rsid w:val="00C40F33"/>
    <w:rsid w:val="00C414F0"/>
    <w:rsid w:val="00C42FB0"/>
    <w:rsid w:val="00C43CBF"/>
    <w:rsid w:val="00C45967"/>
    <w:rsid w:val="00C50586"/>
    <w:rsid w:val="00C506E0"/>
    <w:rsid w:val="00C5209B"/>
    <w:rsid w:val="00C533D2"/>
    <w:rsid w:val="00C54859"/>
    <w:rsid w:val="00C56E55"/>
    <w:rsid w:val="00C5732E"/>
    <w:rsid w:val="00C57F1C"/>
    <w:rsid w:val="00C61A87"/>
    <w:rsid w:val="00C622BD"/>
    <w:rsid w:val="00C62FFE"/>
    <w:rsid w:val="00C679A2"/>
    <w:rsid w:val="00C7008B"/>
    <w:rsid w:val="00C703EA"/>
    <w:rsid w:val="00C7096B"/>
    <w:rsid w:val="00C71391"/>
    <w:rsid w:val="00C71480"/>
    <w:rsid w:val="00C715D6"/>
    <w:rsid w:val="00C74A7C"/>
    <w:rsid w:val="00C76DF0"/>
    <w:rsid w:val="00C778C9"/>
    <w:rsid w:val="00C802E5"/>
    <w:rsid w:val="00C84584"/>
    <w:rsid w:val="00C855AB"/>
    <w:rsid w:val="00C86354"/>
    <w:rsid w:val="00C868EF"/>
    <w:rsid w:val="00C8704B"/>
    <w:rsid w:val="00C90433"/>
    <w:rsid w:val="00C90F2F"/>
    <w:rsid w:val="00C91033"/>
    <w:rsid w:val="00C911B6"/>
    <w:rsid w:val="00C92257"/>
    <w:rsid w:val="00C923E1"/>
    <w:rsid w:val="00C926CD"/>
    <w:rsid w:val="00C9331A"/>
    <w:rsid w:val="00C93904"/>
    <w:rsid w:val="00C95AE2"/>
    <w:rsid w:val="00C967EC"/>
    <w:rsid w:val="00C968A9"/>
    <w:rsid w:val="00CA0935"/>
    <w:rsid w:val="00CA1CAD"/>
    <w:rsid w:val="00CA2A19"/>
    <w:rsid w:val="00CA421C"/>
    <w:rsid w:val="00CA55B0"/>
    <w:rsid w:val="00CA6AFE"/>
    <w:rsid w:val="00CA70CC"/>
    <w:rsid w:val="00CB123D"/>
    <w:rsid w:val="00CB1570"/>
    <w:rsid w:val="00CB17CF"/>
    <w:rsid w:val="00CB1DBB"/>
    <w:rsid w:val="00CB326A"/>
    <w:rsid w:val="00CB3525"/>
    <w:rsid w:val="00CB3AF7"/>
    <w:rsid w:val="00CB4183"/>
    <w:rsid w:val="00CB4320"/>
    <w:rsid w:val="00CB5999"/>
    <w:rsid w:val="00CB6486"/>
    <w:rsid w:val="00CC0F9B"/>
    <w:rsid w:val="00CC1B77"/>
    <w:rsid w:val="00CC1E58"/>
    <w:rsid w:val="00CC20E4"/>
    <w:rsid w:val="00CC2BC5"/>
    <w:rsid w:val="00CC2F9C"/>
    <w:rsid w:val="00CC55DE"/>
    <w:rsid w:val="00CC6F4B"/>
    <w:rsid w:val="00CC740F"/>
    <w:rsid w:val="00CD139C"/>
    <w:rsid w:val="00CD1645"/>
    <w:rsid w:val="00CD1708"/>
    <w:rsid w:val="00CD1B15"/>
    <w:rsid w:val="00CD570D"/>
    <w:rsid w:val="00CD7C60"/>
    <w:rsid w:val="00CE06A3"/>
    <w:rsid w:val="00CE3676"/>
    <w:rsid w:val="00CE3D20"/>
    <w:rsid w:val="00CF01B0"/>
    <w:rsid w:val="00CF15E0"/>
    <w:rsid w:val="00CF161B"/>
    <w:rsid w:val="00CF1ABD"/>
    <w:rsid w:val="00CF4ED5"/>
    <w:rsid w:val="00CF5746"/>
    <w:rsid w:val="00D02312"/>
    <w:rsid w:val="00D10BE3"/>
    <w:rsid w:val="00D12BFF"/>
    <w:rsid w:val="00D12C3D"/>
    <w:rsid w:val="00D149DE"/>
    <w:rsid w:val="00D21EE3"/>
    <w:rsid w:val="00D23948"/>
    <w:rsid w:val="00D31CB5"/>
    <w:rsid w:val="00D32062"/>
    <w:rsid w:val="00D34F66"/>
    <w:rsid w:val="00D3586A"/>
    <w:rsid w:val="00D3592F"/>
    <w:rsid w:val="00D365C5"/>
    <w:rsid w:val="00D37724"/>
    <w:rsid w:val="00D37786"/>
    <w:rsid w:val="00D4164A"/>
    <w:rsid w:val="00D4343A"/>
    <w:rsid w:val="00D559A4"/>
    <w:rsid w:val="00D56125"/>
    <w:rsid w:val="00D60290"/>
    <w:rsid w:val="00D617DF"/>
    <w:rsid w:val="00D61DB5"/>
    <w:rsid w:val="00D6234E"/>
    <w:rsid w:val="00D65F8E"/>
    <w:rsid w:val="00D73F12"/>
    <w:rsid w:val="00D80BD7"/>
    <w:rsid w:val="00D81AF6"/>
    <w:rsid w:val="00D83FAF"/>
    <w:rsid w:val="00D8495A"/>
    <w:rsid w:val="00D860B1"/>
    <w:rsid w:val="00D90780"/>
    <w:rsid w:val="00D9531C"/>
    <w:rsid w:val="00D9551C"/>
    <w:rsid w:val="00D964BD"/>
    <w:rsid w:val="00D97DD9"/>
    <w:rsid w:val="00DA27F2"/>
    <w:rsid w:val="00DA476E"/>
    <w:rsid w:val="00DA492B"/>
    <w:rsid w:val="00DA5F02"/>
    <w:rsid w:val="00DA6485"/>
    <w:rsid w:val="00DA74C7"/>
    <w:rsid w:val="00DB0CFA"/>
    <w:rsid w:val="00DB2704"/>
    <w:rsid w:val="00DB3098"/>
    <w:rsid w:val="00DB5619"/>
    <w:rsid w:val="00DB7D97"/>
    <w:rsid w:val="00DC1592"/>
    <w:rsid w:val="00DC2D29"/>
    <w:rsid w:val="00DC3337"/>
    <w:rsid w:val="00DD153D"/>
    <w:rsid w:val="00DD1A24"/>
    <w:rsid w:val="00DD2196"/>
    <w:rsid w:val="00DD3CED"/>
    <w:rsid w:val="00DD7D9E"/>
    <w:rsid w:val="00DE038C"/>
    <w:rsid w:val="00DE0720"/>
    <w:rsid w:val="00DE0882"/>
    <w:rsid w:val="00DE0F2F"/>
    <w:rsid w:val="00DE1412"/>
    <w:rsid w:val="00DE1F01"/>
    <w:rsid w:val="00DE26D7"/>
    <w:rsid w:val="00DE3386"/>
    <w:rsid w:val="00DE33E4"/>
    <w:rsid w:val="00DE457E"/>
    <w:rsid w:val="00DF2D2E"/>
    <w:rsid w:val="00DF3C1E"/>
    <w:rsid w:val="00DF3C57"/>
    <w:rsid w:val="00DF3CD8"/>
    <w:rsid w:val="00DF4122"/>
    <w:rsid w:val="00DF453D"/>
    <w:rsid w:val="00DF4E6A"/>
    <w:rsid w:val="00E02562"/>
    <w:rsid w:val="00E05E0A"/>
    <w:rsid w:val="00E06098"/>
    <w:rsid w:val="00E118BF"/>
    <w:rsid w:val="00E11EF6"/>
    <w:rsid w:val="00E125BF"/>
    <w:rsid w:val="00E13110"/>
    <w:rsid w:val="00E13C7C"/>
    <w:rsid w:val="00E1443C"/>
    <w:rsid w:val="00E153AE"/>
    <w:rsid w:val="00E1682F"/>
    <w:rsid w:val="00E168BB"/>
    <w:rsid w:val="00E215EE"/>
    <w:rsid w:val="00E226DF"/>
    <w:rsid w:val="00E23955"/>
    <w:rsid w:val="00E24238"/>
    <w:rsid w:val="00E263D7"/>
    <w:rsid w:val="00E26832"/>
    <w:rsid w:val="00E30A57"/>
    <w:rsid w:val="00E32AFB"/>
    <w:rsid w:val="00E3545C"/>
    <w:rsid w:val="00E35F13"/>
    <w:rsid w:val="00E404F8"/>
    <w:rsid w:val="00E40FA7"/>
    <w:rsid w:val="00E43798"/>
    <w:rsid w:val="00E47460"/>
    <w:rsid w:val="00E50047"/>
    <w:rsid w:val="00E502BE"/>
    <w:rsid w:val="00E50803"/>
    <w:rsid w:val="00E50EA6"/>
    <w:rsid w:val="00E51E9C"/>
    <w:rsid w:val="00E53122"/>
    <w:rsid w:val="00E534BF"/>
    <w:rsid w:val="00E5586F"/>
    <w:rsid w:val="00E565AC"/>
    <w:rsid w:val="00E6017B"/>
    <w:rsid w:val="00E61438"/>
    <w:rsid w:val="00E6154A"/>
    <w:rsid w:val="00E61F0F"/>
    <w:rsid w:val="00E650F1"/>
    <w:rsid w:val="00E758AE"/>
    <w:rsid w:val="00E76E67"/>
    <w:rsid w:val="00E8048B"/>
    <w:rsid w:val="00E8096F"/>
    <w:rsid w:val="00E82043"/>
    <w:rsid w:val="00E82E37"/>
    <w:rsid w:val="00E83368"/>
    <w:rsid w:val="00E839EF"/>
    <w:rsid w:val="00E848B3"/>
    <w:rsid w:val="00E92CFE"/>
    <w:rsid w:val="00E9373B"/>
    <w:rsid w:val="00E959FF"/>
    <w:rsid w:val="00E97A0D"/>
    <w:rsid w:val="00EA32CC"/>
    <w:rsid w:val="00EA5EAB"/>
    <w:rsid w:val="00EA6D75"/>
    <w:rsid w:val="00EB02D5"/>
    <w:rsid w:val="00EB2B6D"/>
    <w:rsid w:val="00EB353E"/>
    <w:rsid w:val="00EB43C0"/>
    <w:rsid w:val="00EB44D0"/>
    <w:rsid w:val="00EB687C"/>
    <w:rsid w:val="00EB6984"/>
    <w:rsid w:val="00EB7FA1"/>
    <w:rsid w:val="00EC2A80"/>
    <w:rsid w:val="00EC36AD"/>
    <w:rsid w:val="00EC4147"/>
    <w:rsid w:val="00EC496B"/>
    <w:rsid w:val="00EC73F6"/>
    <w:rsid w:val="00ED040D"/>
    <w:rsid w:val="00ED04D5"/>
    <w:rsid w:val="00ED30BC"/>
    <w:rsid w:val="00ED4C39"/>
    <w:rsid w:val="00ED703C"/>
    <w:rsid w:val="00ED70AE"/>
    <w:rsid w:val="00ED72BD"/>
    <w:rsid w:val="00EE3750"/>
    <w:rsid w:val="00EE3E4D"/>
    <w:rsid w:val="00EE49FC"/>
    <w:rsid w:val="00EE4CEF"/>
    <w:rsid w:val="00EE7D92"/>
    <w:rsid w:val="00EF0E34"/>
    <w:rsid w:val="00EF3FBC"/>
    <w:rsid w:val="00EF56A4"/>
    <w:rsid w:val="00EF5CB5"/>
    <w:rsid w:val="00EF7018"/>
    <w:rsid w:val="00EF708E"/>
    <w:rsid w:val="00EF7B40"/>
    <w:rsid w:val="00F00D45"/>
    <w:rsid w:val="00F02531"/>
    <w:rsid w:val="00F04EC0"/>
    <w:rsid w:val="00F0644B"/>
    <w:rsid w:val="00F07229"/>
    <w:rsid w:val="00F15B00"/>
    <w:rsid w:val="00F20083"/>
    <w:rsid w:val="00F20689"/>
    <w:rsid w:val="00F21DFB"/>
    <w:rsid w:val="00F22DDE"/>
    <w:rsid w:val="00F23161"/>
    <w:rsid w:val="00F24D39"/>
    <w:rsid w:val="00F30A02"/>
    <w:rsid w:val="00F3282A"/>
    <w:rsid w:val="00F340B8"/>
    <w:rsid w:val="00F42876"/>
    <w:rsid w:val="00F42903"/>
    <w:rsid w:val="00F47B2F"/>
    <w:rsid w:val="00F47D56"/>
    <w:rsid w:val="00F50071"/>
    <w:rsid w:val="00F5144F"/>
    <w:rsid w:val="00F533A5"/>
    <w:rsid w:val="00F55627"/>
    <w:rsid w:val="00F64F40"/>
    <w:rsid w:val="00F65C75"/>
    <w:rsid w:val="00F712E4"/>
    <w:rsid w:val="00F71AB3"/>
    <w:rsid w:val="00F7530F"/>
    <w:rsid w:val="00F76BD8"/>
    <w:rsid w:val="00F778F9"/>
    <w:rsid w:val="00F7790A"/>
    <w:rsid w:val="00F8004E"/>
    <w:rsid w:val="00F82CA3"/>
    <w:rsid w:val="00F84B20"/>
    <w:rsid w:val="00F86CBA"/>
    <w:rsid w:val="00F870FA"/>
    <w:rsid w:val="00F90999"/>
    <w:rsid w:val="00F90A7E"/>
    <w:rsid w:val="00F91BF5"/>
    <w:rsid w:val="00F92BB7"/>
    <w:rsid w:val="00F92EE8"/>
    <w:rsid w:val="00F97CE9"/>
    <w:rsid w:val="00FA219F"/>
    <w:rsid w:val="00FA622A"/>
    <w:rsid w:val="00FB13EC"/>
    <w:rsid w:val="00FB1A51"/>
    <w:rsid w:val="00FB2E85"/>
    <w:rsid w:val="00FB60DB"/>
    <w:rsid w:val="00FB71CA"/>
    <w:rsid w:val="00FC0BBB"/>
    <w:rsid w:val="00FC1CC6"/>
    <w:rsid w:val="00FC5531"/>
    <w:rsid w:val="00FC75F8"/>
    <w:rsid w:val="00FC7AD3"/>
    <w:rsid w:val="00FD0B37"/>
    <w:rsid w:val="00FD3698"/>
    <w:rsid w:val="00FD6ABB"/>
    <w:rsid w:val="00FD7577"/>
    <w:rsid w:val="00FE1B24"/>
    <w:rsid w:val="00FE2E84"/>
    <w:rsid w:val="00FE5E61"/>
    <w:rsid w:val="00FF006E"/>
    <w:rsid w:val="00FF0E6F"/>
    <w:rsid w:val="00FF0EAE"/>
    <w:rsid w:val="00FF4808"/>
    <w:rsid w:val="00FF4E2C"/>
    <w:rsid w:val="00FF542C"/>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FA1C"/>
  <w14:defaultImageDpi w14:val="32767"/>
  <w15:chartTrackingRefBased/>
  <w15:docId w15:val="{80DE0599-1D2C-496D-8032-8DC9D17A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lsdException w:name="footer" w:locked="0"/>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qFormat="1"/>
    <w:lsdException w:name="Closing" w:semiHidden="1"/>
    <w:lsdException w:name="Signature" w:locked="0" w:uiPriority="34"/>
    <w:lsdException w:name="Default Paragraph Font" w:locked="0" w:semiHidden="1" w:uiPriority="1" w:unhideWhenUsed="1"/>
    <w:lsdException w:name="Body Text" w:locked="0" w:semiHidden="1" w:uiPriority="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C77FE"/>
  </w:style>
  <w:style w:type="paragraph" w:styleId="Heading1">
    <w:name w:val="heading 1"/>
    <w:basedOn w:val="Normal"/>
    <w:next w:val="Normal"/>
    <w:link w:val="Heading1Char"/>
    <w:uiPriority w:val="9"/>
    <w:qFormat/>
    <w:rsid w:val="00080D93"/>
    <w:pPr>
      <w:keepNext/>
      <w:keepLines/>
      <w:spacing w:before="240"/>
      <w:outlineLvl w:val="0"/>
    </w:pPr>
    <w:rPr>
      <w:rFonts w:asciiTheme="majorHAnsi" w:eastAsiaTheme="majorEastAsia" w:hAnsiTheme="majorHAnsi" w:cstheme="majorBidi"/>
      <w:b/>
      <w:color w:val="075D5F" w:themeColor="accent1"/>
      <w:sz w:val="36"/>
      <w:szCs w:val="50"/>
    </w:rPr>
  </w:style>
  <w:style w:type="paragraph" w:styleId="Heading2">
    <w:name w:val="heading 2"/>
    <w:basedOn w:val="Normal"/>
    <w:next w:val="Normal"/>
    <w:link w:val="Heading2Char"/>
    <w:uiPriority w:val="9"/>
    <w:qFormat/>
    <w:rsid w:val="00080D93"/>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C77FE"/>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C77FE"/>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C77FE"/>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C77FE"/>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C77FE"/>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C77FE"/>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C77FE"/>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7FE"/>
    <w:pPr>
      <w:spacing w:before="0" w:after="0"/>
    </w:pPr>
  </w:style>
  <w:style w:type="character" w:customStyle="1" w:styleId="Heading1Char">
    <w:name w:val="Heading 1 Char"/>
    <w:basedOn w:val="DefaultParagraphFont"/>
    <w:link w:val="Heading1"/>
    <w:uiPriority w:val="9"/>
    <w:rsid w:val="00080D93"/>
    <w:rPr>
      <w:rFonts w:asciiTheme="majorHAnsi" w:eastAsiaTheme="majorEastAsia" w:hAnsiTheme="majorHAnsi" w:cstheme="majorBidi"/>
      <w:b/>
      <w:color w:val="075D5F" w:themeColor="accent1"/>
      <w:sz w:val="36"/>
      <w:szCs w:val="50"/>
    </w:rPr>
  </w:style>
  <w:style w:type="character" w:customStyle="1" w:styleId="Heading2Char">
    <w:name w:val="Heading 2 Char"/>
    <w:basedOn w:val="DefaultParagraphFont"/>
    <w:link w:val="Heading2"/>
    <w:uiPriority w:val="9"/>
    <w:rsid w:val="00080D93"/>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C77FE"/>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C77FE"/>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C77FE"/>
    <w:rPr>
      <w:rFonts w:eastAsiaTheme="majorEastAsia" w:cstheme="majorBidi"/>
      <w:b/>
    </w:rPr>
  </w:style>
  <w:style w:type="character" w:customStyle="1" w:styleId="Heading6Char">
    <w:name w:val="Heading 6 Char"/>
    <w:basedOn w:val="DefaultParagraphFont"/>
    <w:link w:val="Heading6"/>
    <w:uiPriority w:val="9"/>
    <w:semiHidden/>
    <w:rsid w:val="006C77FE"/>
    <w:rPr>
      <w:rFonts w:eastAsiaTheme="majorEastAsia" w:cstheme="majorBidi"/>
      <w:b/>
      <w:iCs/>
    </w:rPr>
  </w:style>
  <w:style w:type="character" w:customStyle="1" w:styleId="Heading7Char">
    <w:name w:val="Heading 7 Char"/>
    <w:basedOn w:val="DefaultParagraphFont"/>
    <w:link w:val="Heading7"/>
    <w:uiPriority w:val="9"/>
    <w:semiHidden/>
    <w:rsid w:val="006C77FE"/>
    <w:rPr>
      <w:rFonts w:eastAsiaTheme="majorEastAsia" w:cstheme="majorBidi"/>
      <w:b/>
    </w:rPr>
  </w:style>
  <w:style w:type="character" w:customStyle="1" w:styleId="Heading8Char">
    <w:name w:val="Heading 8 Char"/>
    <w:basedOn w:val="DefaultParagraphFont"/>
    <w:link w:val="Heading8"/>
    <w:uiPriority w:val="9"/>
    <w:semiHidden/>
    <w:rsid w:val="006C77F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C77FE"/>
    <w:rPr>
      <w:rFonts w:eastAsiaTheme="majorEastAsia" w:cstheme="majorBidi"/>
      <w:i/>
      <w:color w:val="272727" w:themeColor="text1" w:themeTint="D8"/>
      <w:sz w:val="24"/>
    </w:rPr>
  </w:style>
  <w:style w:type="paragraph" w:styleId="ListBullet">
    <w:name w:val="List Bullet"/>
    <w:basedOn w:val="Normal"/>
    <w:uiPriority w:val="17"/>
    <w:rsid w:val="006C77FE"/>
    <w:pPr>
      <w:numPr>
        <w:numId w:val="15"/>
      </w:numPr>
      <w:contextualSpacing/>
    </w:pPr>
  </w:style>
  <w:style w:type="numbering" w:customStyle="1" w:styleId="BulletList">
    <w:name w:val="Bullet List"/>
    <w:basedOn w:val="NoList"/>
    <w:uiPriority w:val="99"/>
    <w:rsid w:val="006C77FE"/>
    <w:pPr>
      <w:numPr>
        <w:numId w:val="3"/>
      </w:numPr>
    </w:pPr>
  </w:style>
  <w:style w:type="paragraph" w:styleId="ListParagraph">
    <w:name w:val="List Paragraph"/>
    <w:aliases w:val="Bullet point"/>
    <w:basedOn w:val="Normal"/>
    <w:uiPriority w:val="1"/>
    <w:qFormat/>
    <w:rsid w:val="006D2FC9"/>
    <w:pPr>
      <w:contextualSpacing/>
    </w:pPr>
  </w:style>
  <w:style w:type="paragraph" w:styleId="ListBullet2">
    <w:name w:val="List Bullet 2"/>
    <w:basedOn w:val="Normal"/>
    <w:uiPriority w:val="17"/>
    <w:rsid w:val="006C77FE"/>
    <w:pPr>
      <w:numPr>
        <w:ilvl w:val="1"/>
        <w:numId w:val="15"/>
      </w:numPr>
      <w:contextualSpacing/>
    </w:pPr>
  </w:style>
  <w:style w:type="character" w:styleId="FollowedHyperlink">
    <w:name w:val="FollowedHyperlink"/>
    <w:basedOn w:val="DefaultParagraphFont"/>
    <w:uiPriority w:val="99"/>
    <w:rsid w:val="006C77FE"/>
    <w:rPr>
      <w:color w:val="075D5F" w:themeColor="accent1"/>
      <w:u w:val="single"/>
    </w:rPr>
  </w:style>
  <w:style w:type="paragraph" w:styleId="ListBullet4">
    <w:name w:val="List Bullet 4"/>
    <w:basedOn w:val="Normal"/>
    <w:uiPriority w:val="17"/>
    <w:rsid w:val="006C77FE"/>
    <w:pPr>
      <w:numPr>
        <w:ilvl w:val="3"/>
        <w:numId w:val="15"/>
      </w:numPr>
      <w:contextualSpacing/>
    </w:pPr>
  </w:style>
  <w:style w:type="paragraph" w:styleId="FootnoteText">
    <w:name w:val="footnote text"/>
    <w:basedOn w:val="Normal"/>
    <w:link w:val="FootnoteTextChar"/>
    <w:uiPriority w:val="99"/>
    <w:rsid w:val="006C77FE"/>
    <w:pPr>
      <w:tabs>
        <w:tab w:val="left" w:pos="227"/>
      </w:tabs>
      <w:spacing w:after="0"/>
      <w:ind w:left="227" w:hanging="227"/>
    </w:pPr>
    <w:rPr>
      <w:sz w:val="16"/>
    </w:rPr>
  </w:style>
  <w:style w:type="paragraph" w:styleId="ListBullet5">
    <w:name w:val="List Bullet 5"/>
    <w:basedOn w:val="Normal"/>
    <w:uiPriority w:val="17"/>
    <w:rsid w:val="006C77FE"/>
    <w:pPr>
      <w:numPr>
        <w:ilvl w:val="4"/>
        <w:numId w:val="15"/>
      </w:numPr>
      <w:contextualSpacing/>
    </w:pPr>
  </w:style>
  <w:style w:type="numbering" w:styleId="111111">
    <w:name w:val="Outline List 2"/>
    <w:basedOn w:val="NoList"/>
    <w:uiPriority w:val="99"/>
    <w:semiHidden/>
    <w:unhideWhenUsed/>
    <w:rsid w:val="006C77FE"/>
    <w:pPr>
      <w:numPr>
        <w:numId w:val="1"/>
      </w:numPr>
    </w:pPr>
  </w:style>
  <w:style w:type="numbering" w:styleId="1ai">
    <w:name w:val="Outline List 1"/>
    <w:basedOn w:val="NoList"/>
    <w:uiPriority w:val="99"/>
    <w:semiHidden/>
    <w:unhideWhenUsed/>
    <w:rsid w:val="006C77FE"/>
    <w:pPr>
      <w:numPr>
        <w:numId w:val="2"/>
      </w:numPr>
    </w:pPr>
  </w:style>
  <w:style w:type="paragraph" w:styleId="ListNumber">
    <w:name w:val="List Number"/>
    <w:basedOn w:val="Normal"/>
    <w:uiPriority w:val="99"/>
    <w:rsid w:val="006C77FE"/>
    <w:pPr>
      <w:ind w:left="284" w:hanging="284"/>
      <w:contextualSpacing/>
    </w:pPr>
  </w:style>
  <w:style w:type="paragraph" w:styleId="ListNumber2">
    <w:name w:val="List Number 2"/>
    <w:basedOn w:val="Normal"/>
    <w:uiPriority w:val="99"/>
    <w:rsid w:val="006C77FE"/>
    <w:pPr>
      <w:ind w:left="567" w:hanging="567"/>
      <w:contextualSpacing/>
    </w:pPr>
  </w:style>
  <w:style w:type="paragraph" w:styleId="ListNumber3">
    <w:name w:val="List Number 3"/>
    <w:basedOn w:val="Normal"/>
    <w:uiPriority w:val="99"/>
    <w:rsid w:val="006C77FE"/>
    <w:pPr>
      <w:ind w:left="851" w:hanging="851"/>
      <w:contextualSpacing/>
    </w:pPr>
  </w:style>
  <w:style w:type="paragraph" w:styleId="ListNumber4">
    <w:name w:val="List Number 4"/>
    <w:basedOn w:val="Normal"/>
    <w:uiPriority w:val="99"/>
    <w:rsid w:val="006C77FE"/>
    <w:pPr>
      <w:ind w:left="1134" w:hanging="1134"/>
      <w:contextualSpacing/>
    </w:pPr>
  </w:style>
  <w:style w:type="paragraph" w:styleId="ListNumber5">
    <w:name w:val="List Number 5"/>
    <w:basedOn w:val="Normal"/>
    <w:uiPriority w:val="99"/>
    <w:rsid w:val="006C77FE"/>
    <w:pPr>
      <w:ind w:left="1418" w:hanging="1418"/>
      <w:contextualSpacing/>
    </w:pPr>
  </w:style>
  <w:style w:type="character" w:customStyle="1" w:styleId="FootnoteTextChar">
    <w:name w:val="Footnote Text Char"/>
    <w:basedOn w:val="DefaultParagraphFont"/>
    <w:link w:val="FootnoteText"/>
    <w:uiPriority w:val="99"/>
    <w:rsid w:val="006C77FE"/>
    <w:rPr>
      <w:sz w:val="16"/>
    </w:rPr>
  </w:style>
  <w:style w:type="character" w:styleId="FootnoteReference">
    <w:name w:val="footnote reference"/>
    <w:basedOn w:val="DefaultParagraphFont"/>
    <w:uiPriority w:val="99"/>
    <w:semiHidden/>
    <w:rsid w:val="006C77FE"/>
    <w:rPr>
      <w:vertAlign w:val="superscript"/>
    </w:rPr>
  </w:style>
  <w:style w:type="paragraph" w:styleId="Caption">
    <w:name w:val="caption"/>
    <w:basedOn w:val="Normal"/>
    <w:next w:val="Normal"/>
    <w:uiPriority w:val="35"/>
    <w:qFormat/>
    <w:rsid w:val="006C77FE"/>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C77FE"/>
    <w:pPr>
      <w:spacing w:before="60"/>
    </w:pPr>
    <w:rPr>
      <w:i/>
    </w:rPr>
  </w:style>
  <w:style w:type="character" w:customStyle="1" w:styleId="StatementChar">
    <w:name w:val="Statement Char"/>
    <w:basedOn w:val="DefaultParagraphFont"/>
    <w:link w:val="Statement"/>
    <w:uiPriority w:val="23"/>
    <w:rsid w:val="006C77FE"/>
    <w:rPr>
      <w:i/>
    </w:rPr>
  </w:style>
  <w:style w:type="paragraph" w:styleId="IntenseQuote">
    <w:name w:val="Intense Quote"/>
    <w:basedOn w:val="Normal"/>
    <w:next w:val="Normal"/>
    <w:link w:val="IntenseQuoteChar"/>
    <w:uiPriority w:val="30"/>
    <w:semiHidden/>
    <w:rsid w:val="006C77FE"/>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C77FE"/>
    <w:rPr>
      <w:b/>
      <w:iCs/>
      <w:color w:val="075D5F" w:themeColor="accent1"/>
      <w:sz w:val="26"/>
    </w:rPr>
  </w:style>
  <w:style w:type="paragraph" w:styleId="Salutation">
    <w:name w:val="Salutation"/>
    <w:basedOn w:val="Normal"/>
    <w:next w:val="Normal"/>
    <w:link w:val="SalutationChar"/>
    <w:uiPriority w:val="34"/>
    <w:semiHidden/>
    <w:rsid w:val="006C77FE"/>
    <w:pPr>
      <w:spacing w:after="0"/>
    </w:pPr>
    <w:rPr>
      <w:b/>
    </w:rPr>
  </w:style>
  <w:style w:type="character" w:customStyle="1" w:styleId="SalutationChar">
    <w:name w:val="Salutation Char"/>
    <w:basedOn w:val="DefaultParagraphFont"/>
    <w:link w:val="Salutation"/>
    <w:uiPriority w:val="34"/>
    <w:semiHidden/>
    <w:rsid w:val="006C77FE"/>
    <w:rPr>
      <w:b/>
    </w:rPr>
  </w:style>
  <w:style w:type="paragraph" w:styleId="Signature">
    <w:name w:val="Signature"/>
    <w:basedOn w:val="Normal"/>
    <w:link w:val="SignatureChar"/>
    <w:uiPriority w:val="34"/>
    <w:semiHidden/>
    <w:rsid w:val="006C77FE"/>
    <w:pPr>
      <w:spacing w:before="720" w:after="0"/>
      <w:contextualSpacing/>
    </w:pPr>
  </w:style>
  <w:style w:type="character" w:customStyle="1" w:styleId="SignatureChar">
    <w:name w:val="Signature Char"/>
    <w:basedOn w:val="DefaultParagraphFont"/>
    <w:link w:val="Signature"/>
    <w:uiPriority w:val="34"/>
    <w:semiHidden/>
    <w:rsid w:val="006C77FE"/>
  </w:style>
  <w:style w:type="paragraph" w:styleId="Date">
    <w:name w:val="Date"/>
    <w:basedOn w:val="Normal"/>
    <w:next w:val="Normal"/>
    <w:link w:val="DateChar"/>
    <w:uiPriority w:val="34"/>
    <w:semiHidden/>
    <w:rsid w:val="006C77FE"/>
  </w:style>
  <w:style w:type="character" w:customStyle="1" w:styleId="DateChar">
    <w:name w:val="Date Char"/>
    <w:basedOn w:val="DefaultParagraphFont"/>
    <w:link w:val="Date"/>
    <w:uiPriority w:val="34"/>
    <w:semiHidden/>
    <w:rsid w:val="006C77FE"/>
  </w:style>
  <w:style w:type="paragraph" w:styleId="EnvelopeAddress">
    <w:name w:val="envelope address"/>
    <w:basedOn w:val="Normal"/>
    <w:uiPriority w:val="34"/>
    <w:semiHidden/>
    <w:rsid w:val="006C77FE"/>
    <w:pPr>
      <w:spacing w:before="600" w:after="600"/>
      <w:contextualSpacing/>
    </w:pPr>
    <w:rPr>
      <w:rFonts w:eastAsiaTheme="majorEastAsia" w:cstheme="majorBidi"/>
      <w:szCs w:val="24"/>
    </w:rPr>
  </w:style>
  <w:style w:type="paragraph" w:styleId="Title">
    <w:name w:val="Title"/>
    <w:basedOn w:val="Normal"/>
    <w:next w:val="Normal"/>
    <w:link w:val="TitleChar"/>
    <w:uiPriority w:val="10"/>
    <w:qFormat/>
    <w:rsid w:val="006C77FE"/>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C77FE"/>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6C77FE"/>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C77FE"/>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C77FE"/>
    <w:rPr>
      <w:rFonts w:eastAsiaTheme="minorEastAsia" w:cstheme="majorBidi"/>
      <w:b/>
      <w:color w:val="075D5F" w:themeColor="accent1"/>
      <w:sz w:val="22"/>
      <w:szCs w:val="22"/>
    </w:rPr>
  </w:style>
  <w:style w:type="table" w:styleId="TableGrid">
    <w:name w:val="Table Grid"/>
    <w:basedOn w:val="TableNormal"/>
    <w:uiPriority w:val="39"/>
    <w:rsid w:val="006C77FE"/>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C77FE"/>
    <w:rPr>
      <w:color w:val="212429" w:themeColor="text2"/>
      <w:bdr w:val="none" w:sz="0" w:space="0" w:color="auto"/>
      <w:shd w:val="clear" w:color="auto" w:fill="D3D3D3"/>
    </w:rPr>
  </w:style>
  <w:style w:type="table" w:styleId="ListTable1Light">
    <w:name w:val="List Table 1 Light"/>
    <w:basedOn w:val="TableNormal"/>
    <w:uiPriority w:val="46"/>
    <w:locked/>
    <w:rsid w:val="006C77F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C77FE"/>
    <w:pPr>
      <w:numPr>
        <w:numId w:val="4"/>
      </w:numPr>
    </w:pPr>
  </w:style>
  <w:style w:type="paragraph" w:styleId="Quote">
    <w:name w:val="Quote"/>
    <w:basedOn w:val="Normal"/>
    <w:next w:val="Normal"/>
    <w:link w:val="QuoteChar"/>
    <w:uiPriority w:val="29"/>
    <w:semiHidden/>
    <w:qFormat/>
    <w:rsid w:val="006C77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C77FE"/>
    <w:rPr>
      <w:i/>
      <w:iCs/>
      <w:color w:val="404040" w:themeColor="text1" w:themeTint="BF"/>
    </w:rPr>
  </w:style>
  <w:style w:type="paragraph" w:styleId="TOCHeading">
    <w:name w:val="TOC Heading"/>
    <w:basedOn w:val="Heading1"/>
    <w:next w:val="Normal"/>
    <w:uiPriority w:val="39"/>
    <w:rsid w:val="006C77FE"/>
    <w:pPr>
      <w:spacing w:after="0"/>
      <w:outlineLvl w:val="9"/>
    </w:pPr>
  </w:style>
  <w:style w:type="paragraph" w:styleId="TOC1">
    <w:name w:val="toc 1"/>
    <w:basedOn w:val="Normal"/>
    <w:next w:val="Normal"/>
    <w:autoRedefine/>
    <w:uiPriority w:val="39"/>
    <w:rsid w:val="006C77FE"/>
    <w:pPr>
      <w:tabs>
        <w:tab w:val="right" w:leader="underscore" w:pos="10773"/>
      </w:tabs>
      <w:spacing w:before="240" w:after="100"/>
    </w:pPr>
    <w:rPr>
      <w:b/>
    </w:rPr>
  </w:style>
  <w:style w:type="paragraph" w:styleId="TOC2">
    <w:name w:val="toc 2"/>
    <w:basedOn w:val="Normal"/>
    <w:next w:val="Normal"/>
    <w:autoRedefine/>
    <w:uiPriority w:val="39"/>
    <w:rsid w:val="006C77FE"/>
    <w:pPr>
      <w:tabs>
        <w:tab w:val="right" w:leader="underscore" w:pos="10773"/>
      </w:tabs>
      <w:spacing w:after="100"/>
    </w:pPr>
  </w:style>
  <w:style w:type="character" w:styleId="Hyperlink">
    <w:name w:val="Hyperlink"/>
    <w:basedOn w:val="DefaultParagraphFont"/>
    <w:uiPriority w:val="99"/>
    <w:unhideWhenUsed/>
    <w:rsid w:val="006C77FE"/>
    <w:rPr>
      <w:color w:val="36383D" w:themeColor="accent6"/>
      <w:u w:val="single"/>
    </w:rPr>
  </w:style>
  <w:style w:type="paragraph" w:customStyle="1" w:styleId="Heading1-Numbered">
    <w:name w:val="Heading 1 - Numbered"/>
    <w:basedOn w:val="Heading1"/>
    <w:next w:val="Normal"/>
    <w:uiPriority w:val="9"/>
    <w:qFormat/>
    <w:rsid w:val="006C77FE"/>
    <w:pPr>
      <w:numPr>
        <w:numId w:val="9"/>
      </w:numPr>
    </w:pPr>
  </w:style>
  <w:style w:type="paragraph" w:customStyle="1" w:styleId="Heading3-Numbered">
    <w:name w:val="Heading 3 - Numbered"/>
    <w:basedOn w:val="Heading3"/>
    <w:next w:val="Normal"/>
    <w:uiPriority w:val="9"/>
    <w:qFormat/>
    <w:rsid w:val="006C77FE"/>
    <w:pPr>
      <w:numPr>
        <w:ilvl w:val="2"/>
        <w:numId w:val="9"/>
      </w:numPr>
    </w:pPr>
  </w:style>
  <w:style w:type="paragraph" w:customStyle="1" w:styleId="Heading2-Numbered">
    <w:name w:val="Heading 2 - Numbered"/>
    <w:basedOn w:val="Heading2"/>
    <w:next w:val="Normal"/>
    <w:link w:val="Heading2-NumberedChar"/>
    <w:uiPriority w:val="9"/>
    <w:qFormat/>
    <w:rsid w:val="006C77FE"/>
    <w:pPr>
      <w:numPr>
        <w:ilvl w:val="1"/>
        <w:numId w:val="9"/>
      </w:numPr>
    </w:pPr>
  </w:style>
  <w:style w:type="character" w:customStyle="1" w:styleId="Heading2-NumberedChar">
    <w:name w:val="Heading 2 - Numbered Char"/>
    <w:basedOn w:val="Heading2Char"/>
    <w:link w:val="Heading2-Numbered"/>
    <w:uiPriority w:val="9"/>
    <w:rsid w:val="006C77FE"/>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C77FE"/>
    <w:pPr>
      <w:numPr>
        <w:ilvl w:val="3"/>
        <w:numId w:val="9"/>
      </w:numPr>
      <w:spacing w:before="60"/>
    </w:pPr>
    <w:rPr>
      <w:b w:val="0"/>
      <w:caps/>
      <w:sz w:val="18"/>
    </w:rPr>
  </w:style>
  <w:style w:type="paragraph" w:customStyle="1" w:styleId="Introduction">
    <w:name w:val="Introduction"/>
    <w:basedOn w:val="Normal"/>
    <w:next w:val="Normal"/>
    <w:uiPriority w:val="10"/>
    <w:semiHidden/>
    <w:qFormat/>
    <w:rsid w:val="006C77FE"/>
    <w:pPr>
      <w:keepLines/>
      <w:spacing w:before="240" w:after="240"/>
    </w:pPr>
    <w:rPr>
      <w:b/>
      <w:color w:val="212429" w:themeColor="text2"/>
    </w:rPr>
  </w:style>
  <w:style w:type="paragraph" w:styleId="Header">
    <w:name w:val="header"/>
    <w:basedOn w:val="Normal"/>
    <w:link w:val="HeaderChar"/>
    <w:uiPriority w:val="99"/>
    <w:rsid w:val="006C77FE"/>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99"/>
    <w:rsid w:val="006C77FE"/>
    <w:rPr>
      <w:color w:val="36383D" w:themeColor="accent6"/>
      <w:sz w:val="14"/>
    </w:rPr>
  </w:style>
  <w:style w:type="paragraph" w:styleId="Footer">
    <w:name w:val="footer"/>
    <w:basedOn w:val="Normal"/>
    <w:link w:val="FooterChar"/>
    <w:uiPriority w:val="99"/>
    <w:rsid w:val="006C77FE"/>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99"/>
    <w:rsid w:val="006C77FE"/>
    <w:rPr>
      <w:color w:val="36383D" w:themeColor="accent6"/>
      <w:sz w:val="14"/>
    </w:rPr>
  </w:style>
  <w:style w:type="paragraph" w:styleId="TableofFigures">
    <w:name w:val="table of figures"/>
    <w:basedOn w:val="Normal"/>
    <w:next w:val="Normal"/>
    <w:uiPriority w:val="99"/>
    <w:semiHidden/>
    <w:rsid w:val="006C77FE"/>
    <w:pPr>
      <w:tabs>
        <w:tab w:val="right" w:leader="underscore" w:pos="10773"/>
      </w:tabs>
      <w:spacing w:after="100"/>
    </w:pPr>
  </w:style>
  <w:style w:type="paragraph" w:styleId="ListContinue">
    <w:name w:val="List Continue"/>
    <w:basedOn w:val="Normal"/>
    <w:uiPriority w:val="17"/>
    <w:rsid w:val="006C77FE"/>
    <w:pPr>
      <w:numPr>
        <w:numId w:val="11"/>
      </w:numPr>
      <w:contextualSpacing/>
    </w:pPr>
  </w:style>
  <w:style w:type="paragraph" w:styleId="ListContinue2">
    <w:name w:val="List Continue 2"/>
    <w:basedOn w:val="Normal"/>
    <w:uiPriority w:val="17"/>
    <w:rsid w:val="006C77FE"/>
    <w:pPr>
      <w:numPr>
        <w:ilvl w:val="1"/>
        <w:numId w:val="11"/>
      </w:numPr>
      <w:contextualSpacing/>
    </w:pPr>
  </w:style>
  <w:style w:type="paragraph" w:styleId="ListContinue3">
    <w:name w:val="List Continue 3"/>
    <w:basedOn w:val="Normal"/>
    <w:uiPriority w:val="17"/>
    <w:rsid w:val="006C77FE"/>
    <w:pPr>
      <w:numPr>
        <w:ilvl w:val="2"/>
        <w:numId w:val="11"/>
      </w:numPr>
      <w:contextualSpacing/>
    </w:pPr>
  </w:style>
  <w:style w:type="paragraph" w:styleId="ListContinue4">
    <w:name w:val="List Continue 4"/>
    <w:basedOn w:val="Normal"/>
    <w:uiPriority w:val="17"/>
    <w:rsid w:val="006C77FE"/>
    <w:pPr>
      <w:numPr>
        <w:ilvl w:val="3"/>
        <w:numId w:val="11"/>
      </w:numPr>
      <w:contextualSpacing/>
    </w:pPr>
  </w:style>
  <w:style w:type="paragraph" w:styleId="ListContinue5">
    <w:name w:val="List Continue 5"/>
    <w:basedOn w:val="Normal"/>
    <w:uiPriority w:val="17"/>
    <w:rsid w:val="006C77FE"/>
    <w:pPr>
      <w:numPr>
        <w:ilvl w:val="4"/>
        <w:numId w:val="11"/>
      </w:numPr>
      <w:contextualSpacing/>
    </w:pPr>
  </w:style>
  <w:style w:type="paragraph" w:styleId="ListBullet3">
    <w:name w:val="List Bullet 3"/>
    <w:basedOn w:val="Normal"/>
    <w:uiPriority w:val="17"/>
    <w:rsid w:val="006C77FE"/>
    <w:pPr>
      <w:numPr>
        <w:ilvl w:val="2"/>
        <w:numId w:val="15"/>
      </w:numPr>
      <w:contextualSpacing/>
    </w:pPr>
  </w:style>
  <w:style w:type="paragraph" w:styleId="TOC3">
    <w:name w:val="toc 3"/>
    <w:basedOn w:val="Normal"/>
    <w:next w:val="Normal"/>
    <w:autoRedefine/>
    <w:uiPriority w:val="39"/>
    <w:rsid w:val="006C77FE"/>
    <w:pPr>
      <w:tabs>
        <w:tab w:val="right" w:leader="underscore" w:pos="10773"/>
      </w:tabs>
      <w:spacing w:after="100"/>
      <w:ind w:left="284"/>
    </w:pPr>
  </w:style>
  <w:style w:type="paragraph" w:styleId="TOC4">
    <w:name w:val="toc 4"/>
    <w:basedOn w:val="Normal"/>
    <w:next w:val="Normal"/>
    <w:autoRedefine/>
    <w:uiPriority w:val="39"/>
    <w:semiHidden/>
    <w:rsid w:val="006C77FE"/>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6C77FE"/>
    <w:pPr>
      <w:numPr>
        <w:numId w:val="5"/>
      </w:numPr>
    </w:pPr>
  </w:style>
  <w:style w:type="paragraph" w:styleId="List">
    <w:name w:val="List"/>
    <w:basedOn w:val="Normal"/>
    <w:uiPriority w:val="17"/>
    <w:rsid w:val="006C77FE"/>
    <w:pPr>
      <w:numPr>
        <w:numId w:val="10"/>
      </w:numPr>
      <w:contextualSpacing/>
    </w:pPr>
  </w:style>
  <w:style w:type="paragraph" w:styleId="List2">
    <w:name w:val="List 2"/>
    <w:basedOn w:val="Normal"/>
    <w:uiPriority w:val="17"/>
    <w:rsid w:val="006C77FE"/>
    <w:pPr>
      <w:numPr>
        <w:ilvl w:val="1"/>
        <w:numId w:val="10"/>
      </w:numPr>
      <w:contextualSpacing/>
    </w:pPr>
  </w:style>
  <w:style w:type="paragraph" w:styleId="List3">
    <w:name w:val="List 3"/>
    <w:basedOn w:val="Normal"/>
    <w:uiPriority w:val="17"/>
    <w:rsid w:val="006C77FE"/>
    <w:pPr>
      <w:numPr>
        <w:ilvl w:val="2"/>
        <w:numId w:val="10"/>
      </w:numPr>
      <w:contextualSpacing/>
    </w:pPr>
  </w:style>
  <w:style w:type="paragraph" w:styleId="List4">
    <w:name w:val="List 4"/>
    <w:basedOn w:val="Normal"/>
    <w:uiPriority w:val="17"/>
    <w:rsid w:val="006C77FE"/>
    <w:pPr>
      <w:numPr>
        <w:ilvl w:val="3"/>
        <w:numId w:val="10"/>
      </w:numPr>
      <w:contextualSpacing/>
    </w:pPr>
  </w:style>
  <w:style w:type="paragraph" w:styleId="List5">
    <w:name w:val="List 5"/>
    <w:basedOn w:val="Normal"/>
    <w:uiPriority w:val="17"/>
    <w:rsid w:val="006C77FE"/>
    <w:pPr>
      <w:numPr>
        <w:ilvl w:val="4"/>
        <w:numId w:val="10"/>
      </w:numPr>
      <w:contextualSpacing/>
    </w:pPr>
  </w:style>
  <w:style w:type="paragraph" w:customStyle="1" w:styleId="TableListContinue2">
    <w:name w:val="Table List Continue 2"/>
    <w:basedOn w:val="Normal"/>
    <w:uiPriority w:val="18"/>
    <w:rsid w:val="006C77FE"/>
    <w:pPr>
      <w:numPr>
        <w:ilvl w:val="1"/>
        <w:numId w:val="14"/>
      </w:numPr>
      <w:contextualSpacing/>
    </w:pPr>
  </w:style>
  <w:style w:type="paragraph" w:customStyle="1" w:styleId="TableListContinue">
    <w:name w:val="Table List Continue"/>
    <w:basedOn w:val="Normal"/>
    <w:uiPriority w:val="18"/>
    <w:rsid w:val="006C77FE"/>
    <w:pPr>
      <w:numPr>
        <w:numId w:val="14"/>
      </w:numPr>
      <w:contextualSpacing/>
    </w:pPr>
  </w:style>
  <w:style w:type="paragraph" w:customStyle="1" w:styleId="TableListContinue3">
    <w:name w:val="Table List Continue 3"/>
    <w:basedOn w:val="Normal"/>
    <w:uiPriority w:val="18"/>
    <w:rsid w:val="006C77FE"/>
    <w:pPr>
      <w:numPr>
        <w:ilvl w:val="2"/>
        <w:numId w:val="14"/>
      </w:numPr>
      <w:contextualSpacing/>
    </w:pPr>
  </w:style>
  <w:style w:type="paragraph" w:customStyle="1" w:styleId="TableListContinue4">
    <w:name w:val="Table List Continue 4"/>
    <w:basedOn w:val="Normal"/>
    <w:uiPriority w:val="18"/>
    <w:semiHidden/>
    <w:rsid w:val="006C77FE"/>
    <w:pPr>
      <w:numPr>
        <w:ilvl w:val="3"/>
        <w:numId w:val="14"/>
      </w:numPr>
      <w:contextualSpacing/>
    </w:pPr>
  </w:style>
  <w:style w:type="paragraph" w:customStyle="1" w:styleId="TableListContinue5">
    <w:name w:val="Table List Continue 5"/>
    <w:basedOn w:val="Normal"/>
    <w:uiPriority w:val="18"/>
    <w:semiHidden/>
    <w:rsid w:val="006C77FE"/>
    <w:pPr>
      <w:numPr>
        <w:ilvl w:val="4"/>
        <w:numId w:val="14"/>
      </w:numPr>
      <w:contextualSpacing/>
    </w:pPr>
  </w:style>
  <w:style w:type="numbering" w:customStyle="1" w:styleId="TableCellLists">
    <w:name w:val="Table Cell Lists"/>
    <w:basedOn w:val="NoList"/>
    <w:uiPriority w:val="99"/>
    <w:rsid w:val="006C77FE"/>
    <w:pPr>
      <w:numPr>
        <w:numId w:val="6"/>
      </w:numPr>
    </w:pPr>
  </w:style>
  <w:style w:type="paragraph" w:customStyle="1" w:styleId="TableCellList">
    <w:name w:val="Table Cell List"/>
    <w:basedOn w:val="Normal"/>
    <w:uiPriority w:val="17"/>
    <w:rsid w:val="006C77FE"/>
    <w:pPr>
      <w:numPr>
        <w:numId w:val="13"/>
      </w:numPr>
      <w:contextualSpacing/>
    </w:pPr>
  </w:style>
  <w:style w:type="paragraph" w:customStyle="1" w:styleId="TableCellList2">
    <w:name w:val="Table Cell List 2"/>
    <w:basedOn w:val="Normal"/>
    <w:uiPriority w:val="17"/>
    <w:rsid w:val="006C77FE"/>
    <w:pPr>
      <w:numPr>
        <w:ilvl w:val="1"/>
        <w:numId w:val="13"/>
      </w:numPr>
      <w:contextualSpacing/>
    </w:pPr>
  </w:style>
  <w:style w:type="paragraph" w:customStyle="1" w:styleId="TableCellList3">
    <w:name w:val="Table Cell List 3"/>
    <w:basedOn w:val="Normal"/>
    <w:uiPriority w:val="17"/>
    <w:rsid w:val="006C77FE"/>
    <w:pPr>
      <w:numPr>
        <w:ilvl w:val="2"/>
        <w:numId w:val="13"/>
      </w:numPr>
      <w:contextualSpacing/>
    </w:pPr>
  </w:style>
  <w:style w:type="paragraph" w:customStyle="1" w:styleId="TableCellList4">
    <w:name w:val="Table Cell List 4"/>
    <w:basedOn w:val="Normal"/>
    <w:uiPriority w:val="17"/>
    <w:semiHidden/>
    <w:rsid w:val="006C77FE"/>
    <w:pPr>
      <w:numPr>
        <w:ilvl w:val="3"/>
        <w:numId w:val="13"/>
      </w:numPr>
      <w:contextualSpacing/>
    </w:pPr>
  </w:style>
  <w:style w:type="paragraph" w:customStyle="1" w:styleId="TableCellList5">
    <w:name w:val="Table Cell List 5"/>
    <w:basedOn w:val="Normal"/>
    <w:uiPriority w:val="17"/>
    <w:semiHidden/>
    <w:rsid w:val="006C77FE"/>
    <w:pPr>
      <w:numPr>
        <w:ilvl w:val="4"/>
        <w:numId w:val="13"/>
      </w:numPr>
      <w:contextualSpacing/>
    </w:pPr>
  </w:style>
  <w:style w:type="numbering" w:customStyle="1" w:styleId="TableListContinueSet">
    <w:name w:val="Table List Continue Set"/>
    <w:basedOn w:val="NoList"/>
    <w:uiPriority w:val="99"/>
    <w:rsid w:val="006C77FE"/>
    <w:pPr>
      <w:numPr>
        <w:numId w:val="7"/>
      </w:numPr>
    </w:pPr>
  </w:style>
  <w:style w:type="paragraph" w:customStyle="1" w:styleId="ListParagraph2">
    <w:name w:val="List Paragraph 2"/>
    <w:basedOn w:val="Normal"/>
    <w:uiPriority w:val="34"/>
    <w:rsid w:val="006C77FE"/>
    <w:pPr>
      <w:ind w:left="567"/>
      <w:contextualSpacing/>
    </w:pPr>
  </w:style>
  <w:style w:type="paragraph" w:customStyle="1" w:styleId="ListParagraph3">
    <w:name w:val="List Paragraph 3"/>
    <w:basedOn w:val="Normal"/>
    <w:uiPriority w:val="34"/>
    <w:rsid w:val="006C77FE"/>
    <w:pPr>
      <w:ind w:left="851"/>
      <w:contextualSpacing/>
    </w:pPr>
  </w:style>
  <w:style w:type="paragraph" w:customStyle="1" w:styleId="ListParagraph4">
    <w:name w:val="List Paragraph 4"/>
    <w:basedOn w:val="Normal"/>
    <w:uiPriority w:val="34"/>
    <w:rsid w:val="006C77FE"/>
    <w:pPr>
      <w:ind w:left="1134"/>
      <w:contextualSpacing/>
    </w:pPr>
  </w:style>
  <w:style w:type="paragraph" w:customStyle="1" w:styleId="ListParagraph5">
    <w:name w:val="List Paragraph 5"/>
    <w:basedOn w:val="Normal"/>
    <w:uiPriority w:val="34"/>
    <w:rsid w:val="006C77FE"/>
    <w:pPr>
      <w:ind w:left="1418"/>
      <w:contextualSpacing/>
    </w:pPr>
  </w:style>
  <w:style w:type="character" w:customStyle="1" w:styleId="Bold">
    <w:name w:val="Bold"/>
    <w:basedOn w:val="DefaultParagraphFont"/>
    <w:uiPriority w:val="23"/>
    <w:qFormat/>
    <w:rsid w:val="006C77FE"/>
    <w:rPr>
      <w:b/>
      <w:color w:val="auto"/>
    </w:rPr>
  </w:style>
  <w:style w:type="paragraph" w:customStyle="1" w:styleId="GreyText">
    <w:name w:val="Grey Text"/>
    <w:basedOn w:val="Normal"/>
    <w:link w:val="GreyTextChar"/>
    <w:uiPriority w:val="23"/>
    <w:qFormat/>
    <w:rsid w:val="006C77FE"/>
    <w:rPr>
      <w:color w:val="36383D" w:themeColor="accent6"/>
    </w:rPr>
  </w:style>
  <w:style w:type="character" w:customStyle="1" w:styleId="GreyTextChar">
    <w:name w:val="Grey Text Char"/>
    <w:basedOn w:val="DefaultParagraphFont"/>
    <w:link w:val="GreyText"/>
    <w:uiPriority w:val="23"/>
    <w:rsid w:val="006C77FE"/>
    <w:rPr>
      <w:color w:val="36383D" w:themeColor="accent6"/>
    </w:rPr>
  </w:style>
  <w:style w:type="paragraph" w:customStyle="1" w:styleId="Instructional">
    <w:name w:val="Instructional"/>
    <w:basedOn w:val="Normal"/>
    <w:link w:val="InstructionalChar"/>
    <w:uiPriority w:val="23"/>
    <w:qFormat/>
    <w:rsid w:val="006C77FE"/>
    <w:pPr>
      <w:spacing w:after="0"/>
    </w:pPr>
    <w:rPr>
      <w:i/>
      <w:color w:val="0000FF"/>
    </w:rPr>
  </w:style>
  <w:style w:type="character" w:customStyle="1" w:styleId="InstructionalChar">
    <w:name w:val="Instructional Char"/>
    <w:basedOn w:val="DefaultParagraphFont"/>
    <w:link w:val="Instructional"/>
    <w:uiPriority w:val="23"/>
    <w:rsid w:val="006C77FE"/>
    <w:rPr>
      <w:i/>
      <w:color w:val="0000FF"/>
    </w:rPr>
  </w:style>
  <w:style w:type="paragraph" w:styleId="TOC5">
    <w:name w:val="toc 5"/>
    <w:basedOn w:val="Normal"/>
    <w:next w:val="Normal"/>
    <w:autoRedefine/>
    <w:uiPriority w:val="39"/>
    <w:semiHidden/>
    <w:rsid w:val="006C77FE"/>
    <w:pPr>
      <w:tabs>
        <w:tab w:val="right" w:leader="underscore" w:pos="10773"/>
      </w:tabs>
      <w:spacing w:after="100"/>
      <w:ind w:left="720" w:hanging="720"/>
    </w:pPr>
  </w:style>
  <w:style w:type="paragraph" w:styleId="TOC6">
    <w:name w:val="toc 6"/>
    <w:basedOn w:val="Normal"/>
    <w:next w:val="Normal"/>
    <w:autoRedefine/>
    <w:uiPriority w:val="39"/>
    <w:semiHidden/>
    <w:rsid w:val="006C77FE"/>
    <w:pPr>
      <w:tabs>
        <w:tab w:val="right" w:leader="underscore" w:pos="10773"/>
      </w:tabs>
      <w:spacing w:after="100"/>
      <w:ind w:left="1203" w:hanging="919"/>
    </w:pPr>
  </w:style>
  <w:style w:type="paragraph" w:customStyle="1" w:styleId="Pull-outQuote">
    <w:name w:val="Pull-out Quote"/>
    <w:basedOn w:val="Normal"/>
    <w:uiPriority w:val="30"/>
    <w:qFormat/>
    <w:rsid w:val="006C77FE"/>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C77FE"/>
    <w:rPr>
      <w:b/>
    </w:rPr>
  </w:style>
  <w:style w:type="paragraph" w:customStyle="1" w:styleId="FooterPageNumber">
    <w:name w:val="Footer Page Number"/>
    <w:basedOn w:val="Footer"/>
    <w:uiPriority w:val="99"/>
    <w:rsid w:val="006C77FE"/>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C77FE"/>
    <w:rPr>
      <w:rFonts w:ascii="VIC Light" w:hAnsi="VIC Light"/>
    </w:rPr>
  </w:style>
  <w:style w:type="paragraph" w:customStyle="1" w:styleId="DarkReportTitle">
    <w:name w:val="Dark Report Title"/>
    <w:basedOn w:val="Normal"/>
    <w:next w:val="DarkReportSubtitle"/>
    <w:uiPriority w:val="36"/>
    <w:semiHidden/>
    <w:unhideWhenUsed/>
    <w:rsid w:val="006C77FE"/>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6C77FE"/>
    <w:rPr>
      <w:color w:val="36383D" w:themeColor="accent6"/>
    </w:rPr>
  </w:style>
  <w:style w:type="paragraph" w:customStyle="1" w:styleId="LightReportSubtitle">
    <w:name w:val="Light Report Subtitle"/>
    <w:basedOn w:val="DarkReportSubtitle"/>
    <w:next w:val="LightVersion"/>
    <w:uiPriority w:val="36"/>
    <w:unhideWhenUsed/>
    <w:rsid w:val="006C77FE"/>
    <w:rPr>
      <w:color w:val="36383D" w:themeColor="accent6"/>
    </w:rPr>
  </w:style>
  <w:style w:type="paragraph" w:customStyle="1" w:styleId="DarkTextualReportSubtitle">
    <w:name w:val="Dark Textual Report Subtitle"/>
    <w:basedOn w:val="DarkReportSubtitle"/>
    <w:uiPriority w:val="36"/>
    <w:semiHidden/>
    <w:unhideWhenUsed/>
    <w:rsid w:val="006C77FE"/>
    <w:pPr>
      <w:framePr w:wrap="around" w:vAnchor="page" w:hAnchor="page" w:x="557" w:y="12690"/>
    </w:pPr>
  </w:style>
  <w:style w:type="paragraph" w:styleId="NormalWeb">
    <w:name w:val="Normal (Web)"/>
    <w:basedOn w:val="Normal"/>
    <w:uiPriority w:val="99"/>
    <w:rsid w:val="006C77FE"/>
    <w:rPr>
      <w:rFonts w:cs="Times New Roman"/>
      <w:szCs w:val="24"/>
    </w:rPr>
  </w:style>
  <w:style w:type="table" w:customStyle="1" w:styleId="TablePlain">
    <w:name w:val="Table Plain"/>
    <w:basedOn w:val="TableNormal"/>
    <w:uiPriority w:val="99"/>
    <w:rsid w:val="006C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C77F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C77FE"/>
    <w:pPr>
      <w:numPr>
        <w:numId w:val="8"/>
      </w:numPr>
    </w:pPr>
  </w:style>
  <w:style w:type="paragraph" w:styleId="BalloonText">
    <w:name w:val="Balloon Text"/>
    <w:basedOn w:val="Normal"/>
    <w:link w:val="BalloonTextChar"/>
    <w:uiPriority w:val="99"/>
    <w:semiHidden/>
    <w:locked/>
    <w:rsid w:val="006C77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7FE"/>
    <w:rPr>
      <w:rFonts w:ascii="Segoe UI" w:hAnsi="Segoe UI" w:cs="Segoe UI"/>
      <w:sz w:val="18"/>
      <w:szCs w:val="18"/>
    </w:rPr>
  </w:style>
  <w:style w:type="paragraph" w:styleId="Bibliography">
    <w:name w:val="Bibliography"/>
    <w:basedOn w:val="Normal"/>
    <w:next w:val="Normal"/>
    <w:uiPriority w:val="37"/>
    <w:semiHidden/>
    <w:locked/>
    <w:rsid w:val="006C77FE"/>
  </w:style>
  <w:style w:type="paragraph" w:styleId="BlockText">
    <w:name w:val="Block Text"/>
    <w:basedOn w:val="Normal"/>
    <w:uiPriority w:val="99"/>
    <w:semiHidden/>
    <w:locked/>
    <w:rsid w:val="006C77FE"/>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aliases w:val="Bullet"/>
    <w:basedOn w:val="Normal"/>
    <w:link w:val="BodyTextChar"/>
    <w:autoRedefine/>
    <w:uiPriority w:val="1"/>
    <w:qFormat/>
    <w:rsid w:val="00C967EC"/>
    <w:pPr>
      <w:numPr>
        <w:numId w:val="26"/>
      </w:numPr>
      <w:ind w:left="357" w:hanging="357"/>
    </w:pPr>
  </w:style>
  <w:style w:type="character" w:customStyle="1" w:styleId="BodyTextChar">
    <w:name w:val="Body Text Char"/>
    <w:aliases w:val="Bullet Char"/>
    <w:basedOn w:val="DefaultParagraphFont"/>
    <w:link w:val="BodyText"/>
    <w:uiPriority w:val="1"/>
    <w:rsid w:val="00C967EC"/>
  </w:style>
  <w:style w:type="paragraph" w:styleId="BodyText2">
    <w:name w:val="Body Text 2"/>
    <w:basedOn w:val="Normal"/>
    <w:link w:val="BodyText2Char"/>
    <w:uiPriority w:val="99"/>
    <w:semiHidden/>
    <w:rsid w:val="006C77FE"/>
    <w:pPr>
      <w:spacing w:line="480" w:lineRule="auto"/>
    </w:pPr>
  </w:style>
  <w:style w:type="character" w:customStyle="1" w:styleId="BodyText2Char">
    <w:name w:val="Body Text 2 Char"/>
    <w:basedOn w:val="DefaultParagraphFont"/>
    <w:link w:val="BodyText2"/>
    <w:uiPriority w:val="99"/>
    <w:semiHidden/>
    <w:rsid w:val="006C77FE"/>
  </w:style>
  <w:style w:type="paragraph" w:styleId="BodyText3">
    <w:name w:val="Body Text 3"/>
    <w:basedOn w:val="Normal"/>
    <w:link w:val="BodyText3Char"/>
    <w:uiPriority w:val="99"/>
    <w:semiHidden/>
    <w:locked/>
    <w:rsid w:val="006C77FE"/>
    <w:rPr>
      <w:sz w:val="16"/>
      <w:szCs w:val="16"/>
    </w:rPr>
  </w:style>
  <w:style w:type="character" w:customStyle="1" w:styleId="BodyText3Char">
    <w:name w:val="Body Text 3 Char"/>
    <w:basedOn w:val="DefaultParagraphFont"/>
    <w:link w:val="BodyText3"/>
    <w:uiPriority w:val="99"/>
    <w:semiHidden/>
    <w:rsid w:val="006C77FE"/>
    <w:rPr>
      <w:sz w:val="16"/>
      <w:szCs w:val="16"/>
    </w:rPr>
  </w:style>
  <w:style w:type="paragraph" w:styleId="BodyTextFirstIndent">
    <w:name w:val="Body Text First Indent"/>
    <w:basedOn w:val="BodyText"/>
    <w:link w:val="BodyTextFirstIndentChar"/>
    <w:uiPriority w:val="99"/>
    <w:semiHidden/>
    <w:rsid w:val="006C77FE"/>
    <w:pPr>
      <w:ind w:firstLine="360"/>
    </w:pPr>
  </w:style>
  <w:style w:type="character" w:customStyle="1" w:styleId="BodyTextFirstIndentChar">
    <w:name w:val="Body Text First Indent Char"/>
    <w:basedOn w:val="BodyTextChar"/>
    <w:link w:val="BodyTextFirstIndent"/>
    <w:uiPriority w:val="99"/>
    <w:semiHidden/>
    <w:rsid w:val="006C77FE"/>
  </w:style>
  <w:style w:type="paragraph" w:styleId="BodyTextIndent">
    <w:name w:val="Body Text Indent"/>
    <w:basedOn w:val="Normal"/>
    <w:link w:val="BodyTextIndentChar"/>
    <w:uiPriority w:val="99"/>
    <w:semiHidden/>
    <w:rsid w:val="006C77FE"/>
    <w:pPr>
      <w:ind w:left="283"/>
    </w:pPr>
  </w:style>
  <w:style w:type="character" w:customStyle="1" w:styleId="BodyTextIndentChar">
    <w:name w:val="Body Text Indent Char"/>
    <w:basedOn w:val="DefaultParagraphFont"/>
    <w:link w:val="BodyTextIndent"/>
    <w:uiPriority w:val="99"/>
    <w:semiHidden/>
    <w:rsid w:val="006C77FE"/>
  </w:style>
  <w:style w:type="paragraph" w:styleId="BodyTextFirstIndent2">
    <w:name w:val="Body Text First Indent 2"/>
    <w:basedOn w:val="BodyTextIndent"/>
    <w:link w:val="BodyTextFirstIndent2Char"/>
    <w:uiPriority w:val="99"/>
    <w:semiHidden/>
    <w:rsid w:val="006C77FE"/>
    <w:pPr>
      <w:ind w:left="360" w:firstLine="360"/>
    </w:pPr>
  </w:style>
  <w:style w:type="character" w:customStyle="1" w:styleId="BodyTextFirstIndent2Char">
    <w:name w:val="Body Text First Indent 2 Char"/>
    <w:basedOn w:val="BodyTextIndentChar"/>
    <w:link w:val="BodyTextFirstIndent2"/>
    <w:uiPriority w:val="99"/>
    <w:semiHidden/>
    <w:rsid w:val="006C77FE"/>
  </w:style>
  <w:style w:type="paragraph" w:styleId="BodyTextIndent2">
    <w:name w:val="Body Text Indent 2"/>
    <w:basedOn w:val="Normal"/>
    <w:link w:val="BodyTextIndent2Char"/>
    <w:uiPriority w:val="99"/>
    <w:semiHidden/>
    <w:rsid w:val="006C77FE"/>
    <w:pPr>
      <w:spacing w:line="480" w:lineRule="auto"/>
      <w:ind w:left="283"/>
    </w:pPr>
  </w:style>
  <w:style w:type="character" w:customStyle="1" w:styleId="BodyTextIndent2Char">
    <w:name w:val="Body Text Indent 2 Char"/>
    <w:basedOn w:val="DefaultParagraphFont"/>
    <w:link w:val="BodyTextIndent2"/>
    <w:uiPriority w:val="99"/>
    <w:semiHidden/>
    <w:rsid w:val="006C77FE"/>
  </w:style>
  <w:style w:type="paragraph" w:styleId="BodyTextIndent3">
    <w:name w:val="Body Text Indent 3"/>
    <w:basedOn w:val="Normal"/>
    <w:link w:val="BodyTextIndent3Char"/>
    <w:uiPriority w:val="99"/>
    <w:semiHidden/>
    <w:rsid w:val="006C77FE"/>
    <w:pPr>
      <w:ind w:left="283"/>
    </w:pPr>
    <w:rPr>
      <w:sz w:val="16"/>
      <w:szCs w:val="16"/>
    </w:rPr>
  </w:style>
  <w:style w:type="character" w:customStyle="1" w:styleId="BodyTextIndent3Char">
    <w:name w:val="Body Text Indent 3 Char"/>
    <w:basedOn w:val="DefaultParagraphFont"/>
    <w:link w:val="BodyTextIndent3"/>
    <w:uiPriority w:val="99"/>
    <w:semiHidden/>
    <w:rsid w:val="006C77FE"/>
    <w:rPr>
      <w:sz w:val="16"/>
      <w:szCs w:val="16"/>
    </w:rPr>
  </w:style>
  <w:style w:type="character" w:styleId="BookTitle">
    <w:name w:val="Book Title"/>
    <w:basedOn w:val="DefaultParagraphFont"/>
    <w:uiPriority w:val="33"/>
    <w:semiHidden/>
    <w:qFormat/>
    <w:locked/>
    <w:rsid w:val="006C77FE"/>
    <w:rPr>
      <w:b/>
      <w:bCs/>
      <w:i/>
      <w:iCs/>
      <w:spacing w:val="5"/>
    </w:rPr>
  </w:style>
  <w:style w:type="paragraph" w:styleId="Closing">
    <w:name w:val="Closing"/>
    <w:basedOn w:val="Normal"/>
    <w:link w:val="ClosingChar"/>
    <w:uiPriority w:val="99"/>
    <w:semiHidden/>
    <w:locked/>
    <w:rsid w:val="006C77FE"/>
    <w:pPr>
      <w:spacing w:before="0" w:after="0"/>
      <w:ind w:left="4252"/>
    </w:pPr>
  </w:style>
  <w:style w:type="character" w:customStyle="1" w:styleId="ClosingChar">
    <w:name w:val="Closing Char"/>
    <w:basedOn w:val="DefaultParagraphFont"/>
    <w:link w:val="Closing"/>
    <w:uiPriority w:val="99"/>
    <w:semiHidden/>
    <w:rsid w:val="006C77FE"/>
  </w:style>
  <w:style w:type="character" w:styleId="CommentReference">
    <w:name w:val="annotation reference"/>
    <w:basedOn w:val="DefaultParagraphFont"/>
    <w:uiPriority w:val="99"/>
    <w:semiHidden/>
    <w:locked/>
    <w:rsid w:val="006C77FE"/>
    <w:rPr>
      <w:sz w:val="16"/>
      <w:szCs w:val="16"/>
    </w:rPr>
  </w:style>
  <w:style w:type="paragraph" w:styleId="CommentText">
    <w:name w:val="annotation text"/>
    <w:basedOn w:val="Normal"/>
    <w:link w:val="CommentTextChar"/>
    <w:uiPriority w:val="99"/>
    <w:locked/>
    <w:rsid w:val="006C77FE"/>
  </w:style>
  <w:style w:type="character" w:customStyle="1" w:styleId="CommentTextChar">
    <w:name w:val="Comment Text Char"/>
    <w:basedOn w:val="DefaultParagraphFont"/>
    <w:link w:val="CommentText"/>
    <w:uiPriority w:val="99"/>
    <w:rsid w:val="006C77FE"/>
  </w:style>
  <w:style w:type="paragraph" w:styleId="CommentSubject">
    <w:name w:val="annotation subject"/>
    <w:basedOn w:val="CommentText"/>
    <w:next w:val="CommentText"/>
    <w:link w:val="CommentSubjectChar"/>
    <w:uiPriority w:val="99"/>
    <w:semiHidden/>
    <w:locked/>
    <w:rsid w:val="006C77FE"/>
    <w:rPr>
      <w:b/>
      <w:bCs/>
    </w:rPr>
  </w:style>
  <w:style w:type="character" w:customStyle="1" w:styleId="CommentSubjectChar">
    <w:name w:val="Comment Subject Char"/>
    <w:basedOn w:val="CommentTextChar"/>
    <w:link w:val="CommentSubject"/>
    <w:uiPriority w:val="99"/>
    <w:semiHidden/>
    <w:rsid w:val="006C77FE"/>
    <w:rPr>
      <w:b/>
      <w:bCs/>
    </w:rPr>
  </w:style>
  <w:style w:type="paragraph" w:styleId="DocumentMap">
    <w:name w:val="Document Map"/>
    <w:basedOn w:val="Normal"/>
    <w:link w:val="DocumentMapChar"/>
    <w:uiPriority w:val="99"/>
    <w:semiHidden/>
    <w:locked/>
    <w:rsid w:val="006C77FE"/>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C77FE"/>
    <w:rPr>
      <w:rFonts w:ascii="Segoe UI" w:hAnsi="Segoe UI" w:cs="Segoe UI"/>
      <w:sz w:val="16"/>
      <w:szCs w:val="16"/>
    </w:rPr>
  </w:style>
  <w:style w:type="paragraph" w:styleId="E-mailSignature">
    <w:name w:val="E-mail Signature"/>
    <w:basedOn w:val="Normal"/>
    <w:link w:val="E-mailSignatureChar"/>
    <w:uiPriority w:val="99"/>
    <w:semiHidden/>
    <w:locked/>
    <w:rsid w:val="006C77FE"/>
    <w:pPr>
      <w:spacing w:before="0" w:after="0"/>
    </w:pPr>
  </w:style>
  <w:style w:type="character" w:customStyle="1" w:styleId="E-mailSignatureChar">
    <w:name w:val="E-mail Signature Char"/>
    <w:basedOn w:val="DefaultParagraphFont"/>
    <w:link w:val="E-mailSignature"/>
    <w:uiPriority w:val="99"/>
    <w:semiHidden/>
    <w:rsid w:val="006C77FE"/>
  </w:style>
  <w:style w:type="character" w:styleId="Emphasis">
    <w:name w:val="Emphasis"/>
    <w:basedOn w:val="DefaultParagraphFont"/>
    <w:uiPriority w:val="20"/>
    <w:semiHidden/>
    <w:qFormat/>
    <w:locked/>
    <w:rsid w:val="006C77FE"/>
    <w:rPr>
      <w:i/>
      <w:iCs/>
    </w:rPr>
  </w:style>
  <w:style w:type="character" w:styleId="EndnoteReference">
    <w:name w:val="endnote reference"/>
    <w:basedOn w:val="DefaultParagraphFont"/>
    <w:uiPriority w:val="99"/>
    <w:semiHidden/>
    <w:locked/>
    <w:rsid w:val="006C77FE"/>
    <w:rPr>
      <w:vertAlign w:val="superscript"/>
    </w:rPr>
  </w:style>
  <w:style w:type="paragraph" w:styleId="EndnoteText">
    <w:name w:val="endnote text"/>
    <w:basedOn w:val="Normal"/>
    <w:link w:val="EndnoteTextChar"/>
    <w:uiPriority w:val="99"/>
    <w:semiHidden/>
    <w:locked/>
    <w:rsid w:val="006C77FE"/>
    <w:pPr>
      <w:spacing w:before="0" w:after="0"/>
    </w:pPr>
  </w:style>
  <w:style w:type="character" w:customStyle="1" w:styleId="EndnoteTextChar">
    <w:name w:val="Endnote Text Char"/>
    <w:basedOn w:val="DefaultParagraphFont"/>
    <w:link w:val="EndnoteText"/>
    <w:uiPriority w:val="99"/>
    <w:semiHidden/>
    <w:rsid w:val="006C77FE"/>
  </w:style>
  <w:style w:type="paragraph" w:styleId="EnvelopeReturn">
    <w:name w:val="envelope return"/>
    <w:basedOn w:val="Normal"/>
    <w:uiPriority w:val="99"/>
    <w:semiHidden/>
    <w:rsid w:val="006C77FE"/>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C77FE"/>
    <w:rPr>
      <w:color w:val="2B579A"/>
      <w:shd w:val="clear" w:color="auto" w:fill="E1DFDD"/>
    </w:rPr>
  </w:style>
  <w:style w:type="character" w:styleId="HTMLAcronym">
    <w:name w:val="HTML Acronym"/>
    <w:basedOn w:val="DefaultParagraphFont"/>
    <w:uiPriority w:val="99"/>
    <w:semiHidden/>
    <w:locked/>
    <w:rsid w:val="006C77FE"/>
  </w:style>
  <w:style w:type="paragraph" w:styleId="HTMLAddress">
    <w:name w:val="HTML Address"/>
    <w:basedOn w:val="Normal"/>
    <w:link w:val="HTMLAddressChar"/>
    <w:uiPriority w:val="99"/>
    <w:semiHidden/>
    <w:locked/>
    <w:rsid w:val="006C77FE"/>
    <w:pPr>
      <w:spacing w:before="0" w:after="0"/>
    </w:pPr>
    <w:rPr>
      <w:i/>
      <w:iCs/>
    </w:rPr>
  </w:style>
  <w:style w:type="character" w:customStyle="1" w:styleId="HTMLAddressChar">
    <w:name w:val="HTML Address Char"/>
    <w:basedOn w:val="DefaultParagraphFont"/>
    <w:link w:val="HTMLAddress"/>
    <w:uiPriority w:val="99"/>
    <w:semiHidden/>
    <w:rsid w:val="006C77FE"/>
    <w:rPr>
      <w:i/>
      <w:iCs/>
    </w:rPr>
  </w:style>
  <w:style w:type="character" w:styleId="HTMLCite">
    <w:name w:val="HTML Cite"/>
    <w:basedOn w:val="DefaultParagraphFont"/>
    <w:uiPriority w:val="99"/>
    <w:semiHidden/>
    <w:locked/>
    <w:rsid w:val="006C77FE"/>
    <w:rPr>
      <w:i/>
      <w:iCs/>
    </w:rPr>
  </w:style>
  <w:style w:type="character" w:styleId="HTMLCode">
    <w:name w:val="HTML Code"/>
    <w:basedOn w:val="DefaultParagraphFont"/>
    <w:uiPriority w:val="99"/>
    <w:semiHidden/>
    <w:locked/>
    <w:rsid w:val="006C77FE"/>
    <w:rPr>
      <w:rFonts w:ascii="Consolas" w:hAnsi="Consolas"/>
      <w:sz w:val="20"/>
      <w:szCs w:val="20"/>
    </w:rPr>
  </w:style>
  <w:style w:type="character" w:styleId="HTMLDefinition">
    <w:name w:val="HTML Definition"/>
    <w:basedOn w:val="DefaultParagraphFont"/>
    <w:uiPriority w:val="99"/>
    <w:semiHidden/>
    <w:locked/>
    <w:rsid w:val="006C77FE"/>
    <w:rPr>
      <w:i/>
      <w:iCs/>
    </w:rPr>
  </w:style>
  <w:style w:type="character" w:styleId="HTMLKeyboard">
    <w:name w:val="HTML Keyboard"/>
    <w:basedOn w:val="DefaultParagraphFont"/>
    <w:uiPriority w:val="99"/>
    <w:semiHidden/>
    <w:locked/>
    <w:rsid w:val="006C77FE"/>
    <w:rPr>
      <w:rFonts w:ascii="Consolas" w:hAnsi="Consolas"/>
      <w:sz w:val="20"/>
      <w:szCs w:val="20"/>
    </w:rPr>
  </w:style>
  <w:style w:type="paragraph" w:styleId="HTMLPreformatted">
    <w:name w:val="HTML Preformatted"/>
    <w:basedOn w:val="Normal"/>
    <w:link w:val="HTMLPreformattedChar"/>
    <w:uiPriority w:val="99"/>
    <w:semiHidden/>
    <w:locked/>
    <w:rsid w:val="006C77FE"/>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C77FE"/>
    <w:rPr>
      <w:rFonts w:ascii="Consolas" w:hAnsi="Consolas"/>
    </w:rPr>
  </w:style>
  <w:style w:type="character" w:styleId="HTMLSample">
    <w:name w:val="HTML Sample"/>
    <w:basedOn w:val="DefaultParagraphFont"/>
    <w:uiPriority w:val="99"/>
    <w:semiHidden/>
    <w:locked/>
    <w:rsid w:val="006C77FE"/>
    <w:rPr>
      <w:rFonts w:ascii="Consolas" w:hAnsi="Consolas"/>
      <w:sz w:val="24"/>
      <w:szCs w:val="24"/>
    </w:rPr>
  </w:style>
  <w:style w:type="character" w:styleId="HTMLTypewriter">
    <w:name w:val="HTML Typewriter"/>
    <w:basedOn w:val="DefaultParagraphFont"/>
    <w:uiPriority w:val="99"/>
    <w:semiHidden/>
    <w:locked/>
    <w:rsid w:val="006C77FE"/>
    <w:rPr>
      <w:rFonts w:ascii="Consolas" w:hAnsi="Consolas"/>
      <w:sz w:val="20"/>
      <w:szCs w:val="20"/>
    </w:rPr>
  </w:style>
  <w:style w:type="character" w:styleId="HTMLVariable">
    <w:name w:val="HTML Variable"/>
    <w:basedOn w:val="DefaultParagraphFont"/>
    <w:uiPriority w:val="99"/>
    <w:semiHidden/>
    <w:locked/>
    <w:rsid w:val="006C77FE"/>
    <w:rPr>
      <w:i/>
      <w:iCs/>
    </w:rPr>
  </w:style>
  <w:style w:type="paragraph" w:styleId="Index1">
    <w:name w:val="index 1"/>
    <w:basedOn w:val="Normal"/>
    <w:next w:val="Normal"/>
    <w:autoRedefine/>
    <w:uiPriority w:val="99"/>
    <w:semiHidden/>
    <w:locked/>
    <w:rsid w:val="006C77FE"/>
    <w:pPr>
      <w:spacing w:before="0" w:after="0"/>
      <w:ind w:left="200" w:hanging="200"/>
    </w:pPr>
  </w:style>
  <w:style w:type="paragraph" w:styleId="Index2">
    <w:name w:val="index 2"/>
    <w:basedOn w:val="Normal"/>
    <w:next w:val="Normal"/>
    <w:autoRedefine/>
    <w:uiPriority w:val="99"/>
    <w:semiHidden/>
    <w:locked/>
    <w:rsid w:val="006C77FE"/>
    <w:pPr>
      <w:spacing w:before="0" w:after="0"/>
      <w:ind w:left="400" w:hanging="200"/>
    </w:pPr>
  </w:style>
  <w:style w:type="paragraph" w:styleId="Index3">
    <w:name w:val="index 3"/>
    <w:basedOn w:val="Normal"/>
    <w:next w:val="Normal"/>
    <w:autoRedefine/>
    <w:uiPriority w:val="99"/>
    <w:semiHidden/>
    <w:locked/>
    <w:rsid w:val="006C77FE"/>
    <w:pPr>
      <w:spacing w:before="0" w:after="0"/>
      <w:ind w:left="600" w:hanging="200"/>
    </w:pPr>
  </w:style>
  <w:style w:type="paragraph" w:styleId="Index4">
    <w:name w:val="index 4"/>
    <w:basedOn w:val="Normal"/>
    <w:next w:val="Normal"/>
    <w:autoRedefine/>
    <w:uiPriority w:val="99"/>
    <w:semiHidden/>
    <w:locked/>
    <w:rsid w:val="006C77FE"/>
    <w:pPr>
      <w:spacing w:before="0" w:after="0"/>
      <w:ind w:left="800" w:hanging="200"/>
    </w:pPr>
  </w:style>
  <w:style w:type="paragraph" w:styleId="Index5">
    <w:name w:val="index 5"/>
    <w:basedOn w:val="Normal"/>
    <w:next w:val="Normal"/>
    <w:autoRedefine/>
    <w:uiPriority w:val="99"/>
    <w:semiHidden/>
    <w:locked/>
    <w:rsid w:val="006C77FE"/>
    <w:pPr>
      <w:spacing w:before="0" w:after="0"/>
      <w:ind w:left="1000" w:hanging="200"/>
    </w:pPr>
  </w:style>
  <w:style w:type="paragraph" w:styleId="Index6">
    <w:name w:val="index 6"/>
    <w:basedOn w:val="Normal"/>
    <w:next w:val="Normal"/>
    <w:autoRedefine/>
    <w:uiPriority w:val="99"/>
    <w:semiHidden/>
    <w:locked/>
    <w:rsid w:val="006C77FE"/>
    <w:pPr>
      <w:spacing w:before="0" w:after="0"/>
      <w:ind w:left="1200" w:hanging="200"/>
    </w:pPr>
  </w:style>
  <w:style w:type="paragraph" w:styleId="Index7">
    <w:name w:val="index 7"/>
    <w:basedOn w:val="Normal"/>
    <w:next w:val="Normal"/>
    <w:autoRedefine/>
    <w:uiPriority w:val="99"/>
    <w:semiHidden/>
    <w:locked/>
    <w:rsid w:val="006C77FE"/>
    <w:pPr>
      <w:spacing w:before="0" w:after="0"/>
      <w:ind w:left="1400" w:hanging="200"/>
    </w:pPr>
  </w:style>
  <w:style w:type="paragraph" w:styleId="Index8">
    <w:name w:val="index 8"/>
    <w:basedOn w:val="Normal"/>
    <w:next w:val="Normal"/>
    <w:autoRedefine/>
    <w:uiPriority w:val="99"/>
    <w:semiHidden/>
    <w:locked/>
    <w:rsid w:val="006C77FE"/>
    <w:pPr>
      <w:spacing w:before="0" w:after="0"/>
      <w:ind w:left="1600" w:hanging="200"/>
    </w:pPr>
  </w:style>
  <w:style w:type="paragraph" w:styleId="Index9">
    <w:name w:val="index 9"/>
    <w:basedOn w:val="Normal"/>
    <w:next w:val="Normal"/>
    <w:autoRedefine/>
    <w:uiPriority w:val="99"/>
    <w:semiHidden/>
    <w:locked/>
    <w:rsid w:val="006C77FE"/>
    <w:pPr>
      <w:spacing w:before="0" w:after="0"/>
      <w:ind w:left="1800" w:hanging="200"/>
    </w:pPr>
  </w:style>
  <w:style w:type="paragraph" w:styleId="IndexHeading">
    <w:name w:val="index heading"/>
    <w:basedOn w:val="Normal"/>
    <w:next w:val="Index1"/>
    <w:uiPriority w:val="99"/>
    <w:semiHidden/>
    <w:locked/>
    <w:rsid w:val="006C77FE"/>
    <w:rPr>
      <w:rFonts w:asciiTheme="majorHAnsi" w:eastAsiaTheme="majorEastAsia" w:hAnsiTheme="majorHAnsi" w:cstheme="majorBidi"/>
      <w:b/>
      <w:bCs/>
    </w:rPr>
  </w:style>
  <w:style w:type="character" w:styleId="IntenseEmphasis">
    <w:name w:val="Intense Emphasis"/>
    <w:basedOn w:val="DefaultParagraphFont"/>
    <w:uiPriority w:val="21"/>
    <w:semiHidden/>
    <w:rsid w:val="006C77FE"/>
    <w:rPr>
      <w:i/>
      <w:iCs/>
      <w:color w:val="075D5F" w:themeColor="accent1"/>
    </w:rPr>
  </w:style>
  <w:style w:type="character" w:styleId="IntenseReference">
    <w:name w:val="Intense Reference"/>
    <w:basedOn w:val="DefaultParagraphFont"/>
    <w:uiPriority w:val="32"/>
    <w:semiHidden/>
    <w:rsid w:val="006C77FE"/>
    <w:rPr>
      <w:b/>
      <w:bCs/>
      <w:smallCaps/>
      <w:color w:val="075D5F" w:themeColor="accent1"/>
      <w:spacing w:val="5"/>
    </w:rPr>
  </w:style>
  <w:style w:type="character" w:styleId="LineNumber">
    <w:name w:val="line number"/>
    <w:basedOn w:val="DefaultParagraphFont"/>
    <w:uiPriority w:val="99"/>
    <w:semiHidden/>
    <w:locked/>
    <w:rsid w:val="006C77FE"/>
  </w:style>
  <w:style w:type="paragraph" w:styleId="MacroText">
    <w:name w:val="macro"/>
    <w:link w:val="MacroTextChar"/>
    <w:uiPriority w:val="99"/>
    <w:semiHidden/>
    <w:locked/>
    <w:rsid w:val="006C77F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C77FE"/>
    <w:rPr>
      <w:rFonts w:ascii="Consolas" w:hAnsi="Consolas"/>
    </w:rPr>
  </w:style>
  <w:style w:type="character" w:styleId="Mention">
    <w:name w:val="Mention"/>
    <w:basedOn w:val="DefaultParagraphFont"/>
    <w:uiPriority w:val="99"/>
    <w:locked/>
    <w:rsid w:val="006C77FE"/>
    <w:rPr>
      <w:color w:val="2B579A"/>
      <w:shd w:val="clear" w:color="auto" w:fill="E1DFDD"/>
    </w:rPr>
  </w:style>
  <w:style w:type="paragraph" w:styleId="MessageHeader">
    <w:name w:val="Message Header"/>
    <w:basedOn w:val="Normal"/>
    <w:link w:val="MessageHeaderChar"/>
    <w:uiPriority w:val="99"/>
    <w:semiHidden/>
    <w:locked/>
    <w:rsid w:val="006C77F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77F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C77FE"/>
    <w:pPr>
      <w:ind w:left="720"/>
    </w:pPr>
  </w:style>
  <w:style w:type="paragraph" w:styleId="NoteHeading">
    <w:name w:val="Note Heading"/>
    <w:basedOn w:val="Normal"/>
    <w:next w:val="Normal"/>
    <w:link w:val="NoteHeadingChar"/>
    <w:uiPriority w:val="37"/>
    <w:semiHidden/>
    <w:rsid w:val="006C77FE"/>
    <w:pPr>
      <w:spacing w:before="0" w:after="0"/>
    </w:pPr>
  </w:style>
  <w:style w:type="character" w:customStyle="1" w:styleId="NoteHeadingChar">
    <w:name w:val="Note Heading Char"/>
    <w:basedOn w:val="DefaultParagraphFont"/>
    <w:link w:val="NoteHeading"/>
    <w:uiPriority w:val="37"/>
    <w:semiHidden/>
    <w:rsid w:val="006C77FE"/>
  </w:style>
  <w:style w:type="character" w:styleId="PageNumber">
    <w:name w:val="page number"/>
    <w:basedOn w:val="DefaultParagraphFont"/>
    <w:uiPriority w:val="99"/>
    <w:semiHidden/>
    <w:locked/>
    <w:rsid w:val="006C77FE"/>
  </w:style>
  <w:style w:type="paragraph" w:styleId="PlainText">
    <w:name w:val="Plain Text"/>
    <w:basedOn w:val="Normal"/>
    <w:link w:val="PlainTextChar"/>
    <w:uiPriority w:val="99"/>
    <w:semiHidden/>
    <w:rsid w:val="006C77F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C77FE"/>
    <w:rPr>
      <w:rFonts w:ascii="Consolas" w:hAnsi="Consolas"/>
      <w:sz w:val="21"/>
      <w:szCs w:val="21"/>
    </w:rPr>
  </w:style>
  <w:style w:type="character" w:styleId="SmartHyperlink">
    <w:name w:val="Smart Hyperlink"/>
    <w:basedOn w:val="DefaultParagraphFont"/>
    <w:uiPriority w:val="99"/>
    <w:semiHidden/>
    <w:locked/>
    <w:rsid w:val="006C77FE"/>
    <w:rPr>
      <w:u w:val="dotted"/>
    </w:rPr>
  </w:style>
  <w:style w:type="character" w:styleId="SmartLink">
    <w:name w:val="Smart Link"/>
    <w:basedOn w:val="DefaultParagraphFont"/>
    <w:uiPriority w:val="99"/>
    <w:semiHidden/>
    <w:locked/>
    <w:rsid w:val="006C77FE"/>
    <w:rPr>
      <w:color w:val="0000FF"/>
      <w:u w:val="single"/>
      <w:shd w:val="clear" w:color="auto" w:fill="F3F2F1"/>
    </w:rPr>
  </w:style>
  <w:style w:type="character" w:styleId="Strong">
    <w:name w:val="Strong"/>
    <w:basedOn w:val="DefaultParagraphFont"/>
    <w:uiPriority w:val="22"/>
    <w:qFormat/>
    <w:rsid w:val="006C77FE"/>
    <w:rPr>
      <w:b/>
      <w:bCs/>
    </w:rPr>
  </w:style>
  <w:style w:type="character" w:styleId="SubtleEmphasis">
    <w:name w:val="Subtle Emphasis"/>
    <w:basedOn w:val="DefaultParagraphFont"/>
    <w:uiPriority w:val="19"/>
    <w:semiHidden/>
    <w:rsid w:val="006C77FE"/>
    <w:rPr>
      <w:i/>
      <w:iCs/>
      <w:color w:val="404040" w:themeColor="text1" w:themeTint="BF"/>
    </w:rPr>
  </w:style>
  <w:style w:type="character" w:styleId="SubtleReference">
    <w:name w:val="Subtle Reference"/>
    <w:basedOn w:val="DefaultParagraphFont"/>
    <w:uiPriority w:val="31"/>
    <w:semiHidden/>
    <w:rsid w:val="006C77FE"/>
    <w:rPr>
      <w:smallCaps/>
      <w:color w:val="5A5A5A" w:themeColor="text1" w:themeTint="A5"/>
    </w:rPr>
  </w:style>
  <w:style w:type="paragraph" w:styleId="TableofAuthorities">
    <w:name w:val="table of authorities"/>
    <w:basedOn w:val="Normal"/>
    <w:next w:val="Normal"/>
    <w:uiPriority w:val="99"/>
    <w:semiHidden/>
    <w:rsid w:val="006C77FE"/>
    <w:pPr>
      <w:spacing w:after="0"/>
      <w:ind w:left="200" w:hanging="200"/>
    </w:pPr>
  </w:style>
  <w:style w:type="paragraph" w:styleId="TOAHeading">
    <w:name w:val="toa heading"/>
    <w:basedOn w:val="Normal"/>
    <w:next w:val="Normal"/>
    <w:uiPriority w:val="99"/>
    <w:semiHidden/>
    <w:rsid w:val="006C77FE"/>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C77FE"/>
    <w:pPr>
      <w:spacing w:after="100"/>
      <w:ind w:left="1200"/>
    </w:pPr>
  </w:style>
  <w:style w:type="paragraph" w:styleId="TOC8">
    <w:name w:val="toc 8"/>
    <w:basedOn w:val="Normal"/>
    <w:next w:val="Normal"/>
    <w:autoRedefine/>
    <w:uiPriority w:val="39"/>
    <w:semiHidden/>
    <w:rsid w:val="006C77FE"/>
    <w:pPr>
      <w:spacing w:after="100"/>
      <w:ind w:left="1400"/>
    </w:pPr>
  </w:style>
  <w:style w:type="paragraph" w:styleId="TOC9">
    <w:name w:val="toc 9"/>
    <w:basedOn w:val="Normal"/>
    <w:next w:val="Normal"/>
    <w:autoRedefine/>
    <w:uiPriority w:val="39"/>
    <w:semiHidden/>
    <w:rsid w:val="006C77FE"/>
    <w:pPr>
      <w:spacing w:after="100"/>
      <w:ind w:left="1600"/>
    </w:pPr>
  </w:style>
  <w:style w:type="character" w:styleId="UnresolvedMention">
    <w:name w:val="Unresolved Mention"/>
    <w:basedOn w:val="DefaultParagraphFont"/>
    <w:uiPriority w:val="99"/>
    <w:semiHidden/>
    <w:locked/>
    <w:rsid w:val="006C77FE"/>
    <w:rPr>
      <w:color w:val="605E5C"/>
      <w:shd w:val="clear" w:color="auto" w:fill="E1DFDD"/>
    </w:rPr>
  </w:style>
  <w:style w:type="table" w:customStyle="1" w:styleId="TablePlainNoSpacing">
    <w:name w:val="Table Plain No Spacing"/>
    <w:basedOn w:val="TablePlain"/>
    <w:uiPriority w:val="99"/>
    <w:rsid w:val="006C77FE"/>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6C77FE"/>
    <w:rPr>
      <w:color w:val="FFFFFF" w:themeColor="background1"/>
    </w:rPr>
  </w:style>
  <w:style w:type="paragraph" w:customStyle="1" w:styleId="DarkVersion">
    <w:name w:val="Dark Version"/>
    <w:basedOn w:val="LightVersion"/>
    <w:uiPriority w:val="36"/>
    <w:semiHidden/>
    <w:unhideWhenUsed/>
    <w:rsid w:val="006C77FE"/>
    <w:rPr>
      <w:color w:val="FFFFFF" w:themeColor="background1"/>
    </w:rPr>
  </w:style>
  <w:style w:type="paragraph" w:customStyle="1" w:styleId="LightDocumentType">
    <w:name w:val="Light Document Type"/>
    <w:basedOn w:val="Normal"/>
    <w:uiPriority w:val="36"/>
    <w:unhideWhenUsed/>
    <w:rsid w:val="006C77FE"/>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6C77FE"/>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6C77FE"/>
    <w:pPr>
      <w:framePr w:wrap="around" w:vAnchor="page" w:hAnchor="page" w:x="557" w:y="12690"/>
    </w:pPr>
  </w:style>
  <w:style w:type="paragraph" w:customStyle="1" w:styleId="DarkBackCoverText">
    <w:name w:val="Dark Back Cover Text"/>
    <w:basedOn w:val="Normal"/>
    <w:uiPriority w:val="36"/>
    <w:semiHidden/>
    <w:unhideWhenUsed/>
    <w:rsid w:val="006C77FE"/>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6C77FE"/>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C77FE"/>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6C77FE"/>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6C77FE"/>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6C77FE"/>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6C77FE"/>
    <w:pPr>
      <w:spacing w:before="480"/>
      <w:ind w:left="1021"/>
    </w:pPr>
  </w:style>
  <w:style w:type="paragraph" w:customStyle="1" w:styleId="ProjectPlanCoverSubtitle">
    <w:name w:val="Project Plan Cover Subtitle"/>
    <w:basedOn w:val="DarkReportSubtitle"/>
    <w:uiPriority w:val="36"/>
    <w:semiHidden/>
    <w:unhideWhenUsed/>
    <w:rsid w:val="006C77FE"/>
    <w:pPr>
      <w:spacing w:after="5500"/>
      <w:contextualSpacing/>
    </w:pPr>
  </w:style>
  <w:style w:type="paragraph" w:customStyle="1" w:styleId="BannerTitle">
    <w:name w:val="Banner Title"/>
    <w:basedOn w:val="Header"/>
    <w:next w:val="BannerSubtitle"/>
    <w:link w:val="BannerTitleChar"/>
    <w:uiPriority w:val="99"/>
    <w:rsid w:val="006C77FE"/>
    <w:rPr>
      <w:rFonts w:ascii="VIC Light" w:hAnsi="VIC Light"/>
      <w:sz w:val="48"/>
    </w:rPr>
  </w:style>
  <w:style w:type="paragraph" w:customStyle="1" w:styleId="BannerSubtitle">
    <w:name w:val="Banner Subtitle"/>
    <w:basedOn w:val="BannerTitle"/>
    <w:uiPriority w:val="99"/>
    <w:rsid w:val="006C77FE"/>
    <w:pPr>
      <w:spacing w:after="300"/>
      <w:contextualSpacing/>
    </w:pPr>
    <w:rPr>
      <w:sz w:val="22"/>
    </w:rPr>
  </w:style>
  <w:style w:type="numbering" w:customStyle="1" w:styleId="Numbering">
    <w:name w:val="Numbering"/>
    <w:uiPriority w:val="99"/>
    <w:rsid w:val="006C77FE"/>
    <w:pPr>
      <w:numPr>
        <w:numId w:val="12"/>
      </w:numPr>
    </w:pPr>
  </w:style>
  <w:style w:type="paragraph" w:customStyle="1" w:styleId="Heading1NoTOC">
    <w:name w:val="Heading 1 No TOC"/>
    <w:basedOn w:val="Heading1"/>
    <w:next w:val="Normal"/>
    <w:uiPriority w:val="9"/>
    <w:qFormat/>
    <w:rsid w:val="00080D93"/>
    <w:pPr>
      <w:tabs>
        <w:tab w:val="left" w:pos="567"/>
      </w:tabs>
    </w:pPr>
    <w:rPr>
      <w:sz w:val="28"/>
    </w:rPr>
  </w:style>
  <w:style w:type="paragraph" w:customStyle="1" w:styleId="Heading2NoTOC">
    <w:name w:val="Heading 2 No TOC"/>
    <w:basedOn w:val="Heading2"/>
    <w:next w:val="Normal"/>
    <w:uiPriority w:val="9"/>
    <w:qFormat/>
    <w:rsid w:val="006C77FE"/>
  </w:style>
  <w:style w:type="paragraph" w:customStyle="1" w:styleId="Heading3NoTOC">
    <w:name w:val="Heading 3 No TOC"/>
    <w:basedOn w:val="Heading3"/>
    <w:next w:val="Normal"/>
    <w:uiPriority w:val="9"/>
    <w:qFormat/>
    <w:rsid w:val="006C77FE"/>
  </w:style>
  <w:style w:type="paragraph" w:customStyle="1" w:styleId="LightBackCoverTextLandscape">
    <w:name w:val="Light Back Cover Text Landscape"/>
    <w:basedOn w:val="LightBackCoverText"/>
    <w:uiPriority w:val="36"/>
    <w:rsid w:val="006C77FE"/>
    <w:pPr>
      <w:framePr w:w="4366" w:wrap="around" w:x="11341" w:y="10264"/>
    </w:pPr>
  </w:style>
  <w:style w:type="paragraph" w:customStyle="1" w:styleId="Style1">
    <w:name w:val="Style1"/>
    <w:basedOn w:val="BannerTitle"/>
    <w:link w:val="Style1Char"/>
    <w:qFormat/>
    <w:rsid w:val="006C77FE"/>
    <w:rPr>
      <w:sz w:val="40"/>
    </w:rPr>
  </w:style>
  <w:style w:type="character" w:customStyle="1" w:styleId="BannerTitleChar">
    <w:name w:val="Banner Title Char"/>
    <w:basedOn w:val="HeaderChar"/>
    <w:link w:val="BannerTitle"/>
    <w:uiPriority w:val="99"/>
    <w:rsid w:val="006C77FE"/>
    <w:rPr>
      <w:rFonts w:ascii="VIC Light" w:hAnsi="VIC Light"/>
      <w:color w:val="36383D" w:themeColor="accent6"/>
      <w:sz w:val="48"/>
    </w:rPr>
  </w:style>
  <w:style w:type="character" w:customStyle="1" w:styleId="Style1Char">
    <w:name w:val="Style1 Char"/>
    <w:basedOn w:val="BannerTitleChar"/>
    <w:link w:val="Style1"/>
    <w:rsid w:val="006C77FE"/>
    <w:rPr>
      <w:rFonts w:ascii="VIC Light" w:hAnsi="VIC Light"/>
      <w:color w:val="36383D" w:themeColor="accent6"/>
      <w:sz w:val="40"/>
    </w:rPr>
  </w:style>
  <w:style w:type="paragraph" w:customStyle="1" w:styleId="TableParagraph">
    <w:name w:val="Table Paragraph"/>
    <w:basedOn w:val="Normal"/>
    <w:uiPriority w:val="1"/>
    <w:qFormat/>
    <w:rsid w:val="006C77FE"/>
    <w:pPr>
      <w:widowControl w:val="0"/>
      <w:autoSpaceDE w:val="0"/>
      <w:autoSpaceDN w:val="0"/>
      <w:spacing w:before="0" w:after="0"/>
    </w:pPr>
    <w:rPr>
      <w:rFonts w:ascii="Arial" w:eastAsia="Arial" w:hAnsi="Arial" w:cs="Arial"/>
      <w:color w:val="auto"/>
      <w:sz w:val="22"/>
      <w:szCs w:val="22"/>
      <w:lang w:val="en-US"/>
    </w:rPr>
  </w:style>
  <w:style w:type="paragraph" w:styleId="Revision">
    <w:name w:val="Revision"/>
    <w:hidden/>
    <w:uiPriority w:val="99"/>
    <w:semiHidden/>
    <w:rsid w:val="006C77FE"/>
    <w:pPr>
      <w:spacing w:before="0" w:after="0"/>
    </w:pPr>
    <w:rPr>
      <w:rFonts w:ascii="Arial" w:eastAsia="Arial" w:hAnsi="Arial" w:cs="Arial"/>
      <w:color w:val="auto"/>
      <w:sz w:val="22"/>
      <w:szCs w:val="22"/>
      <w:lang w:val="en-US"/>
    </w:rPr>
  </w:style>
  <w:style w:type="character" w:customStyle="1" w:styleId="normaltextrun">
    <w:name w:val="normaltextrun"/>
    <w:basedOn w:val="DefaultParagraphFont"/>
    <w:rsid w:val="006C77FE"/>
  </w:style>
  <w:style w:type="character" w:customStyle="1" w:styleId="eop">
    <w:name w:val="eop"/>
    <w:basedOn w:val="DefaultParagraphFont"/>
    <w:rsid w:val="006C77FE"/>
  </w:style>
  <w:style w:type="character" w:customStyle="1" w:styleId="cf01">
    <w:name w:val="cf01"/>
    <w:basedOn w:val="DefaultParagraphFont"/>
    <w:rsid w:val="006C77FE"/>
    <w:rPr>
      <w:rFonts w:ascii="Segoe UI" w:hAnsi="Segoe UI" w:cs="Segoe UI" w:hint="default"/>
      <w:b/>
      <w:bCs/>
      <w:sz w:val="18"/>
      <w:szCs w:val="18"/>
      <w:shd w:val="clear" w:color="auto" w:fill="00FFFF"/>
    </w:rPr>
  </w:style>
  <w:style w:type="character" w:customStyle="1" w:styleId="cf11">
    <w:name w:val="cf11"/>
    <w:basedOn w:val="DefaultParagraphFont"/>
    <w:rsid w:val="006C77FE"/>
    <w:rPr>
      <w:rFonts w:ascii="Segoe UI" w:hAnsi="Segoe UI" w:cs="Segoe UI" w:hint="default"/>
      <w:sz w:val="18"/>
      <w:szCs w:val="18"/>
      <w:shd w:val="clear" w:color="auto" w:fill="00FFFF"/>
    </w:rPr>
  </w:style>
  <w:style w:type="paragraph" w:customStyle="1" w:styleId="paragraph">
    <w:name w:val="paragraph"/>
    <w:basedOn w:val="Normal"/>
    <w:rsid w:val="006C77FE"/>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VPPBodytextbullet1">
    <w:name w:val="VPP Body text bullet 1"/>
    <w:basedOn w:val="Normal"/>
    <w:link w:val="VPPBodytextbullet1Char"/>
    <w:rsid w:val="00A85F5A"/>
    <w:pPr>
      <w:numPr>
        <w:numId w:val="25"/>
      </w:numPr>
      <w:tabs>
        <w:tab w:val="clear" w:pos="1211"/>
      </w:tabs>
      <w:spacing w:before="60" w:after="80"/>
      <w:ind w:left="1560" w:hanging="480"/>
    </w:pPr>
    <w:rPr>
      <w:rFonts w:ascii="Times New Roman" w:eastAsia="Times New Roman" w:hAnsi="Times New Roman" w:cs="Times New Roman"/>
      <w:color w:val="auto"/>
      <w:lang w:eastAsia="en-AU"/>
    </w:rPr>
  </w:style>
  <w:style w:type="character" w:customStyle="1" w:styleId="VPPBodytextbullet1Char">
    <w:name w:val="VPP Body text bullet 1 Char"/>
    <w:basedOn w:val="DefaultParagraphFont"/>
    <w:link w:val="VPPBodytextbullet1"/>
    <w:rsid w:val="00A85F5A"/>
    <w:rPr>
      <w:rFonts w:ascii="Times New Roman" w:eastAsia="Times New Roman" w:hAnsi="Times New Roman" w:cs="Times New Roman"/>
      <w:color w:val="auto"/>
      <w:lang w:eastAsia="en-AU"/>
    </w:rPr>
  </w:style>
  <w:style w:type="character" w:customStyle="1" w:styleId="Source">
    <w:name w:val="Source"/>
    <w:basedOn w:val="DefaultParagraphFont"/>
    <w:uiPriority w:val="1"/>
    <w:rsid w:val="00A85F5A"/>
    <w:rPr>
      <w:vanish/>
      <w:color w:val="28292D" w:themeColor="accent6" w:themeShade="BF"/>
      <w:sz w:val="12"/>
      <w:szCs w:val="12"/>
    </w:rPr>
  </w:style>
  <w:style w:type="character" w:customStyle="1" w:styleId="PfVTrackedAdded">
    <w:name w:val="PfV Tracked Added"/>
    <w:basedOn w:val="DefaultParagraphFont"/>
    <w:rsid w:val="00A85F5A"/>
    <w:rPr>
      <w:strike w:val="0"/>
      <w:color w:val="00B0F0"/>
      <w:u w:val="single"/>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planning.vic.gov.au/__data/assets/pdf_file/0023/653252/20-minute-neighbourhood-checklist-Tool.pdf" TargetMode="External"/><Relationship Id="rId26" Type="http://schemas.openxmlformats.org/officeDocument/2006/relationships/hyperlink" Target="https://www.water.vic.gov.au/our-programs/long-term-water-resource-assessments-and-strategies/urban-water-strategies" TargetMode="External"/><Relationship Id="rId3" Type="http://schemas.openxmlformats.org/officeDocument/2006/relationships/customXml" Target="../customXml/item3.xml"/><Relationship Id="rId21" Type="http://schemas.openxmlformats.org/officeDocument/2006/relationships/hyperlink" Target="https://www.water.vic.gov.au/our-programs/floodplain-management/victorian-floodplain-management-strategie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ncc.abcb.gov.au/" TargetMode="External"/><Relationship Id="rId25" Type="http://schemas.openxmlformats.org/officeDocument/2006/relationships/hyperlink" Target="https://www.marineandcoasts.vic.gov.au/__data/assets/pdf_file/0027/456534/Marine-and-Coastal-Policy_Full.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lanning.vic.gov.au/guides-and-resources/strategies-and-initiatives/built-environment-climate-change-adaptation-action-plan" TargetMode="External"/><Relationship Id="rId20" Type="http://schemas.openxmlformats.org/officeDocument/2006/relationships/hyperlink" Target="https://vpa-web.s3.amazonaws.com/wp-content/uploads/2021/12/VPA-Precinct-Structure-Planning-Guidelines-New-Communities-In-Victoria-Part-3-October-2021.pdf" TargetMode="External"/><Relationship Id="rId29"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marineandcoasts.vic.gov.au/__data/assets/pdf_file/0027/456534/Marine-and-Coastal-Policy_Full.pdf"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limatechange.vic.gov.au/victorias-climate-change-strategy" TargetMode="External"/><Relationship Id="rId23" Type="http://schemas.openxmlformats.org/officeDocument/2006/relationships/hyperlink" Target="https://www.water.vic.gov.au/our-programs/floodplain-management/land-use-planning" TargetMode="External"/><Relationship Id="rId28" Type="http://schemas.openxmlformats.org/officeDocument/2006/relationships/hyperlink" Target="https://www.planning.vic.gov.au/" TargetMode="External"/><Relationship Id="rId10" Type="http://schemas.openxmlformats.org/officeDocument/2006/relationships/settings" Target="settings.xml"/><Relationship Id="rId19" Type="http://schemas.openxmlformats.org/officeDocument/2006/relationships/hyperlink" Target="https://www.planning.vic.gov.au/__data/assets/pdf_file/0023/653252/20-minute-neighbourhood-checklist-Tool.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limatechange.vic.gov.au/victorias-climate-change-strategy" TargetMode="External"/><Relationship Id="rId22" Type="http://schemas.openxmlformats.org/officeDocument/2006/relationships/hyperlink" Target="https://www.arr-software.org/arrdocs.html" TargetMode="External"/><Relationship Id="rId27" Type="http://schemas.openxmlformats.org/officeDocument/2006/relationships/hyperlink" Target="http://creativecommons.org/licenses/by/4.0/"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binet Proposal" ma:contentTypeID="0x0101008DE30DE3252E4D4AB6204340C385E69951005E999E88377BF842A69FD54CE4C3BD79" ma:contentTypeVersion="70" ma:contentTypeDescription="" ma:contentTypeScope="" ma:versionID="9be28c6f2a0a3079dd2d20d74883d1ab">
  <xsd:schema xmlns:xsd="http://www.w3.org/2001/XMLSchema" xmlns:xs="http://www.w3.org/2001/XMLSchema" xmlns:p="http://schemas.microsoft.com/office/2006/metadata/properties" xmlns:ns1="http://schemas.microsoft.com/sharepoint/v3" xmlns:ns2="a5f32de4-e402-4188-b034-e71ca7d22e54" xmlns:ns3="85956892-df4c-4cf2-908b-3682ac583353" xmlns:ns4="e52aff57-327f-4b7c-9377-4403d83b8993" xmlns:ns5="c42f9c80-6326-4d3e-8624-f1221488f056" xmlns:ns6="e5cfb732-6fdf-4f02-b7ac-9ce91596aebf" targetNamespace="http://schemas.microsoft.com/office/2006/metadata/properties" ma:root="true" ma:fieldsID="38f332c7a9e72f803c11d59da41576ca" ns1:_="" ns2:_="" ns3:_="" ns4:_="" ns5:_="" ns6:_="">
    <xsd:import namespace="http://schemas.microsoft.com/sharepoint/v3"/>
    <xsd:import namespace="a5f32de4-e402-4188-b034-e71ca7d22e54"/>
    <xsd:import namespace="85956892-df4c-4cf2-908b-3682ac583353"/>
    <xsd:import namespace="e52aff57-327f-4b7c-9377-4403d83b8993"/>
    <xsd:import namespace="c42f9c80-6326-4d3e-8624-f1221488f056"/>
    <xsd:import namespace="e5cfb732-6fdf-4f02-b7ac-9ce91596aebf"/>
    <xsd:element name="properties">
      <xsd:complexType>
        <xsd:sequence>
          <xsd:element name="documentManagement">
            <xsd:complexType>
              <xsd:all>
                <xsd:element ref="ns1:RoutingRuleDescription" minOccurs="0"/>
                <xsd:element ref="ns1:Language"/>
                <xsd:element ref="ns3:TaxCatchAll" minOccurs="0"/>
                <xsd:element ref="ns4:MediaServiceMetadata" minOccurs="0"/>
                <xsd:element ref="ns4:MediaServiceFastMetadata" minOccurs="0"/>
                <xsd:element ref="ns2:Review_x0020_Date" minOccurs="0"/>
                <xsd:element ref="ns2:Reference_x0020_Number" minOccurs="0"/>
                <xsd:element ref="ns5:TRIM_x0020_Number" minOccurs="0"/>
                <xsd:element ref="ns5:SharedWithUsers" minOccurs="0"/>
                <xsd:element ref="ns5:SharedWithDetails" minOccurs="0"/>
                <xsd:element ref="ns4:MediaServiceObjectDetectorVersions" minOccurs="0"/>
                <xsd:element ref="ns4:MediaServiceDateTaken" minOccurs="0"/>
                <xsd:element ref="ns4:MediaServiceOCR" minOccurs="0"/>
                <xsd:element ref="ns4:MediaServiceGenerationTime" minOccurs="0"/>
                <xsd:element ref="ns4:MediaServiceEventHashCode"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fc01d91d9ac346658516d76592d70065" minOccurs="0"/>
                <xsd:element ref="ns3:ld508a88e6264ce89693af80a72862cb"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view_x0020_Date" ma:index="22" nillable="true" ma:displayName="Review Date" ma:description="This is the date that you will be alerted to review your object." ma:format="DateOnly" ma:internalName="Review_x0020_Date" ma:readOnly="false">
      <xsd:simpleType>
        <xsd:restriction base="dms:DateTime"/>
      </xsd:simpleType>
    </xsd:element>
    <xsd:element name="Reference_x0020_Number" ma:index="24" nillable="true" ma:displayName="Reference Number" ma:internalName="Reference_x0020_Number" ma:readOnly="false">
      <xsd:simpleType>
        <xsd:restriction base="dms:Text">
          <xsd:maxLength value="255"/>
        </xsd:restriction>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f6d038-beb2-4f97-a08f-f63df3ec4bbc}" ma:internalName="TaxCatchAll" ma:readOnly="false"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0ef6d038-beb2-4f97-a08f-f63df3ec4bbc}" ma:internalName="TaxCatchAllLabel" ma:readOnly="fals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39" ma:taxonomy="true" ma:internalName="fb3179c379644f499d7166d0c985669b" ma:taxonomyFieldName="Dissemination_x0020_Limiting_x0020_Marker" ma:displayName="Dissemination Limiting Marker" ma:readOnly="false" ma:default="10;#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0"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nillable="true" ma:taxonomy="true" ma:internalName="ic50d0a05a8e4d9791dac67f8a1e716c" ma:taxonomyFieldName="Group1" ma:displayName="Group" ma:readOnly="false" ma:default="649;#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nillable="true" ma:taxonomy="true" ma:internalName="n771d69a070c4babbf278c67c8a2b859" ma:taxonomyFieldName="Division" ma:displayName="Division" ma:readOnly="false" ma:default="9;#Planning Reform|bfd199f4-59dd-4ddf-baac-c8476b58aca8"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43" nillable="true" ma:taxonomy="true" ma:internalName="mfe9accc5a0b4653a7b513b67ffd122d" ma:taxonomyFieldName="Branch" ma:displayName="Branch" ma:readOnly="false" ma:default="12;#Planning Systems|85906f6d-f5aa-4c3a-81be-9af2863c2b3a"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4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4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fc01d91d9ac346658516d76592d70065" ma:index="46" nillable="true" ma:taxonomy="true" ma:internalName="fc01d91d9ac346658516d76592d70065" ma:taxonomyFieldName="Year" ma:displayName="Year" ma:readOnly="false" ma:fieldId="{fc01d91d-9ac3-4665-8516-d76592d70065}" ma:sspId="02e39827-7633-4725-95e2-462bd363dd90" ma:termSetId="ed16dc02-69d9-4de4-bca4-cb136ab21731" ma:anchorId="00000000-0000-0000-0000-000000000000" ma:open="false" ma:isKeyword="false">
      <xsd:complexType>
        <xsd:sequence>
          <xsd:element ref="pc:Terms" minOccurs="0" maxOccurs="1"/>
        </xsd:sequence>
      </xsd:complexType>
    </xsd:element>
    <xsd:element name="ld508a88e6264ce89693af80a72862cb" ma:index="47"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2aff57-327f-4b7c-9377-4403d83b89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TRIM_x0020_Number" ma:index="25" nillable="true" ma:displayName="TRIM Number" ma:internalName="TRIM_x0020_Number"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fb732-6fdf-4f02-b7ac-9ce91596aebf" elementFormDefault="qualified">
    <xsd:import namespace="http://schemas.microsoft.com/office/2006/documentManagement/types"/>
    <xsd:import namespace="http://schemas.microsoft.com/office/infopath/2007/PartnerControls"/>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a25c4e3633654d669cbaa09ae6b70789 xmlns="85956892-df4c-4cf2-908b-3682ac583353">
      <Terms xmlns="http://schemas.microsoft.com/office/infopath/2007/PartnerControls"/>
    </a25c4e3633654d669cbaa09ae6b70789>
    <pd01c257034b4e86b1f58279a3bd54c6 xmlns="85956892-df4c-4cf2-908b-3682ac5833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ece32f50ba964e1fbf627a9d83fe6c01 xmlns="85956892-df4c-4cf2-908b-3682ac583353">
      <Terms xmlns="http://schemas.microsoft.com/office/infopath/2007/PartnerControls">
        <TermInfo xmlns="http://schemas.microsoft.com/office/infopath/2007/PartnerControls">
          <TermName xmlns="http://schemas.microsoft.com/office/infopath/2007/PartnerControls">Department of Transport and Planning</TermName>
          <TermId xmlns="http://schemas.microsoft.com/office/infopath/2007/PartnerControls">29538387-4d08-4779-b4ba-e02a18d6d07c</TermId>
        </TermInfo>
      </Terms>
    </ece32f50ba964e1fbf627a9d83fe6c01>
    <_dlc_DocId xmlns="a5f32de4-e402-4188-b034-e71ca7d22e54">DOCID345-199653095-768</_dlc_DocId>
    <Review_x0020_Date xmlns="a5f32de4-e402-4188-b034-e71ca7d22e54" xsi:nil="true"/>
    <RoutingRuleDescription xmlns="http://schemas.microsoft.com/sharepoint/v3" xsi:nil="true"/>
    <k1bd994a94c2413797db3bab8f123f6f xmlns="85956892-df4c-4cf2-908b-3682ac583353">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TaxCatchAllLabel xmlns="85956892-df4c-4cf2-908b-3682ac583353" xsi:nil="true"/>
    <ld508a88e6264ce89693af80a72862cb xmlns="85956892-df4c-4cf2-908b-3682ac583353">
      <Terms xmlns="http://schemas.microsoft.com/office/infopath/2007/PartnerControls"/>
    </ld508a88e6264ce89693af80a72862cb>
    <Language xmlns="http://schemas.microsoft.com/sharepoint/v3">English</Language>
    <TRIM_x0020_Number xmlns="c42f9c80-6326-4d3e-8624-f1221488f056" xsi:nil="true"/>
    <lcf76f155ced4ddcb4097134ff3c332f xmlns="e5cfb732-6fdf-4f02-b7ac-9ce91596aebf">
      <Terms xmlns="http://schemas.microsoft.com/office/infopath/2007/PartnerControls"/>
    </lcf76f155ced4ddcb4097134ff3c332f>
    <TaxCatchAll xmlns="85956892-df4c-4cf2-908b-3682ac583353">
      <Value>984</Value>
      <Value>982</Value>
      <Value>981</Value>
      <Value>10</Value>
      <Value>12</Value>
      <Value>7</Value>
      <Value>4</Value>
      <Value>972</Value>
    </TaxCatchAll>
    <ic50d0a05a8e4d9791dac67f8a1e716c xmlns="85956892-df4c-4cf2-908b-3682ac583353">
      <Terms xmlns="http://schemas.microsoft.com/office/infopath/2007/PartnerControls">
        <TermInfo xmlns="http://schemas.microsoft.com/office/infopath/2007/PartnerControls">
          <TermName xmlns="http://schemas.microsoft.com/office/infopath/2007/PartnerControls">Planning and Land Service</TermName>
          <TermId xmlns="http://schemas.microsoft.com/office/infopath/2007/PartnerControls">7deec77b-721c-4598-8e58-ca88b593a2b8</TermId>
        </TermInfo>
      </Terms>
    </ic50d0a05a8e4d9791dac67f8a1e716c>
    <Reference_x0020_Number xmlns="a5f32de4-e402-4188-b034-e71ca7d22e54" xsi:nil="true"/>
    <fc01d91d9ac346658516d76592d70065 xmlns="85956892-df4c-4cf2-908b-3682ac583353">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9ca4e8b8-e6e7-4b13-9337-6e1d52c7e9f6</TermId>
        </TermInfo>
      </Terms>
    </fc01d91d9ac346658516d76592d70065>
    <_dlc_DocIdPersistId xmlns="a5f32de4-e402-4188-b034-e71ca7d22e54" xsi:nil="true"/>
    <mfe9accc5a0b4653a7b513b67ffd122d xmlns="85956892-df4c-4cf2-908b-3682ac583353">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n771d69a070c4babbf278c67c8a2b859 xmlns="85956892-df4c-4cf2-908b-3682ac583353">
      <Terms xmlns="http://schemas.microsoft.com/office/infopath/2007/PartnerControls">
        <TermInfo xmlns="http://schemas.microsoft.com/office/infopath/2007/PartnerControls">
          <TermName xmlns="http://schemas.microsoft.com/office/infopath/2007/PartnerControls">Land and property</TermName>
          <TermId xmlns="http://schemas.microsoft.com/office/infopath/2007/PartnerControls">3f89e0fd-2cf0-4400-a423-22e3f43a7812</TermId>
        </TermInfo>
      </Terms>
    </n771d69a070c4babbf278c67c8a2b859>
    <fb3179c379644f499d7166d0c985669b xmlns="85956892-df4c-4cf2-908b-3682ac583353">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https://vicroads.sharepoint.com/sites/ecm_345/_layouts/15/DocIdRedir.aspx?ID=DOCID345-199653095-768</Url>
      <Description>DOCID345-199653095-768</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FE23F-1E76-4AEF-9BB8-66C99352724B}">
  <ds:schemaRefs>
    <ds:schemaRef ds:uri="http://schemas.microsoft.com/sharepoint/events"/>
  </ds:schemaRefs>
</ds:datastoreItem>
</file>

<file path=customXml/itemProps3.xml><?xml version="1.0" encoding="utf-8"?>
<ds:datastoreItem xmlns:ds="http://schemas.openxmlformats.org/officeDocument/2006/customXml" ds:itemID="{F1AF7B42-D031-4D7C-8B01-5922C515A5CB}">
  <ds:schemaRefs>
    <ds:schemaRef ds:uri="http://schemas.microsoft.com/office/2006/metadata/customXsn"/>
  </ds:schemaRefs>
</ds:datastoreItem>
</file>

<file path=customXml/itemProps4.xml><?xml version="1.0" encoding="utf-8"?>
<ds:datastoreItem xmlns:ds="http://schemas.openxmlformats.org/officeDocument/2006/customXml" ds:itemID="{43E76B5F-C750-483F-9815-E57BFABCB58A}">
  <ds:schemaRefs>
    <ds:schemaRef ds:uri="http://schemas.microsoft.com/sharepoint/v3/contenttype/forms"/>
  </ds:schemaRefs>
</ds:datastoreItem>
</file>

<file path=customXml/itemProps5.xml><?xml version="1.0" encoding="utf-8"?>
<ds:datastoreItem xmlns:ds="http://schemas.openxmlformats.org/officeDocument/2006/customXml" ds:itemID="{F1021BA4-723E-4399-BF57-3C84B483E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85956892-df4c-4cf2-908b-3682ac583353"/>
    <ds:schemaRef ds:uri="e52aff57-327f-4b7c-9377-4403d83b8993"/>
    <ds:schemaRef ds:uri="c42f9c80-6326-4d3e-8624-f1221488f056"/>
    <ds:schemaRef ds:uri="e5cfb732-6fdf-4f02-b7ac-9ce91596a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7.xml><?xml version="1.0" encoding="utf-8"?>
<ds:datastoreItem xmlns:ds="http://schemas.openxmlformats.org/officeDocument/2006/customXml" ds:itemID="{0F51CAF3-D9C5-4D34-9EB5-BDC3F8A5D115}">
  <ds:schemaRefs>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85956892-df4c-4cf2-908b-3682ac583353"/>
    <ds:schemaRef ds:uri="http://purl.org/dc/terms/"/>
    <ds:schemaRef ds:uri="http://schemas.openxmlformats.org/package/2006/metadata/core-properties"/>
    <ds:schemaRef ds:uri="e5cfb732-6fdf-4f02-b7ac-9ce91596aebf"/>
    <ds:schemaRef ds:uri="e52aff57-327f-4b7c-9377-4403d83b8993"/>
    <ds:schemaRef ds:uri="http://www.w3.org/XML/1998/namespace"/>
    <ds:schemaRef ds:uri="http://purl.org/dc/dcmitype/"/>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5765</Words>
  <Characters>32866</Characters>
  <Application>Microsoft Office Word</Application>
  <DocSecurity>4</DocSecurity>
  <Lines>273</Lines>
  <Paragraphs>77</Paragraphs>
  <ScaleCrop>false</ScaleCrop>
  <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9</cp:revision>
  <dcterms:created xsi:type="dcterms:W3CDTF">2025-08-30T11:15:00Z</dcterms:created>
  <dcterms:modified xsi:type="dcterms:W3CDTF">2025-08-29T04:00:00Z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Sub-Section">
    <vt:lpwstr/>
  </property>
  <property fmtid="{D5CDD505-2E9C-101B-9397-08002B2CF9AE}" pid="4" name="Agency">
    <vt:lpwstr>981;#Department of Transport and Planning|29538387-4d08-4779-b4ba-e02a18d6d07c</vt:lpwstr>
  </property>
  <property fmtid="{D5CDD505-2E9C-101B-9397-08002B2CF9AE}" pid="5" name="Branch">
    <vt:lpwstr>12;#Planning Systems|85906f6d-f5aa-4c3a-81be-9af2863c2b3a</vt:lpwstr>
  </property>
  <property fmtid="{D5CDD505-2E9C-101B-9397-08002B2CF9AE}" pid="6" name="MediaServiceImageTags">
    <vt:lpwstr/>
  </property>
  <property fmtid="{D5CDD505-2E9C-101B-9397-08002B2CF9AE}" pid="7" name="ShowGlobal">
    <vt:bool>true</vt:bool>
  </property>
  <property fmtid="{D5CDD505-2E9C-101B-9397-08002B2CF9AE}" pid="8" name="Reference_x0020_Type">
    <vt:lpwstr/>
  </property>
  <property fmtid="{D5CDD505-2E9C-101B-9397-08002B2CF9AE}" pid="9" name="ContentTypeId">
    <vt:lpwstr>0x0101008DE30DE3252E4D4AB6204340C385E69951005E999E88377BF842A69FD54CE4C3BD79</vt:lpwstr>
  </property>
  <property fmtid="{D5CDD505-2E9C-101B-9397-08002B2CF9AE}" pid="10" name="CustomGallery4">
    <vt:bool>false</vt:bool>
  </property>
  <property fmtid="{D5CDD505-2E9C-101B-9397-08002B2CF9AE}" pid="11" name="ComplianceAssetId">
    <vt:lpwstr/>
  </property>
  <property fmtid="{D5CDD505-2E9C-101B-9397-08002B2CF9AE}" pid="12" name="Division">
    <vt:lpwstr>984;#Land and property|3f89e0fd-2cf0-4400-a423-22e3f43a7812</vt:lpwstr>
  </property>
  <property fmtid="{D5CDD505-2E9C-101B-9397-08002B2CF9AE}" pid="13" name="TemplateType">
    <vt:lpwstr>Plain</vt:lpwstr>
  </property>
  <property fmtid="{D5CDD505-2E9C-101B-9397-08002B2CF9AE}" pid="14" name="CustomGallery5">
    <vt:bool>false</vt:bool>
  </property>
  <property fmtid="{D5CDD505-2E9C-101B-9397-08002B2CF9AE}" pid="15" name="_ExtendedDescription">
    <vt:lpwstr/>
  </property>
  <property fmtid="{D5CDD505-2E9C-101B-9397-08002B2CF9AE}" pid="16" name="Dissemination Limiting Marker">
    <vt:lpwstr>10;#FOUO|955eb6fc-b35a-4808-8aa5-31e514fa3f26</vt:lpwstr>
  </property>
  <property fmtid="{D5CDD505-2E9C-101B-9397-08002B2CF9AE}" pid="17" name="Sub_x002d_Section">
    <vt:lpwstr/>
  </property>
  <property fmtid="{D5CDD505-2E9C-101B-9397-08002B2CF9AE}" pid="18" name="BaseMaster">
    <vt:lpwstr>v4.4</vt:lpwstr>
  </property>
  <property fmtid="{D5CDD505-2E9C-101B-9397-08002B2CF9AE}" pid="19" name="Security_x0020_Classification">
    <vt:lpwstr>7;#Unclassified|7fa379f4-4aba-4692-ab80-7d39d3a23cf4</vt:lpwstr>
  </property>
  <property fmtid="{D5CDD505-2E9C-101B-9397-08002B2CF9AE}" pid="20" name="KeepMarginsTheSame">
    <vt:bool>true</vt:bool>
  </property>
  <property fmtid="{D5CDD505-2E9C-101B-9397-08002B2CF9AE}" pid="21" name="AutomationVersion">
    <vt:lpwstr>v#</vt:lpwstr>
  </property>
  <property fmtid="{D5CDD505-2E9C-101B-9397-08002B2CF9AE}" pid="22" name="CustomGallery1">
    <vt:bool>true</vt:bool>
  </property>
  <property fmtid="{D5CDD505-2E9C-101B-9397-08002B2CF9AE}" pid="23" name="Year">
    <vt:lpwstr>972;#2025|9ca4e8b8-e6e7-4b13-9337-6e1d52c7e9f6</vt:lpwstr>
  </property>
  <property fmtid="{D5CDD505-2E9C-101B-9397-08002B2CF9AE}" pid="24" name="CorrelatingCommon">
    <vt:lpwstr>6.49</vt:lpwstr>
  </property>
  <property fmtid="{D5CDD505-2E9C-101B-9397-08002B2CF9AE}" pid="25" name="RestartNumberingAtSection2">
    <vt:bool>false</vt:bool>
  </property>
  <property fmtid="{D5CDD505-2E9C-101B-9397-08002B2CF9AE}" pid="26" name="Reference Type">
    <vt:lpwstr/>
  </property>
  <property fmtid="{D5CDD505-2E9C-101B-9397-08002B2CF9AE}" pid="27" name="Dissemination_x0020_Limiting_x0020_Marker">
    <vt:lpwstr>10;#FOUO|955eb6fc-b35a-4808-8aa5-31e514fa3f26</vt:lpwstr>
  </property>
  <property fmtid="{D5CDD505-2E9C-101B-9397-08002B2CF9AE}" pid="28" name="CustomGallery2">
    <vt:bool>true</vt:bool>
  </property>
  <property fmtid="{D5CDD505-2E9C-101B-9397-08002B2CF9AE}" pid="29" name="_dlc_DocIdItemGuid">
    <vt:lpwstr>ba5024ca-94a8-427b-9828-9b4a8a95ccbe</vt:lpwstr>
  </property>
  <property fmtid="{D5CDD505-2E9C-101B-9397-08002B2CF9AE}" pid="30" name="RestartNumberingAtSection3">
    <vt:bool>false</vt:bool>
  </property>
  <property fmtid="{D5CDD505-2E9C-101B-9397-08002B2CF9AE}" pid="31" name="TriggerFlowInfo">
    <vt:lpwstr/>
  </property>
  <property fmtid="{D5CDD505-2E9C-101B-9397-08002B2CF9AE}" pid="32" name="Group1">
    <vt:lpwstr>982;#Planning and Land Service|7deec77b-721c-4598-8e58-ca88b593a2b8</vt:lpwstr>
  </property>
  <property fmtid="{D5CDD505-2E9C-101B-9397-08002B2CF9AE}" pid="33" name="TemplateVersion">
    <vt:lpwstr>[add version #]</vt:lpwstr>
  </property>
  <property fmtid="{D5CDD505-2E9C-101B-9397-08002B2CF9AE}" pid="34" name="Security Classification">
    <vt:lpwstr>7;#Unclassified|7fa379f4-4aba-4692-ab80-7d39d3a23cf4</vt:lpwstr>
  </property>
  <property fmtid="{D5CDD505-2E9C-101B-9397-08002B2CF9AE}" pid="35" name="Section">
    <vt:lpwstr>4;#All|8270565e-a836-42c0-aa61-1ac7b0ff14aa</vt:lpwstr>
  </property>
  <property fmtid="{D5CDD505-2E9C-101B-9397-08002B2CF9AE}" pid="36" name="Order">
    <vt:r8>9340100</vt:r8>
  </property>
  <property fmtid="{D5CDD505-2E9C-101B-9397-08002B2CF9AE}" pid="37" name="LinkHeadersFooters">
    <vt:bool>true</vt:bool>
  </property>
</Properties>
</file>