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45BAB" w14:textId="77777777" w:rsidR="00C80A96" w:rsidRPr="00B116E7" w:rsidRDefault="00C80A96" w:rsidP="00C80A96">
      <w:pPr>
        <w:keepNext/>
        <w:jc w:val="center"/>
        <w:outlineLvl w:val="0"/>
        <w:rPr>
          <w:rFonts w:ascii="Arial" w:hAnsi="Arial" w:cs="Arial"/>
          <w:b/>
          <w:bCs/>
          <w:sz w:val="21"/>
          <w:szCs w:val="21"/>
          <w:lang w:eastAsia="en-US"/>
        </w:rPr>
      </w:pPr>
    </w:p>
    <w:p w14:paraId="16DD7076" w14:textId="77777777" w:rsidR="00C80A96" w:rsidRPr="00B116E7" w:rsidRDefault="00C80A96" w:rsidP="00C80A96">
      <w:pPr>
        <w:keepNext/>
        <w:jc w:val="center"/>
        <w:outlineLvl w:val="0"/>
        <w:rPr>
          <w:rFonts w:ascii="Arial" w:hAnsi="Arial" w:cs="Arial"/>
          <w:b/>
          <w:bCs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bCs/>
          <w:sz w:val="21"/>
          <w:szCs w:val="21"/>
          <w:lang w:eastAsia="en-US"/>
        </w:rPr>
        <w:t>For Public Notice via Internet</w:t>
      </w:r>
    </w:p>
    <w:p w14:paraId="48302154" w14:textId="77777777" w:rsidR="00C80A96" w:rsidRPr="00B116E7" w:rsidRDefault="00C80A96" w:rsidP="00C80A96">
      <w:pPr>
        <w:jc w:val="center"/>
        <w:rPr>
          <w:rFonts w:ascii="Arial" w:hAnsi="Arial" w:cs="Arial"/>
          <w:b/>
          <w:sz w:val="21"/>
          <w:szCs w:val="21"/>
          <w:lang w:eastAsia="en-US"/>
        </w:rPr>
      </w:pPr>
    </w:p>
    <w:p w14:paraId="797B71C6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0FC8A61A" w14:textId="77777777" w:rsidR="00C80A96" w:rsidRPr="00B116E7" w:rsidRDefault="00C80A96" w:rsidP="00C80A96">
      <w:pPr>
        <w:rPr>
          <w:rFonts w:ascii="Arial" w:hAnsi="Arial" w:cs="Arial"/>
          <w:b/>
          <w:i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 xml:space="preserve">REASONS FOR DECISION UNDER </w:t>
      </w:r>
      <w:r w:rsidRPr="00B116E7">
        <w:rPr>
          <w:rFonts w:ascii="Arial" w:hAnsi="Arial" w:cs="Arial"/>
          <w:b/>
          <w:i/>
          <w:sz w:val="21"/>
          <w:szCs w:val="21"/>
          <w:lang w:eastAsia="en-US"/>
        </w:rPr>
        <w:t>ENVIRONMENT EFFECTS ACT 1978</w:t>
      </w:r>
    </w:p>
    <w:p w14:paraId="1F98FFF3" w14:textId="77777777" w:rsidR="00C80A96" w:rsidRPr="00B116E7" w:rsidRDefault="00C80A96" w:rsidP="00C80A96">
      <w:pPr>
        <w:rPr>
          <w:rFonts w:ascii="Arial" w:hAnsi="Arial" w:cs="Arial"/>
          <w:b/>
          <w:i/>
          <w:sz w:val="21"/>
          <w:szCs w:val="21"/>
          <w:lang w:eastAsia="en-US"/>
        </w:rPr>
      </w:pPr>
    </w:p>
    <w:p w14:paraId="4B9FD236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4D503FA7" w14:textId="77777777" w:rsidR="00C80A96" w:rsidRPr="00B116E7" w:rsidRDefault="00C80A96" w:rsidP="00C80A96">
      <w:pPr>
        <w:ind w:left="2880" w:hanging="2880"/>
        <w:rPr>
          <w:rFonts w:ascii="Arial" w:hAnsi="Arial" w:cs="Arial"/>
          <w:b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>Title of Proposal:</w:t>
      </w:r>
      <w:r w:rsidRPr="00B116E7">
        <w:rPr>
          <w:rFonts w:ascii="Arial" w:hAnsi="Arial" w:cs="Arial"/>
          <w:b/>
          <w:sz w:val="21"/>
          <w:szCs w:val="21"/>
          <w:lang w:eastAsia="en-US"/>
        </w:rPr>
        <w:tab/>
      </w:r>
      <w:bookmarkStart w:id="0" w:name="Proposalname2"/>
      <w:r w:rsidRPr="00B116E7">
        <w:rPr>
          <w:rFonts w:ascii="Arial" w:hAnsi="Arial" w:cs="Arial"/>
          <w:b/>
          <w:sz w:val="21"/>
          <w:szCs w:val="21"/>
          <w:lang w:eastAsia="en-US"/>
        </w:rPr>
        <w:t>Kentbruck Green Power Hub</w:t>
      </w:r>
      <w:bookmarkEnd w:id="0"/>
    </w:p>
    <w:p w14:paraId="1AA6C1F0" w14:textId="77777777" w:rsidR="00C80A96" w:rsidRPr="00B116E7" w:rsidRDefault="00C80A96" w:rsidP="00C80A96">
      <w:pPr>
        <w:tabs>
          <w:tab w:val="left" w:pos="2505"/>
        </w:tabs>
        <w:rPr>
          <w:rFonts w:ascii="Arial" w:hAnsi="Arial" w:cs="Arial"/>
          <w:b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ab/>
      </w:r>
    </w:p>
    <w:p w14:paraId="0A6AC69E" w14:textId="77777777" w:rsidR="00C80A96" w:rsidRPr="00B116E7" w:rsidRDefault="00C80A96" w:rsidP="00C80A96">
      <w:pPr>
        <w:ind w:left="2880" w:hanging="2880"/>
        <w:rPr>
          <w:rFonts w:ascii="Arial" w:hAnsi="Arial" w:cs="Arial"/>
          <w:b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>Proponent:</w:t>
      </w:r>
      <w:r w:rsidRPr="00B116E7">
        <w:rPr>
          <w:rFonts w:ascii="Arial" w:hAnsi="Arial" w:cs="Arial"/>
          <w:b/>
          <w:sz w:val="21"/>
          <w:szCs w:val="21"/>
          <w:lang w:eastAsia="en-US"/>
        </w:rPr>
        <w:tab/>
      </w:r>
      <w:proofErr w:type="spellStart"/>
      <w:r w:rsidRPr="00B116E7">
        <w:rPr>
          <w:rFonts w:ascii="Arial" w:hAnsi="Arial" w:cs="Arial"/>
          <w:b/>
          <w:sz w:val="21"/>
          <w:szCs w:val="21"/>
          <w:lang w:eastAsia="en-US"/>
        </w:rPr>
        <w:t>Neoen</w:t>
      </w:r>
      <w:proofErr w:type="spellEnd"/>
    </w:p>
    <w:p w14:paraId="3D52583E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1B1008E2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51318F15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>Description of Project:</w:t>
      </w:r>
      <w:r w:rsidRPr="00B116E7">
        <w:rPr>
          <w:rFonts w:ascii="Arial" w:hAnsi="Arial" w:cs="Arial"/>
          <w:b/>
          <w:sz w:val="21"/>
          <w:szCs w:val="21"/>
          <w:lang w:eastAsia="en-US"/>
        </w:rPr>
        <w:tab/>
      </w:r>
    </w:p>
    <w:p w14:paraId="651BD1FB" w14:textId="52A7617D" w:rsidR="00036C68" w:rsidRPr="00B116E7" w:rsidRDefault="00174A60" w:rsidP="00174A60">
      <w:pPr>
        <w:tabs>
          <w:tab w:val="left" w:pos="2904"/>
          <w:tab w:val="left" w:pos="3907"/>
          <w:tab w:val="left" w:pos="4910"/>
          <w:tab w:val="left" w:pos="5913"/>
          <w:tab w:val="left" w:pos="6916"/>
        </w:tabs>
        <w:rPr>
          <w:rFonts w:ascii="Arial" w:hAnsi="Arial" w:cs="Arial"/>
          <w:color w:val="000000"/>
          <w:sz w:val="21"/>
          <w:szCs w:val="21"/>
        </w:rPr>
      </w:pPr>
      <w:r w:rsidRPr="00B116E7">
        <w:rPr>
          <w:rFonts w:ascii="Arial" w:hAnsi="Arial" w:cs="Arial"/>
          <w:color w:val="000000"/>
          <w:sz w:val="21"/>
          <w:szCs w:val="21"/>
        </w:rPr>
        <w:t xml:space="preserve">The Kentbruck Green Power Hub is a </w:t>
      </w:r>
      <w:r w:rsidR="00471E3F" w:rsidRPr="00B116E7">
        <w:rPr>
          <w:rFonts w:ascii="Arial" w:hAnsi="Arial" w:cs="Arial"/>
          <w:color w:val="000000"/>
          <w:sz w:val="21"/>
          <w:szCs w:val="21"/>
        </w:rPr>
        <w:t xml:space="preserve">proposed </w:t>
      </w:r>
      <w:r w:rsidRPr="00B116E7">
        <w:rPr>
          <w:rFonts w:ascii="Arial" w:hAnsi="Arial" w:cs="Arial"/>
          <w:color w:val="000000"/>
          <w:sz w:val="21"/>
          <w:szCs w:val="21"/>
        </w:rPr>
        <w:t xml:space="preserve">900-megawatt (MW) wind </w:t>
      </w:r>
      <w:r w:rsidR="00B116E7">
        <w:rPr>
          <w:rFonts w:ascii="Arial" w:hAnsi="Arial" w:cs="Arial"/>
          <w:color w:val="000000"/>
          <w:sz w:val="21"/>
          <w:szCs w:val="21"/>
        </w:rPr>
        <w:t>energy</w:t>
      </w:r>
      <w:r w:rsidR="00B116E7" w:rsidRPr="00B116E7">
        <w:rPr>
          <w:rFonts w:ascii="Arial" w:hAnsi="Arial" w:cs="Arial"/>
          <w:color w:val="000000"/>
          <w:sz w:val="21"/>
          <w:szCs w:val="21"/>
        </w:rPr>
        <w:t xml:space="preserve"> </w:t>
      </w:r>
      <w:r w:rsidRPr="00B116E7">
        <w:rPr>
          <w:rFonts w:ascii="Arial" w:hAnsi="Arial" w:cs="Arial"/>
          <w:color w:val="000000"/>
          <w:sz w:val="21"/>
          <w:szCs w:val="21"/>
        </w:rPr>
        <w:t>and battery storage facility</w:t>
      </w:r>
      <w:r w:rsidR="00471E3F" w:rsidRPr="00B116E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B116E7">
        <w:rPr>
          <w:rFonts w:ascii="Arial" w:hAnsi="Arial" w:cs="Arial"/>
          <w:color w:val="000000"/>
          <w:sz w:val="21"/>
          <w:szCs w:val="21"/>
        </w:rPr>
        <w:t xml:space="preserve">located </w:t>
      </w:r>
      <w:r w:rsidRPr="00B116E7">
        <w:rPr>
          <w:rFonts w:ascii="Arial" w:hAnsi="Arial" w:cs="Arial"/>
          <w:sz w:val="21"/>
          <w:szCs w:val="21"/>
        </w:rPr>
        <w:t xml:space="preserve">30 kilometres north west of Portland and approximately 3 kilometres east of Nelson, </w:t>
      </w:r>
      <w:r w:rsidR="00D14DD9" w:rsidRPr="00B116E7">
        <w:rPr>
          <w:rFonts w:ascii="Arial" w:hAnsi="Arial" w:cs="Arial"/>
          <w:sz w:val="21"/>
          <w:szCs w:val="21"/>
        </w:rPr>
        <w:t>within the Glenelg Shire Council, Victoria</w:t>
      </w:r>
      <w:r w:rsidRPr="00B116E7">
        <w:rPr>
          <w:rFonts w:ascii="Arial" w:hAnsi="Arial" w:cs="Arial"/>
          <w:color w:val="000000"/>
          <w:sz w:val="21"/>
          <w:szCs w:val="21"/>
        </w:rPr>
        <w:t>.</w:t>
      </w:r>
    </w:p>
    <w:p w14:paraId="57A68F87" w14:textId="77777777" w:rsidR="00036C68" w:rsidRPr="00B116E7" w:rsidRDefault="00036C68" w:rsidP="00174A60">
      <w:pPr>
        <w:tabs>
          <w:tab w:val="left" w:pos="2904"/>
          <w:tab w:val="left" w:pos="3907"/>
          <w:tab w:val="left" w:pos="4910"/>
          <w:tab w:val="left" w:pos="5913"/>
          <w:tab w:val="left" w:pos="6916"/>
        </w:tabs>
        <w:rPr>
          <w:rFonts w:ascii="Arial" w:hAnsi="Arial" w:cs="Arial"/>
          <w:color w:val="000000"/>
          <w:sz w:val="21"/>
          <w:szCs w:val="21"/>
        </w:rPr>
      </w:pPr>
    </w:p>
    <w:p w14:paraId="300F455D" w14:textId="3A55B8E0" w:rsidR="009E31BC" w:rsidRPr="00B116E7" w:rsidRDefault="00B116E7" w:rsidP="009E31BC">
      <w:pPr>
        <w:tabs>
          <w:tab w:val="left" w:pos="2904"/>
          <w:tab w:val="left" w:pos="3907"/>
          <w:tab w:val="left" w:pos="4910"/>
          <w:tab w:val="left" w:pos="5913"/>
          <w:tab w:val="left" w:pos="6916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</w:t>
      </w:r>
      <w:r w:rsidR="00174A60" w:rsidRPr="00B116E7">
        <w:rPr>
          <w:rFonts w:ascii="Arial" w:hAnsi="Arial" w:cs="Arial"/>
          <w:sz w:val="21"/>
          <w:szCs w:val="21"/>
        </w:rPr>
        <w:t>covers approximate</w:t>
      </w:r>
      <w:r>
        <w:rPr>
          <w:rFonts w:ascii="Arial" w:hAnsi="Arial" w:cs="Arial"/>
          <w:sz w:val="21"/>
          <w:szCs w:val="21"/>
        </w:rPr>
        <w:t>ly</w:t>
      </w:r>
      <w:r w:rsidR="00174A60" w:rsidRPr="00B116E7">
        <w:rPr>
          <w:rFonts w:ascii="Arial" w:hAnsi="Arial" w:cs="Arial"/>
          <w:sz w:val="21"/>
          <w:szCs w:val="21"/>
        </w:rPr>
        <w:t xml:space="preserve"> 7,500 hectares </w:t>
      </w:r>
      <w:r w:rsidR="00036C68" w:rsidRPr="00B116E7">
        <w:rPr>
          <w:rFonts w:ascii="Arial" w:hAnsi="Arial" w:cs="Arial"/>
          <w:sz w:val="21"/>
          <w:szCs w:val="21"/>
        </w:rPr>
        <w:t xml:space="preserve">and </w:t>
      </w:r>
      <w:r w:rsidRPr="00B116E7">
        <w:rPr>
          <w:rFonts w:ascii="Arial" w:hAnsi="Arial" w:cs="Arial"/>
          <w:sz w:val="21"/>
          <w:szCs w:val="21"/>
        </w:rPr>
        <w:t xml:space="preserve">is proposed to </w:t>
      </w:r>
      <w:r w:rsidR="00174A60" w:rsidRPr="00B116E7">
        <w:rPr>
          <w:rFonts w:ascii="Arial" w:hAnsi="Arial" w:cs="Arial"/>
          <w:sz w:val="21"/>
          <w:szCs w:val="21"/>
        </w:rPr>
        <w:t xml:space="preserve">include 157 </w:t>
      </w:r>
      <w:r>
        <w:rPr>
          <w:rFonts w:ascii="Arial" w:hAnsi="Arial" w:cs="Arial"/>
          <w:sz w:val="21"/>
          <w:szCs w:val="21"/>
        </w:rPr>
        <w:t xml:space="preserve">turbines, to be </w:t>
      </w:r>
      <w:r w:rsidR="00521FDE" w:rsidRPr="00B116E7">
        <w:rPr>
          <w:rFonts w:ascii="Arial" w:hAnsi="Arial" w:cs="Arial"/>
          <w:sz w:val="21"/>
          <w:szCs w:val="21"/>
        </w:rPr>
        <w:t>connected to the electricity grid v</w:t>
      </w:r>
      <w:r w:rsidR="00174A60" w:rsidRPr="00B116E7">
        <w:rPr>
          <w:rFonts w:ascii="Arial" w:hAnsi="Arial" w:cs="Arial"/>
          <w:sz w:val="21"/>
          <w:szCs w:val="21"/>
        </w:rPr>
        <w:t xml:space="preserve">ia either a 32 kilometres or 45 kilometres of underground and/or overhead electricity transmission line. </w:t>
      </w:r>
      <w:r w:rsidR="009E31BC" w:rsidRPr="00B116E7">
        <w:rPr>
          <w:rFonts w:ascii="Arial" w:hAnsi="Arial" w:cs="Arial"/>
          <w:sz w:val="21"/>
          <w:szCs w:val="21"/>
        </w:rPr>
        <w:t xml:space="preserve">The project may include the extraction of onsite limestone for use in roads construction, however this is yet to be determined.  </w:t>
      </w:r>
    </w:p>
    <w:p w14:paraId="614424C7" w14:textId="77777777" w:rsidR="00174A60" w:rsidRPr="00B116E7" w:rsidRDefault="00174A60" w:rsidP="00174A60">
      <w:pPr>
        <w:tabs>
          <w:tab w:val="left" w:pos="2904"/>
          <w:tab w:val="left" w:pos="3907"/>
          <w:tab w:val="left" w:pos="4910"/>
          <w:tab w:val="left" w:pos="5913"/>
          <w:tab w:val="left" w:pos="6916"/>
        </w:tabs>
        <w:rPr>
          <w:rFonts w:ascii="Arial" w:hAnsi="Arial" w:cs="Arial"/>
          <w:sz w:val="21"/>
          <w:szCs w:val="21"/>
        </w:rPr>
      </w:pPr>
    </w:p>
    <w:p w14:paraId="5B944AD0" w14:textId="05A22998" w:rsidR="00174A60" w:rsidRPr="00B116E7" w:rsidRDefault="00174A60" w:rsidP="00174A60">
      <w:pPr>
        <w:tabs>
          <w:tab w:val="left" w:pos="2904"/>
          <w:tab w:val="left" w:pos="3907"/>
          <w:tab w:val="left" w:pos="4910"/>
          <w:tab w:val="left" w:pos="5913"/>
          <w:tab w:val="left" w:pos="6916"/>
        </w:tabs>
        <w:rPr>
          <w:rFonts w:ascii="Arial" w:hAnsi="Arial" w:cs="Arial"/>
          <w:sz w:val="21"/>
          <w:szCs w:val="21"/>
        </w:rPr>
      </w:pPr>
      <w:r w:rsidRPr="00B116E7">
        <w:rPr>
          <w:rFonts w:ascii="Arial" w:hAnsi="Arial" w:cs="Arial"/>
          <w:sz w:val="21"/>
          <w:szCs w:val="21"/>
        </w:rPr>
        <w:t xml:space="preserve">Additional permanent infrastructure associated with the project includes: the upgrade of public roads and intersection; internal access tracks up to 10 meters wide; 16 permanent meteorological monitoring masts; up to 8 internal power collection stations; underground and overhead powerlines; a terminal substation; operations building (including car  parking) and a battery storage facility of undetermined battery technology </w:t>
      </w:r>
      <w:r w:rsidR="00B116E7">
        <w:rPr>
          <w:rFonts w:ascii="Arial" w:hAnsi="Arial" w:cs="Arial"/>
          <w:sz w:val="21"/>
          <w:szCs w:val="21"/>
        </w:rPr>
        <w:t>(</w:t>
      </w:r>
      <w:r w:rsidRPr="00B116E7">
        <w:rPr>
          <w:rFonts w:ascii="Arial" w:hAnsi="Arial" w:cs="Arial"/>
          <w:sz w:val="21"/>
          <w:szCs w:val="21"/>
        </w:rPr>
        <w:t>up to 1000MW hours of storage</w:t>
      </w:r>
      <w:r w:rsidR="00B116E7">
        <w:rPr>
          <w:rFonts w:ascii="Arial" w:hAnsi="Arial" w:cs="Arial"/>
          <w:sz w:val="21"/>
          <w:szCs w:val="21"/>
        </w:rPr>
        <w:t>)</w:t>
      </w:r>
      <w:r w:rsidRPr="00B116E7">
        <w:rPr>
          <w:rFonts w:ascii="Arial" w:hAnsi="Arial" w:cs="Arial"/>
          <w:sz w:val="21"/>
          <w:szCs w:val="21"/>
        </w:rPr>
        <w:t xml:space="preserve">. Temporary infrastructure associated with construction will include up to 3 concrete batching plans, hard stand and laydown areas approximately 120 meters by 50 meters, one main construction compound (with site offices, car parking storage, amenities and a workshop) and up to six ancillary construction compounds.  </w:t>
      </w:r>
    </w:p>
    <w:p w14:paraId="6306F197" w14:textId="77777777" w:rsidR="00174A60" w:rsidRPr="00B116E7" w:rsidRDefault="00174A60" w:rsidP="00174A60">
      <w:pPr>
        <w:tabs>
          <w:tab w:val="left" w:pos="2904"/>
          <w:tab w:val="left" w:pos="3907"/>
          <w:tab w:val="left" w:pos="4910"/>
          <w:tab w:val="left" w:pos="5913"/>
          <w:tab w:val="left" w:pos="6916"/>
        </w:tabs>
        <w:rPr>
          <w:rFonts w:ascii="Arial" w:hAnsi="Arial" w:cs="Arial"/>
          <w:sz w:val="21"/>
          <w:szCs w:val="21"/>
        </w:rPr>
      </w:pPr>
    </w:p>
    <w:p w14:paraId="6AAA25AF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1C748F6E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>Decision:</w:t>
      </w:r>
    </w:p>
    <w:p w14:paraId="3EAF352B" w14:textId="77777777" w:rsidR="00C80A96" w:rsidRPr="00B116E7" w:rsidRDefault="00C80A96" w:rsidP="00C80A96">
      <w:pPr>
        <w:spacing w:before="120"/>
        <w:jc w:val="both"/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sz w:val="21"/>
          <w:szCs w:val="21"/>
          <w:lang w:eastAsia="en-US"/>
        </w:rPr>
        <w:t xml:space="preserve">The Minister for Planning has decided that an Environment Effects Statement (EES) </w:t>
      </w:r>
      <w:r w:rsidRPr="00B116E7">
        <w:rPr>
          <w:rFonts w:ascii="Arial" w:hAnsi="Arial" w:cs="Arial"/>
          <w:sz w:val="21"/>
          <w:szCs w:val="21"/>
          <w:u w:val="single"/>
          <w:lang w:eastAsia="en-US"/>
        </w:rPr>
        <w:t xml:space="preserve">is 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required for the Kentbruck Green Power Hub, as described in the referral accepted on </w:t>
      </w:r>
      <w:bookmarkStart w:id="1" w:name="Dateaccepted"/>
      <w:r w:rsidRPr="00B116E7">
        <w:rPr>
          <w:rFonts w:ascii="Arial" w:hAnsi="Arial" w:cs="Arial"/>
          <w:sz w:val="21"/>
          <w:szCs w:val="21"/>
          <w:lang w:eastAsia="en-US"/>
        </w:rPr>
        <w:t xml:space="preserve">24 July </w:t>
      </w:r>
      <w:bookmarkEnd w:id="1"/>
      <w:r w:rsidRPr="00B116E7">
        <w:rPr>
          <w:rFonts w:ascii="Arial" w:hAnsi="Arial" w:cs="Arial"/>
          <w:sz w:val="21"/>
          <w:szCs w:val="21"/>
          <w:lang w:eastAsia="en-US"/>
        </w:rPr>
        <w:t>2019.</w:t>
      </w:r>
    </w:p>
    <w:p w14:paraId="6C16AF7A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3D56BA7B" w14:textId="2F643736" w:rsidR="00C80A96" w:rsidRPr="00B116E7" w:rsidRDefault="00C80A96" w:rsidP="00C80A96">
      <w:pPr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 xml:space="preserve">Reasons for Decision:   </w:t>
      </w:r>
    </w:p>
    <w:p w14:paraId="433CCE89" w14:textId="392252E2" w:rsidR="00C80A96" w:rsidRPr="00B116E7" w:rsidRDefault="00C80A96" w:rsidP="00C80A96">
      <w:pPr>
        <w:numPr>
          <w:ilvl w:val="0"/>
          <w:numId w:val="1"/>
        </w:numPr>
        <w:spacing w:before="180"/>
        <w:ind w:left="714" w:hanging="357"/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sz w:val="21"/>
          <w:szCs w:val="21"/>
          <w:lang w:eastAsia="en-US"/>
        </w:rPr>
        <w:t>The proposal has the potential for a range of significant effects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 that require assessment</w:t>
      </w:r>
      <w:r w:rsidR="0092524D">
        <w:rPr>
          <w:rFonts w:ascii="Arial" w:hAnsi="Arial" w:cs="Arial"/>
          <w:sz w:val="21"/>
          <w:szCs w:val="21"/>
          <w:lang w:eastAsia="en-US"/>
        </w:rPr>
        <w:t xml:space="preserve">. </w:t>
      </w:r>
      <w:proofErr w:type="gramStart"/>
      <w:r w:rsidR="0092524D" w:rsidRPr="0092524D">
        <w:rPr>
          <w:rFonts w:ascii="Arial" w:hAnsi="Arial" w:cs="Arial"/>
          <w:sz w:val="21"/>
          <w:szCs w:val="21"/>
          <w:lang w:eastAsia="en-US"/>
        </w:rPr>
        <w:t>In particular the</w:t>
      </w:r>
      <w:proofErr w:type="gramEnd"/>
      <w:r w:rsidR="0092524D" w:rsidRPr="0092524D">
        <w:rPr>
          <w:rFonts w:ascii="Arial" w:hAnsi="Arial" w:cs="Arial"/>
          <w:sz w:val="21"/>
          <w:szCs w:val="21"/>
          <w:lang w:eastAsia="en-US"/>
        </w:rPr>
        <w:t xml:space="preserve"> project as proposed </w:t>
      </w:r>
      <w:r w:rsidR="0092524D">
        <w:rPr>
          <w:rFonts w:ascii="Arial" w:hAnsi="Arial" w:cs="Arial"/>
          <w:sz w:val="21"/>
          <w:szCs w:val="21"/>
          <w:lang w:eastAsia="en-US"/>
        </w:rPr>
        <w:t xml:space="preserve">could </w:t>
      </w:r>
      <w:r w:rsidR="0092524D" w:rsidRPr="0092524D">
        <w:rPr>
          <w:rFonts w:ascii="Arial" w:hAnsi="Arial" w:cs="Arial"/>
          <w:sz w:val="21"/>
          <w:szCs w:val="21"/>
          <w:lang w:eastAsia="en-US"/>
        </w:rPr>
        <w:t>have significant effects on</w:t>
      </w:r>
      <w:r w:rsidRPr="00B116E7">
        <w:rPr>
          <w:rFonts w:ascii="Arial" w:hAnsi="Arial" w:cs="Arial"/>
          <w:sz w:val="21"/>
          <w:szCs w:val="21"/>
          <w:lang w:eastAsia="en-US"/>
        </w:rPr>
        <w:t>:</w:t>
      </w:r>
    </w:p>
    <w:p w14:paraId="0ECC2D0C" w14:textId="3DAF6793" w:rsidR="00C80A96" w:rsidRPr="00B116E7" w:rsidRDefault="0092524D" w:rsidP="00C80A96">
      <w:pPr>
        <w:numPr>
          <w:ilvl w:val="0"/>
          <w:numId w:val="2"/>
        </w:numPr>
        <w:spacing w:before="180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T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 xml:space="preserve">hreatened fauna listed under both the </w:t>
      </w:r>
      <w:r w:rsidR="007A5D9B" w:rsidRPr="00B116E7">
        <w:rPr>
          <w:rFonts w:ascii="Arial" w:hAnsi="Arial" w:cs="Arial"/>
          <w:i/>
          <w:sz w:val="21"/>
          <w:szCs w:val="21"/>
          <w:lang w:eastAsia="en-US"/>
        </w:rPr>
        <w:t xml:space="preserve">Flora and Fauna Guarantee Act 1988 </w:t>
      </w:r>
      <w:r w:rsidR="007A5D9B" w:rsidRPr="00B116E7">
        <w:rPr>
          <w:rFonts w:ascii="Arial" w:hAnsi="Arial" w:cs="Arial"/>
          <w:sz w:val="21"/>
          <w:szCs w:val="21"/>
          <w:lang w:eastAsia="en-US"/>
        </w:rPr>
        <w:t>(FFG Act)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 xml:space="preserve"> and </w:t>
      </w:r>
      <w:r w:rsidR="00E8148A" w:rsidRPr="00B116E7">
        <w:rPr>
          <w:rFonts w:ascii="Arial" w:hAnsi="Arial" w:cs="Arial"/>
          <w:i/>
          <w:sz w:val="21"/>
          <w:szCs w:val="21"/>
          <w:lang w:eastAsia="en-US"/>
        </w:rPr>
        <w:t>Environment Protect</w:t>
      </w:r>
      <w:r>
        <w:rPr>
          <w:rFonts w:ascii="Arial" w:hAnsi="Arial" w:cs="Arial"/>
          <w:i/>
          <w:sz w:val="21"/>
          <w:szCs w:val="21"/>
          <w:lang w:eastAsia="en-US"/>
        </w:rPr>
        <w:t>ion</w:t>
      </w:r>
      <w:r w:rsidR="00E8148A" w:rsidRPr="00B116E7">
        <w:rPr>
          <w:rFonts w:ascii="Arial" w:hAnsi="Arial" w:cs="Arial"/>
          <w:i/>
          <w:sz w:val="21"/>
          <w:szCs w:val="21"/>
          <w:lang w:eastAsia="en-US"/>
        </w:rPr>
        <w:t xml:space="preserve"> and Biodiversity Conservation Act 1999 </w:t>
      </w:r>
      <w:r w:rsidR="00E8148A" w:rsidRPr="00B116E7">
        <w:rPr>
          <w:rFonts w:ascii="Arial" w:hAnsi="Arial" w:cs="Arial"/>
          <w:sz w:val="21"/>
          <w:szCs w:val="21"/>
          <w:lang w:eastAsia="en-US"/>
        </w:rPr>
        <w:t>(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>EPBC Act</w:t>
      </w:r>
      <w:r w:rsidR="00E8148A" w:rsidRPr="00B116E7">
        <w:rPr>
          <w:rFonts w:ascii="Arial" w:hAnsi="Arial" w:cs="Arial"/>
          <w:sz w:val="21"/>
          <w:szCs w:val="21"/>
          <w:lang w:eastAsia="en-US"/>
        </w:rPr>
        <w:t>)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 xml:space="preserve">, </w:t>
      </w:r>
      <w:r>
        <w:rPr>
          <w:rFonts w:ascii="Arial" w:hAnsi="Arial" w:cs="Arial"/>
          <w:sz w:val="21"/>
          <w:szCs w:val="21"/>
          <w:lang w:eastAsia="en-US"/>
        </w:rPr>
        <w:t xml:space="preserve">including 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>southern bent</w:t>
      </w:r>
      <w:r w:rsidR="00E8148A" w:rsidRPr="00B116E7">
        <w:rPr>
          <w:rFonts w:ascii="Arial" w:hAnsi="Arial" w:cs="Arial"/>
          <w:sz w:val="21"/>
          <w:szCs w:val="21"/>
          <w:lang w:eastAsia="en-US"/>
        </w:rPr>
        <w:t>-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 xml:space="preserve">wing </w:t>
      </w:r>
      <w:r w:rsidR="00E8148A" w:rsidRPr="00B116E7">
        <w:rPr>
          <w:rFonts w:ascii="Arial" w:hAnsi="Arial" w:cs="Arial"/>
          <w:sz w:val="21"/>
          <w:szCs w:val="21"/>
          <w:lang w:eastAsia="en-US"/>
        </w:rPr>
        <w:t>b</w:t>
      </w:r>
      <w:r w:rsidR="00C80A96" w:rsidRPr="00B116E7">
        <w:rPr>
          <w:rFonts w:ascii="Arial" w:hAnsi="Arial" w:cs="Arial"/>
          <w:sz w:val="21"/>
          <w:szCs w:val="21"/>
          <w:lang w:eastAsia="en-US"/>
        </w:rPr>
        <w:t xml:space="preserve">at, red-tailed black cockatoo, orange-bellied parrot, 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as </w:t>
      </w:r>
      <w:r>
        <w:rPr>
          <w:rFonts w:ascii="Arial" w:hAnsi="Arial" w:cs="Arial"/>
          <w:sz w:val="21"/>
          <w:szCs w:val="21"/>
          <w:lang w:eastAsia="en-US"/>
        </w:rPr>
        <w:t xml:space="preserve">well as </w:t>
      </w:r>
      <w:r w:rsidR="007E6633" w:rsidRPr="00B116E7">
        <w:rPr>
          <w:rFonts w:ascii="Arial" w:hAnsi="Arial" w:cs="Arial"/>
          <w:sz w:val="21"/>
          <w:szCs w:val="21"/>
          <w:lang w:eastAsia="en-US"/>
        </w:rPr>
        <w:t>migratory shorebirds</w:t>
      </w:r>
      <w:r>
        <w:rPr>
          <w:rFonts w:ascii="Arial" w:hAnsi="Arial" w:cs="Arial"/>
          <w:sz w:val="21"/>
          <w:szCs w:val="21"/>
          <w:lang w:eastAsia="en-US"/>
        </w:rPr>
        <w:t>.</w:t>
      </w:r>
    </w:p>
    <w:p w14:paraId="185EF84B" w14:textId="0D2546A0" w:rsidR="007E6633" w:rsidRPr="00B116E7" w:rsidRDefault="0092524D" w:rsidP="00C80A96">
      <w:pPr>
        <w:numPr>
          <w:ilvl w:val="0"/>
          <w:numId w:val="2"/>
        </w:numPr>
        <w:spacing w:before="180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T</w:t>
      </w:r>
      <w:r w:rsidR="007E6633" w:rsidRPr="00B116E7">
        <w:rPr>
          <w:rFonts w:ascii="Arial" w:hAnsi="Arial" w:cs="Arial"/>
          <w:sz w:val="21"/>
          <w:szCs w:val="21"/>
          <w:lang w:eastAsia="en-US"/>
        </w:rPr>
        <w:t>hreatened flora</w:t>
      </w:r>
      <w:r w:rsidR="001D0CEF">
        <w:rPr>
          <w:rFonts w:ascii="Arial" w:hAnsi="Arial" w:cs="Arial"/>
          <w:sz w:val="21"/>
          <w:szCs w:val="21"/>
          <w:lang w:eastAsia="en-US"/>
        </w:rPr>
        <w:t xml:space="preserve"> and</w:t>
      </w:r>
      <w:r w:rsidR="007E6633" w:rsidRPr="00B116E7">
        <w:rPr>
          <w:rFonts w:ascii="Arial" w:hAnsi="Arial" w:cs="Arial"/>
          <w:sz w:val="21"/>
          <w:szCs w:val="21"/>
          <w:lang w:eastAsia="en-US"/>
        </w:rPr>
        <w:t xml:space="preserve"> </w:t>
      </w:r>
      <w:r w:rsidR="001D0CEF" w:rsidRPr="00B116E7">
        <w:rPr>
          <w:rFonts w:ascii="Arial" w:hAnsi="Arial" w:cs="Arial"/>
          <w:sz w:val="21"/>
          <w:szCs w:val="21"/>
          <w:lang w:eastAsia="en-US"/>
        </w:rPr>
        <w:t xml:space="preserve">ecological communities </w:t>
      </w:r>
      <w:r w:rsidR="007E6633" w:rsidRPr="00B116E7">
        <w:rPr>
          <w:rFonts w:ascii="Arial" w:hAnsi="Arial" w:cs="Arial"/>
          <w:sz w:val="21"/>
          <w:szCs w:val="21"/>
          <w:lang w:eastAsia="en-US"/>
        </w:rPr>
        <w:t>listed under both the FFG and EPBC Act</w:t>
      </w:r>
      <w:r>
        <w:rPr>
          <w:rFonts w:ascii="Arial" w:hAnsi="Arial" w:cs="Arial"/>
          <w:sz w:val="21"/>
          <w:szCs w:val="21"/>
          <w:lang w:eastAsia="en-US"/>
        </w:rPr>
        <w:t>.</w:t>
      </w:r>
    </w:p>
    <w:p w14:paraId="6624C713" w14:textId="435E4537" w:rsidR="00A35B8E" w:rsidRPr="00B116E7" w:rsidRDefault="00A35B8E" w:rsidP="00A35B8E">
      <w:pPr>
        <w:numPr>
          <w:ilvl w:val="0"/>
          <w:numId w:val="2"/>
        </w:numPr>
        <w:spacing w:before="180"/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sz w:val="21"/>
          <w:szCs w:val="21"/>
          <w:lang w:eastAsia="en-US"/>
        </w:rPr>
        <w:t xml:space="preserve">Aboriginal cultural heritage </w:t>
      </w:r>
      <w:r w:rsidR="0092524D">
        <w:rPr>
          <w:rFonts w:ascii="Arial" w:hAnsi="Arial" w:cs="Arial"/>
          <w:sz w:val="21"/>
          <w:szCs w:val="21"/>
          <w:lang w:eastAsia="en-US"/>
        </w:rPr>
        <w:t>values.</w:t>
      </w:r>
    </w:p>
    <w:p w14:paraId="7530A487" w14:textId="2562DA59" w:rsidR="00A35B8E" w:rsidRPr="00B116E7" w:rsidRDefault="00B116E7" w:rsidP="00A35B8E">
      <w:pPr>
        <w:numPr>
          <w:ilvl w:val="0"/>
          <w:numId w:val="2"/>
        </w:numPr>
        <w:spacing w:before="180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Landscape </w:t>
      </w:r>
      <w:r w:rsidR="00A35B8E" w:rsidRPr="00B116E7">
        <w:rPr>
          <w:rFonts w:ascii="Arial" w:hAnsi="Arial" w:cs="Arial"/>
          <w:sz w:val="21"/>
          <w:szCs w:val="21"/>
          <w:lang w:eastAsia="en-US"/>
        </w:rPr>
        <w:t>values</w:t>
      </w:r>
      <w:r w:rsidR="0092524D">
        <w:rPr>
          <w:rFonts w:ascii="Arial" w:hAnsi="Arial" w:cs="Arial"/>
          <w:sz w:val="21"/>
          <w:szCs w:val="21"/>
          <w:lang w:eastAsia="en-US"/>
        </w:rPr>
        <w:t>.</w:t>
      </w:r>
    </w:p>
    <w:p w14:paraId="7FDA05F4" w14:textId="715B12B7" w:rsidR="00A35B8E" w:rsidRPr="00D6215A" w:rsidRDefault="0092524D">
      <w:pPr>
        <w:numPr>
          <w:ilvl w:val="0"/>
          <w:numId w:val="2"/>
        </w:numPr>
        <w:spacing w:before="180" w:after="120"/>
        <w:ind w:left="1434" w:hanging="357"/>
        <w:rPr>
          <w:rFonts w:ascii="Arial" w:hAnsi="Arial" w:cs="Arial"/>
          <w:sz w:val="21"/>
          <w:szCs w:val="21"/>
          <w:lang w:eastAsia="en-US"/>
        </w:rPr>
      </w:pPr>
      <w:r w:rsidRPr="00D6215A">
        <w:rPr>
          <w:rFonts w:ascii="Arial" w:hAnsi="Arial" w:cs="Arial"/>
          <w:sz w:val="21"/>
          <w:szCs w:val="21"/>
          <w:lang w:eastAsia="en-US"/>
        </w:rPr>
        <w:t>E</w:t>
      </w:r>
      <w:r w:rsidR="00A757BD" w:rsidRPr="00D6215A">
        <w:rPr>
          <w:rFonts w:ascii="Arial" w:hAnsi="Arial" w:cs="Arial"/>
          <w:sz w:val="21"/>
          <w:szCs w:val="21"/>
          <w:lang w:eastAsia="en-US"/>
        </w:rPr>
        <w:t xml:space="preserve">ffects on </w:t>
      </w:r>
      <w:r w:rsidR="00B1462E" w:rsidRPr="00D6215A">
        <w:rPr>
          <w:rFonts w:ascii="Arial" w:hAnsi="Arial" w:cs="Arial"/>
          <w:sz w:val="21"/>
          <w:szCs w:val="21"/>
          <w:lang w:eastAsia="en-US"/>
        </w:rPr>
        <w:t xml:space="preserve">surface </w:t>
      </w:r>
      <w:r w:rsidR="00A757BD" w:rsidRPr="00D6215A">
        <w:rPr>
          <w:rFonts w:ascii="Arial" w:hAnsi="Arial" w:cs="Arial"/>
          <w:sz w:val="21"/>
          <w:szCs w:val="21"/>
          <w:lang w:eastAsia="en-US"/>
        </w:rPr>
        <w:t xml:space="preserve">water </w:t>
      </w:r>
      <w:r w:rsidR="00B1462E" w:rsidRPr="00D6215A">
        <w:rPr>
          <w:rFonts w:ascii="Arial" w:hAnsi="Arial" w:cs="Arial"/>
          <w:sz w:val="21"/>
          <w:szCs w:val="21"/>
          <w:lang w:eastAsia="en-US"/>
        </w:rPr>
        <w:t xml:space="preserve">and groundwater </w:t>
      </w:r>
      <w:r w:rsidR="00A757BD" w:rsidRPr="00D6215A">
        <w:rPr>
          <w:rFonts w:ascii="Arial" w:hAnsi="Arial" w:cs="Arial"/>
          <w:sz w:val="21"/>
          <w:szCs w:val="21"/>
          <w:lang w:eastAsia="en-US"/>
        </w:rPr>
        <w:t xml:space="preserve">and related beneficial uses, including </w:t>
      </w:r>
      <w:r w:rsidR="00B1462E" w:rsidRPr="00D6215A">
        <w:rPr>
          <w:rFonts w:ascii="Arial" w:hAnsi="Arial" w:cs="Arial"/>
          <w:sz w:val="21"/>
          <w:szCs w:val="21"/>
          <w:lang w:eastAsia="en-US"/>
        </w:rPr>
        <w:t xml:space="preserve">risks to </w:t>
      </w:r>
      <w:r w:rsidR="00A757BD" w:rsidRPr="00D6215A">
        <w:rPr>
          <w:rFonts w:ascii="Arial" w:hAnsi="Arial" w:cs="Arial"/>
          <w:sz w:val="21"/>
          <w:szCs w:val="21"/>
          <w:lang w:eastAsia="en-US"/>
        </w:rPr>
        <w:t xml:space="preserve">wetlands </w:t>
      </w:r>
      <w:r w:rsidR="00B1462E" w:rsidRPr="00D6215A">
        <w:rPr>
          <w:rFonts w:ascii="Arial" w:hAnsi="Arial" w:cs="Arial"/>
          <w:sz w:val="21"/>
          <w:szCs w:val="21"/>
          <w:lang w:eastAsia="en-US"/>
        </w:rPr>
        <w:t xml:space="preserve">such as </w:t>
      </w:r>
      <w:r w:rsidR="00A757BD" w:rsidRPr="00D6215A">
        <w:rPr>
          <w:rFonts w:ascii="Arial" w:hAnsi="Arial" w:cs="Arial"/>
          <w:sz w:val="21"/>
          <w:szCs w:val="21"/>
          <w:lang w:eastAsia="en-US"/>
        </w:rPr>
        <w:t xml:space="preserve">Long Swamp </w:t>
      </w:r>
      <w:r w:rsidR="00B1462E" w:rsidRPr="00D6215A">
        <w:rPr>
          <w:rFonts w:ascii="Arial" w:hAnsi="Arial" w:cs="Arial"/>
          <w:sz w:val="21"/>
          <w:szCs w:val="21"/>
          <w:lang w:eastAsia="en-US"/>
        </w:rPr>
        <w:t xml:space="preserve">as well as the </w:t>
      </w:r>
      <w:r w:rsidR="00A757BD" w:rsidRPr="00D6215A">
        <w:rPr>
          <w:rFonts w:ascii="Arial" w:hAnsi="Arial" w:cs="Arial"/>
          <w:sz w:val="21"/>
          <w:szCs w:val="21"/>
          <w:lang w:eastAsia="en-US"/>
        </w:rPr>
        <w:t>Glenelg and Discover Bay Ramsar Site</w:t>
      </w:r>
      <w:r w:rsidR="00D6215A" w:rsidRPr="00D6215A">
        <w:rPr>
          <w:rFonts w:ascii="Arial" w:hAnsi="Arial" w:cs="Arial"/>
          <w:sz w:val="21"/>
          <w:szCs w:val="21"/>
          <w:lang w:eastAsia="en-US"/>
        </w:rPr>
        <w:t>.</w:t>
      </w:r>
    </w:p>
    <w:p w14:paraId="741C7031" w14:textId="3AADD721" w:rsidR="00D862E5" w:rsidRDefault="00810DAF" w:rsidP="0092524D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sz w:val="21"/>
          <w:szCs w:val="21"/>
          <w:lang w:eastAsia="en-US"/>
        </w:rPr>
        <w:lastRenderedPageBreak/>
        <w:t>There are other potential effects</w:t>
      </w:r>
      <w:r w:rsidR="00B1462E">
        <w:rPr>
          <w:rFonts w:ascii="Arial" w:hAnsi="Arial" w:cs="Arial"/>
          <w:sz w:val="21"/>
          <w:szCs w:val="21"/>
          <w:lang w:eastAsia="en-US"/>
        </w:rPr>
        <w:t>,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 </w:t>
      </w:r>
      <w:r w:rsidR="00D862E5" w:rsidRPr="00B116E7">
        <w:rPr>
          <w:rFonts w:ascii="Arial" w:hAnsi="Arial" w:cs="Arial"/>
          <w:sz w:val="21"/>
          <w:szCs w:val="21"/>
          <w:lang w:eastAsia="en-US"/>
        </w:rPr>
        <w:t xml:space="preserve">including 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associated with potential </w:t>
      </w:r>
      <w:r w:rsidR="00D862E5" w:rsidRPr="00B116E7">
        <w:rPr>
          <w:rFonts w:ascii="Arial" w:hAnsi="Arial" w:cs="Arial"/>
          <w:sz w:val="21"/>
          <w:szCs w:val="21"/>
          <w:lang w:eastAsia="en-US"/>
        </w:rPr>
        <w:t xml:space="preserve">acid sulphate soils, 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the local </w:t>
      </w:r>
      <w:r w:rsidR="00D862E5" w:rsidRPr="00B116E7">
        <w:rPr>
          <w:rFonts w:ascii="Arial" w:hAnsi="Arial" w:cs="Arial"/>
          <w:sz w:val="21"/>
          <w:szCs w:val="21"/>
          <w:lang w:eastAsia="en-US"/>
        </w:rPr>
        <w:t>community and amenity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 that</w:t>
      </w:r>
      <w:r w:rsidR="00D862E5" w:rsidRPr="00B116E7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also </w:t>
      </w:r>
      <w:r w:rsidR="00D862E5" w:rsidRPr="00B116E7">
        <w:rPr>
          <w:rFonts w:ascii="Arial" w:hAnsi="Arial" w:cs="Arial"/>
          <w:sz w:val="21"/>
          <w:szCs w:val="21"/>
          <w:lang w:eastAsia="en-US"/>
        </w:rPr>
        <w:t xml:space="preserve">warrant </w:t>
      </w:r>
      <w:r w:rsidR="00B1462E">
        <w:rPr>
          <w:rFonts w:ascii="Arial" w:hAnsi="Arial" w:cs="Arial"/>
          <w:sz w:val="21"/>
          <w:szCs w:val="21"/>
          <w:lang w:eastAsia="en-US"/>
        </w:rPr>
        <w:t>examination</w:t>
      </w:r>
      <w:r w:rsidR="00D862E5" w:rsidRPr="00B116E7">
        <w:rPr>
          <w:rFonts w:ascii="Arial" w:hAnsi="Arial" w:cs="Arial"/>
          <w:sz w:val="21"/>
          <w:szCs w:val="21"/>
          <w:lang w:eastAsia="en-US"/>
        </w:rPr>
        <w:t>.</w:t>
      </w:r>
    </w:p>
    <w:p w14:paraId="0FE03AB1" w14:textId="77777777" w:rsidR="0092524D" w:rsidRPr="0092524D" w:rsidRDefault="0092524D" w:rsidP="0092524D">
      <w:pPr>
        <w:ind w:left="360"/>
        <w:rPr>
          <w:lang w:eastAsia="en-US"/>
        </w:rPr>
      </w:pPr>
    </w:p>
    <w:p w14:paraId="74916F11" w14:textId="76840053" w:rsidR="00C80A96" w:rsidRDefault="00C80A96" w:rsidP="0092524D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sz w:val="21"/>
          <w:szCs w:val="21"/>
          <w:lang w:eastAsia="en-US"/>
        </w:rPr>
        <w:t xml:space="preserve">Assessment of potentially significant effects is necessary to ensure their extent, related uncertainties 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and acceptability </w:t>
      </w:r>
      <w:r w:rsidRPr="00B116E7">
        <w:rPr>
          <w:rFonts w:ascii="Arial" w:hAnsi="Arial" w:cs="Arial"/>
          <w:sz w:val="21"/>
          <w:szCs w:val="21"/>
          <w:lang w:eastAsia="en-US"/>
        </w:rPr>
        <w:t>are sufficiently investigated. This includes examining the scope for fu</w:t>
      </w:r>
      <w:r w:rsidR="00775953" w:rsidRPr="00B116E7">
        <w:rPr>
          <w:rFonts w:ascii="Arial" w:hAnsi="Arial" w:cs="Arial"/>
          <w:sz w:val="21"/>
          <w:szCs w:val="21"/>
          <w:lang w:eastAsia="en-US"/>
        </w:rPr>
        <w:t>r</w:t>
      </w:r>
      <w:r w:rsidRPr="00B116E7">
        <w:rPr>
          <w:rFonts w:ascii="Arial" w:hAnsi="Arial" w:cs="Arial"/>
          <w:sz w:val="21"/>
          <w:szCs w:val="21"/>
          <w:lang w:eastAsia="en-US"/>
        </w:rPr>
        <w:t>ther avoidance</w:t>
      </w:r>
      <w:r w:rsidR="00775953" w:rsidRPr="00B116E7">
        <w:rPr>
          <w:rFonts w:ascii="Arial" w:hAnsi="Arial" w:cs="Arial"/>
          <w:sz w:val="21"/>
          <w:szCs w:val="21"/>
          <w:lang w:eastAsia="en-US"/>
        </w:rPr>
        <w:t xml:space="preserve"> and minimisation of effects via feasible siting</w:t>
      </w:r>
      <w:r w:rsidR="001D0CEF">
        <w:rPr>
          <w:rFonts w:ascii="Arial" w:hAnsi="Arial" w:cs="Arial"/>
          <w:sz w:val="21"/>
          <w:szCs w:val="21"/>
          <w:lang w:eastAsia="en-US"/>
        </w:rPr>
        <w:t>/layout</w:t>
      </w:r>
      <w:r w:rsidR="00775953" w:rsidRPr="00B116E7">
        <w:rPr>
          <w:rFonts w:ascii="Arial" w:hAnsi="Arial" w:cs="Arial"/>
          <w:sz w:val="21"/>
          <w:szCs w:val="21"/>
          <w:lang w:eastAsia="en-US"/>
        </w:rPr>
        <w:t xml:space="preserve">, design and operational alternatives for key components of the proposal, as well as evaluating their effectiveness 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in achieving </w:t>
      </w:r>
      <w:r w:rsidR="00775953" w:rsidRPr="00B116E7">
        <w:rPr>
          <w:rFonts w:ascii="Arial" w:hAnsi="Arial" w:cs="Arial"/>
          <w:sz w:val="21"/>
          <w:szCs w:val="21"/>
          <w:lang w:eastAsia="en-US"/>
        </w:rPr>
        <w:t>acceptab</w:t>
      </w:r>
      <w:r w:rsidR="00B1462E">
        <w:rPr>
          <w:rFonts w:ascii="Arial" w:hAnsi="Arial" w:cs="Arial"/>
          <w:sz w:val="21"/>
          <w:szCs w:val="21"/>
          <w:lang w:eastAsia="en-US"/>
        </w:rPr>
        <w:t xml:space="preserve">le </w:t>
      </w:r>
      <w:r w:rsidR="00775953" w:rsidRPr="00B116E7">
        <w:rPr>
          <w:rFonts w:ascii="Arial" w:hAnsi="Arial" w:cs="Arial"/>
          <w:sz w:val="21"/>
          <w:szCs w:val="21"/>
          <w:lang w:eastAsia="en-US"/>
        </w:rPr>
        <w:t>residual environmental risk</w:t>
      </w:r>
      <w:r w:rsidR="00B1462E">
        <w:rPr>
          <w:rFonts w:ascii="Arial" w:hAnsi="Arial" w:cs="Arial"/>
          <w:sz w:val="21"/>
          <w:szCs w:val="21"/>
          <w:lang w:eastAsia="en-US"/>
        </w:rPr>
        <w:t>s</w:t>
      </w:r>
      <w:r w:rsidR="00775953" w:rsidRPr="00B116E7">
        <w:rPr>
          <w:rFonts w:ascii="Arial" w:hAnsi="Arial" w:cs="Arial"/>
          <w:sz w:val="21"/>
          <w:szCs w:val="21"/>
          <w:lang w:eastAsia="en-US"/>
        </w:rPr>
        <w:t xml:space="preserve">. </w:t>
      </w:r>
    </w:p>
    <w:p w14:paraId="613A45E3" w14:textId="77777777" w:rsidR="0092524D" w:rsidRPr="0092524D" w:rsidRDefault="0092524D" w:rsidP="0092524D">
      <w:pPr>
        <w:ind w:left="360"/>
        <w:rPr>
          <w:rFonts w:ascii="Arial" w:hAnsi="Arial" w:cs="Arial"/>
          <w:sz w:val="21"/>
          <w:szCs w:val="21"/>
          <w:lang w:eastAsia="en-US"/>
        </w:rPr>
      </w:pPr>
    </w:p>
    <w:p w14:paraId="0A5ED240" w14:textId="4DE9F6FB" w:rsidR="00C80A96" w:rsidRPr="0092524D" w:rsidRDefault="000816C5" w:rsidP="0092524D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  <w:sz w:val="21"/>
          <w:szCs w:val="21"/>
          <w:lang w:eastAsia="en-US"/>
        </w:rPr>
      </w:pPr>
      <w:r w:rsidRPr="00B116E7">
        <w:rPr>
          <w:rFonts w:ascii="Arial" w:hAnsi="Arial" w:cs="Arial"/>
          <w:sz w:val="21"/>
          <w:szCs w:val="21"/>
          <w:lang w:eastAsia="en-US"/>
        </w:rPr>
        <w:t>An EES would enable a single integrated</w:t>
      </w:r>
      <w:r w:rsidR="00B1462E">
        <w:rPr>
          <w:rFonts w:ascii="Arial" w:hAnsi="Arial" w:cs="Arial"/>
          <w:sz w:val="21"/>
          <w:szCs w:val="21"/>
          <w:lang w:eastAsia="en-US"/>
        </w:rPr>
        <w:t>, rigorous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 and transparent process for consideration </w:t>
      </w:r>
      <w:r w:rsidR="001D0CEF">
        <w:rPr>
          <w:rFonts w:ascii="Arial" w:hAnsi="Arial" w:cs="Arial"/>
          <w:sz w:val="21"/>
          <w:szCs w:val="21"/>
          <w:lang w:eastAsia="en-US"/>
        </w:rPr>
        <w:t xml:space="preserve">of the proposal’s environmental 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effects </w:t>
      </w:r>
      <w:r w:rsidR="001D0CEF">
        <w:rPr>
          <w:rFonts w:ascii="Arial" w:hAnsi="Arial" w:cs="Arial"/>
          <w:sz w:val="21"/>
          <w:szCs w:val="21"/>
          <w:lang w:eastAsia="en-US"/>
        </w:rPr>
        <w:t xml:space="preserve">and risks, including their acceptability, 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which would inform relevant statutory decision-making, including under the </w:t>
      </w:r>
      <w:r w:rsidRPr="00B116E7">
        <w:rPr>
          <w:rFonts w:ascii="Arial" w:hAnsi="Arial" w:cs="Arial"/>
          <w:i/>
          <w:sz w:val="21"/>
          <w:szCs w:val="21"/>
          <w:lang w:eastAsia="en-US"/>
        </w:rPr>
        <w:t xml:space="preserve">Planning and </w:t>
      </w:r>
      <w:r w:rsidR="002A4202" w:rsidRPr="00B116E7">
        <w:rPr>
          <w:rFonts w:ascii="Arial" w:hAnsi="Arial" w:cs="Arial"/>
          <w:i/>
          <w:sz w:val="21"/>
          <w:szCs w:val="21"/>
          <w:lang w:eastAsia="en-US"/>
        </w:rPr>
        <w:t>Environment</w:t>
      </w:r>
      <w:r w:rsidRPr="00B116E7">
        <w:rPr>
          <w:rFonts w:ascii="Arial" w:hAnsi="Arial" w:cs="Arial"/>
          <w:i/>
          <w:sz w:val="21"/>
          <w:szCs w:val="21"/>
          <w:lang w:eastAsia="en-US"/>
        </w:rPr>
        <w:t xml:space="preserve"> Act 1987,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B116E7">
        <w:rPr>
          <w:rFonts w:ascii="Arial" w:hAnsi="Arial" w:cs="Arial"/>
          <w:i/>
          <w:sz w:val="21"/>
          <w:szCs w:val="21"/>
          <w:lang w:eastAsia="en-US"/>
        </w:rPr>
        <w:t>Aboriginal Heritage Act 2006</w:t>
      </w:r>
      <w:r w:rsidRPr="00B116E7">
        <w:rPr>
          <w:rFonts w:ascii="Arial" w:hAnsi="Arial" w:cs="Arial"/>
          <w:sz w:val="21"/>
          <w:szCs w:val="21"/>
          <w:lang w:eastAsia="en-US"/>
        </w:rPr>
        <w:t xml:space="preserve">, </w:t>
      </w:r>
      <w:r w:rsidRPr="00B116E7">
        <w:rPr>
          <w:rFonts w:ascii="Arial" w:hAnsi="Arial" w:cs="Arial"/>
          <w:i/>
          <w:sz w:val="21"/>
          <w:szCs w:val="21"/>
          <w:lang w:eastAsia="en-US"/>
        </w:rPr>
        <w:t>Flora and Fauna Guarantee Act 1988</w:t>
      </w:r>
      <w:r w:rsidR="006C1B95" w:rsidRPr="00B116E7">
        <w:rPr>
          <w:rFonts w:ascii="Arial" w:hAnsi="Arial" w:cs="Arial"/>
          <w:sz w:val="21"/>
          <w:szCs w:val="21"/>
          <w:lang w:eastAsia="en-US"/>
        </w:rPr>
        <w:t xml:space="preserve"> and </w:t>
      </w:r>
      <w:r w:rsidR="006C1B95" w:rsidRPr="00B116E7">
        <w:rPr>
          <w:rFonts w:ascii="Arial" w:hAnsi="Arial" w:cs="Arial"/>
          <w:i/>
          <w:sz w:val="21"/>
          <w:szCs w:val="21"/>
          <w:lang w:eastAsia="en-US"/>
        </w:rPr>
        <w:t>Water Act 19</w:t>
      </w:r>
      <w:r w:rsidR="002A4202" w:rsidRPr="00B116E7">
        <w:rPr>
          <w:rFonts w:ascii="Arial" w:hAnsi="Arial" w:cs="Arial"/>
          <w:i/>
          <w:sz w:val="21"/>
          <w:szCs w:val="21"/>
          <w:lang w:eastAsia="en-US"/>
        </w:rPr>
        <w:t>89.</w:t>
      </w:r>
    </w:p>
    <w:p w14:paraId="72B49CAA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15EB2789" w14:textId="77777777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</w:p>
    <w:p w14:paraId="79587D52" w14:textId="59D71540" w:rsidR="00C80A96" w:rsidRPr="00B116E7" w:rsidRDefault="00C80A96" w:rsidP="00C80A96">
      <w:pPr>
        <w:rPr>
          <w:rFonts w:ascii="Arial" w:hAnsi="Arial" w:cs="Arial"/>
          <w:b/>
          <w:sz w:val="21"/>
          <w:szCs w:val="21"/>
          <w:lang w:eastAsia="en-US"/>
        </w:rPr>
      </w:pPr>
      <w:r w:rsidRPr="00B116E7">
        <w:rPr>
          <w:rFonts w:ascii="Arial" w:hAnsi="Arial" w:cs="Arial"/>
          <w:b/>
          <w:sz w:val="21"/>
          <w:szCs w:val="21"/>
          <w:lang w:eastAsia="en-US"/>
        </w:rPr>
        <w:t>Date of Decision:</w:t>
      </w:r>
      <w:r w:rsidR="00E12E0F">
        <w:rPr>
          <w:rFonts w:ascii="Arial" w:hAnsi="Arial" w:cs="Arial"/>
          <w:b/>
          <w:sz w:val="21"/>
          <w:szCs w:val="21"/>
          <w:lang w:eastAsia="en-US"/>
        </w:rPr>
        <w:t xml:space="preserve"> 25/08/2019</w:t>
      </w:r>
    </w:p>
    <w:p w14:paraId="52CCA8BA" w14:textId="77777777" w:rsidR="00C80A96" w:rsidRPr="00B116E7" w:rsidRDefault="00C80A96" w:rsidP="00C80A96">
      <w:pPr>
        <w:rPr>
          <w:rFonts w:ascii="Arial" w:hAnsi="Arial" w:cs="Arial"/>
          <w:sz w:val="21"/>
          <w:szCs w:val="21"/>
          <w:lang w:eastAsia="en-US"/>
        </w:rPr>
      </w:pPr>
      <w:bookmarkStart w:id="2" w:name="_GoBack"/>
      <w:bookmarkEnd w:id="2"/>
    </w:p>
    <w:p w14:paraId="1071BDD1" w14:textId="77777777" w:rsidR="00C80A96" w:rsidRPr="00B116E7" w:rsidRDefault="00C80A96" w:rsidP="00C80A96">
      <w:pPr>
        <w:rPr>
          <w:rFonts w:ascii="Arial" w:hAnsi="Arial" w:cs="Arial"/>
          <w:sz w:val="21"/>
          <w:szCs w:val="21"/>
          <w:lang w:eastAsia="en-US"/>
        </w:rPr>
      </w:pPr>
    </w:p>
    <w:p w14:paraId="768BB105" w14:textId="77777777" w:rsidR="00C80A96" w:rsidRPr="00B116E7" w:rsidRDefault="00C80A96" w:rsidP="00C80A96">
      <w:pPr>
        <w:rPr>
          <w:rFonts w:ascii="Arial" w:hAnsi="Arial" w:cs="Arial"/>
          <w:sz w:val="21"/>
          <w:szCs w:val="21"/>
          <w:lang w:eastAsia="en-US"/>
        </w:rPr>
      </w:pPr>
    </w:p>
    <w:p w14:paraId="68131290" w14:textId="77777777" w:rsidR="009B3D3D" w:rsidRPr="00B116E7" w:rsidRDefault="00E12E0F">
      <w:pPr>
        <w:rPr>
          <w:rFonts w:ascii="Arial" w:hAnsi="Arial" w:cs="Arial"/>
          <w:sz w:val="21"/>
          <w:szCs w:val="21"/>
        </w:rPr>
      </w:pPr>
    </w:p>
    <w:sectPr w:rsidR="009B3D3D" w:rsidRPr="00B11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1C9B" w14:textId="77777777" w:rsidR="004C2004" w:rsidRDefault="004C2004" w:rsidP="00224C7A">
      <w:r>
        <w:separator/>
      </w:r>
    </w:p>
  </w:endnote>
  <w:endnote w:type="continuationSeparator" w:id="0">
    <w:p w14:paraId="42976835" w14:textId="77777777" w:rsidR="004C2004" w:rsidRDefault="004C2004" w:rsidP="0022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FCB2" w14:textId="77777777" w:rsidR="00224C7A" w:rsidRDefault="00224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DEA89" w14:textId="77777777" w:rsidR="00224C7A" w:rsidRDefault="00224C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44A3C" w14:textId="77777777" w:rsidR="00224C7A" w:rsidRDefault="00224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12ECF" w14:textId="77777777" w:rsidR="004C2004" w:rsidRDefault="004C2004" w:rsidP="00224C7A">
      <w:r>
        <w:separator/>
      </w:r>
    </w:p>
  </w:footnote>
  <w:footnote w:type="continuationSeparator" w:id="0">
    <w:p w14:paraId="27CB0ACF" w14:textId="77777777" w:rsidR="004C2004" w:rsidRDefault="004C2004" w:rsidP="0022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0702" w14:textId="77777777" w:rsidR="00224C7A" w:rsidRDefault="00224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9C60" w14:textId="4B27F939" w:rsidR="00224C7A" w:rsidRDefault="00224C7A" w:rsidP="00224C7A">
    <w:pPr>
      <w:pStyle w:val="Header"/>
      <w:jc w:val="right"/>
    </w:pPr>
    <w:r w:rsidRPr="00224C7A">
      <w:rPr>
        <w:rFonts w:ascii="Arial" w:hAnsi="Arial" w:cs="Arial"/>
        <w:sz w:val="20"/>
        <w:szCs w:val="20"/>
      </w:rPr>
      <w:t xml:space="preserve">Attachment 2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R</w:t>
    </w:r>
    <w:r w:rsidRPr="00D976F8">
      <w:rPr>
        <w:rFonts w:ascii="Arial" w:hAnsi="Arial" w:cs="Arial"/>
        <w:sz w:val="20"/>
        <w:szCs w:val="20"/>
      </w:rPr>
      <w:t xml:space="preserve">EFERRAL </w:t>
    </w:r>
    <w:r>
      <w:rPr>
        <w:rFonts w:ascii="Arial" w:hAnsi="Arial" w:cs="Arial"/>
        <w:sz w:val="20"/>
        <w:szCs w:val="20"/>
      </w:rPr>
      <w:t xml:space="preserve">NUMBER </w:t>
    </w:r>
    <w:r w:rsidRPr="005C7E25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9</w:t>
    </w:r>
    <w:r w:rsidRPr="005C7E25">
      <w:rPr>
        <w:rFonts w:ascii="Arial" w:hAnsi="Arial" w:cs="Arial"/>
        <w:sz w:val="20"/>
        <w:szCs w:val="20"/>
      </w:rPr>
      <w:t>-0</w:t>
    </w:r>
    <w:r>
      <w:rPr>
        <w:rFonts w:ascii="Arial" w:hAnsi="Arial" w:cs="Arial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675D" w14:textId="77777777" w:rsidR="00224C7A" w:rsidRDefault="00224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426"/>
    <w:multiLevelType w:val="hybridMultilevel"/>
    <w:tmpl w:val="FDB0E70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40345E"/>
    <w:multiLevelType w:val="hybridMultilevel"/>
    <w:tmpl w:val="6BA8A874"/>
    <w:lvl w:ilvl="0" w:tplc="E2FEDD1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99D7697"/>
    <w:multiLevelType w:val="hybridMultilevel"/>
    <w:tmpl w:val="6712B7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5562"/>
    <w:multiLevelType w:val="hybridMultilevel"/>
    <w:tmpl w:val="02C22784"/>
    <w:lvl w:ilvl="0" w:tplc="F8E8A4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173" w:hanging="180"/>
      </w:pPr>
    </w:lvl>
    <w:lvl w:ilvl="3" w:tplc="0C090013">
      <w:start w:val="1"/>
      <w:numFmt w:val="upperRoman"/>
      <w:lvlText w:val="%4."/>
      <w:lvlJc w:val="right"/>
      <w:pPr>
        <w:ind w:left="1919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6"/>
    <w:rsid w:val="000153E5"/>
    <w:rsid w:val="00036C68"/>
    <w:rsid w:val="000816C5"/>
    <w:rsid w:val="000D469D"/>
    <w:rsid w:val="00112B8E"/>
    <w:rsid w:val="00174A60"/>
    <w:rsid w:val="001A5D6E"/>
    <w:rsid w:val="001D0CEF"/>
    <w:rsid w:val="001F102D"/>
    <w:rsid w:val="00224C7A"/>
    <w:rsid w:val="002A4202"/>
    <w:rsid w:val="002F3A4B"/>
    <w:rsid w:val="00426D2F"/>
    <w:rsid w:val="00455412"/>
    <w:rsid w:val="00471E3F"/>
    <w:rsid w:val="004C2004"/>
    <w:rsid w:val="00521FDE"/>
    <w:rsid w:val="00543EFC"/>
    <w:rsid w:val="006C1B95"/>
    <w:rsid w:val="006D7736"/>
    <w:rsid w:val="006E0FDB"/>
    <w:rsid w:val="00714DA5"/>
    <w:rsid w:val="00761A23"/>
    <w:rsid w:val="00775953"/>
    <w:rsid w:val="007A5D9B"/>
    <w:rsid w:val="007E6633"/>
    <w:rsid w:val="00810DAF"/>
    <w:rsid w:val="0086729B"/>
    <w:rsid w:val="0092524D"/>
    <w:rsid w:val="009E31BC"/>
    <w:rsid w:val="00A35B8E"/>
    <w:rsid w:val="00A757BD"/>
    <w:rsid w:val="00A95FF7"/>
    <w:rsid w:val="00B116E7"/>
    <w:rsid w:val="00B1462E"/>
    <w:rsid w:val="00B24918"/>
    <w:rsid w:val="00C80A96"/>
    <w:rsid w:val="00CA3526"/>
    <w:rsid w:val="00D14DD9"/>
    <w:rsid w:val="00D6215A"/>
    <w:rsid w:val="00D862E5"/>
    <w:rsid w:val="00DA25BF"/>
    <w:rsid w:val="00E12E0F"/>
    <w:rsid w:val="00E8148A"/>
    <w:rsid w:val="00F06EDB"/>
    <w:rsid w:val="00F1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CF71"/>
  <w15:chartTrackingRefBased/>
  <w15:docId w15:val="{C31DBE8B-43CD-4A79-9C3E-D976E9C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B8E"/>
    <w:pPr>
      <w:ind w:left="720"/>
      <w:contextualSpacing/>
    </w:pPr>
  </w:style>
  <w:style w:type="paragraph" w:customStyle="1" w:styleId="Subbullet">
    <w:name w:val="Subbullet"/>
    <w:basedOn w:val="Normal"/>
    <w:qFormat/>
    <w:rsid w:val="000153E5"/>
    <w:pPr>
      <w:spacing w:after="120"/>
      <w:ind w:left="700" w:hanging="360"/>
      <w:jc w:val="both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2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4D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55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1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1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24C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C7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24C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C7A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3B436679590409E192407EF066FE7" ma:contentTypeVersion="23" ma:contentTypeDescription="Create a new document." ma:contentTypeScope="" ma:versionID="85722f5d72455188f54ffc25acf0d27d">
  <xsd:schema xmlns:xsd="http://www.w3.org/2001/XMLSchema" xmlns:xs="http://www.w3.org/2001/XMLSchema" xmlns:p="http://schemas.microsoft.com/office/2006/metadata/properties" xmlns:ns3="a5f32de4-e402-4188-b034-e71ca7d22e54" xmlns:ns4="bd220c1b-46f4-4937-8f34-5119b5148c7c" xmlns:ns5="531915db-e269-4d7d-8fa3-94f293cb7ab4" targetNamespace="http://schemas.microsoft.com/office/2006/metadata/properties" ma:root="true" ma:fieldsID="2abf827c9736a21bac541131d7694721" ns3:_="" ns4:_="" ns5:_="">
    <xsd:import namespace="a5f32de4-e402-4188-b034-e71ca7d22e54"/>
    <xsd:import namespace="bd220c1b-46f4-4937-8f34-5119b5148c7c"/>
    <xsd:import namespace="531915db-e269-4d7d-8fa3-94f293cb7ab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20c1b-46f4-4937-8f34-5119b514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15db-e269-4d7d-8fa3-94f293cb7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8FF50-3578-4BE5-A567-A2C57D382AD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D426DE7-1DDC-4F69-B064-41D125B564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72E9D3-8E17-48AE-8802-6E17CAE85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CDDA3-3F1C-4FA8-8CC0-8910B5410C49}">
  <ds:schemaRefs>
    <ds:schemaRef ds:uri="a5f32de4-e402-4188-b034-e71ca7d22e5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bd220c1b-46f4-4937-8f34-5119b5148c7c"/>
    <ds:schemaRef ds:uri="http://schemas.microsoft.com/office/infopath/2007/PartnerControls"/>
    <ds:schemaRef ds:uri="http://schemas.microsoft.com/office/2006/documentManagement/types"/>
    <ds:schemaRef ds:uri="531915db-e269-4d7d-8fa3-94f293cb7ab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DE7BA1-A86E-4888-A578-45C524436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bd220c1b-46f4-4937-8f34-5119b5148c7c"/>
    <ds:schemaRef ds:uri="531915db-e269-4d7d-8fa3-94f293c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W Schlen (DELWP)</dc:creator>
  <cp:keywords/>
  <dc:description/>
  <cp:lastModifiedBy>Talia W Schlen (DELWP)</cp:lastModifiedBy>
  <cp:revision>39</cp:revision>
  <dcterms:created xsi:type="dcterms:W3CDTF">2019-08-07T06:29:00Z</dcterms:created>
  <dcterms:modified xsi:type="dcterms:W3CDTF">2019-08-27T00:24:00Z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0x0101005DE3B436679590409E192407EF066FE7</vt:lpwstr>
  </property>
</Properties>
</file>