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21413" w14:textId="77777777" w:rsidR="00B30AF9" w:rsidRPr="00B422DD" w:rsidRDefault="00B30AF9" w:rsidP="00B30AF9">
      <w:pPr>
        <w:rPr>
          <w:rFonts w:ascii="Arial" w:hAnsi="Arial" w:cs="Arial"/>
          <w:sz w:val="20"/>
          <w:szCs w:val="20"/>
        </w:rPr>
      </w:pPr>
      <w:r w:rsidRPr="00B422DD">
        <w:rPr>
          <w:rFonts w:ascii="Arial" w:hAnsi="Arial" w:cs="Arial"/>
          <w:sz w:val="20"/>
          <w:szCs w:val="20"/>
        </w:rPr>
        <w:t xml:space="preserve">This version of </w:t>
      </w:r>
      <w:r w:rsidR="0025214D" w:rsidRPr="00B422DD">
        <w:rPr>
          <w:rFonts w:ascii="Arial" w:hAnsi="Arial" w:cs="Arial"/>
          <w:b/>
          <w:bCs/>
          <w:sz w:val="20"/>
          <w:szCs w:val="20"/>
        </w:rPr>
        <w:t>Planning Advisory Note 74</w:t>
      </w:r>
      <w:r w:rsidRPr="00B422DD">
        <w:rPr>
          <w:rFonts w:ascii="Arial" w:hAnsi="Arial" w:cs="Arial"/>
          <w:b/>
          <w:bCs/>
          <w:sz w:val="20"/>
          <w:szCs w:val="20"/>
        </w:rPr>
        <w:t xml:space="preserve">: Amendment VC152 </w:t>
      </w:r>
      <w:r w:rsidRPr="00B422DD">
        <w:rPr>
          <w:rFonts w:ascii="Arial" w:hAnsi="Arial" w:cs="Arial"/>
          <w:sz w:val="20"/>
          <w:szCs w:val="20"/>
        </w:rPr>
        <w:t xml:space="preserve">has been prepared for use with screen reader software. The printed publication contains various design features that have been necessarily omitted from this version. In other respects, this document contains identical text to that in the PDF version of the document which is available at </w:t>
      </w:r>
      <w:hyperlink r:id="rId5" w:history="1">
        <w:r w:rsidRPr="00B422DD">
          <w:rPr>
            <w:rStyle w:val="Hyperlink"/>
            <w:rFonts w:ascii="Arial" w:hAnsi="Arial" w:cs="Arial"/>
            <w:sz w:val="20"/>
            <w:szCs w:val="20"/>
          </w:rPr>
          <w:t>www.planning.vic.gov.au</w:t>
        </w:r>
      </w:hyperlink>
      <w:r w:rsidRPr="00B422DD">
        <w:rPr>
          <w:rFonts w:ascii="Arial" w:hAnsi="Arial" w:cs="Arial"/>
          <w:sz w:val="20"/>
          <w:szCs w:val="20"/>
        </w:rPr>
        <w:t xml:space="preserve"> </w:t>
      </w:r>
    </w:p>
    <w:p w14:paraId="6E890520" w14:textId="77777777" w:rsidR="00B30AF9" w:rsidRDefault="00B30AF9" w:rsidP="00B30AF9">
      <w:pPr>
        <w:pBdr>
          <w:bottom w:val="single" w:sz="4" w:space="1" w:color="auto"/>
        </w:pBdr>
        <w:rPr>
          <w:rFonts w:ascii="Arial" w:hAnsi="Arial" w:cs="Arial"/>
          <w:b/>
        </w:rPr>
      </w:pPr>
    </w:p>
    <w:p w14:paraId="19968FDE" w14:textId="77777777" w:rsidR="00B30AF9" w:rsidRPr="00034E32" w:rsidRDefault="00B30AF9" w:rsidP="00B30AF9">
      <w:pPr>
        <w:rPr>
          <w:rFonts w:ascii="Arial" w:hAnsi="Arial" w:cs="Arial"/>
          <w:b/>
        </w:rPr>
      </w:pPr>
      <w:r>
        <w:rPr>
          <w:rFonts w:ascii="Arial" w:hAnsi="Arial" w:cs="Arial"/>
          <w:b/>
        </w:rPr>
        <w:t>Planning Advisory Note 74</w:t>
      </w:r>
    </w:p>
    <w:p w14:paraId="53A6509E" w14:textId="006CBFAD" w:rsidR="005C6123" w:rsidRPr="005C6123" w:rsidRDefault="00B30AF9" w:rsidP="005C6123">
      <w:pPr>
        <w:keepNext/>
        <w:spacing w:before="120" w:after="240"/>
        <w:rPr>
          <w:rFonts w:ascii="Arial" w:hAnsi="Arial" w:cs="Arial"/>
          <w:b/>
          <w:sz w:val="28"/>
          <w:szCs w:val="24"/>
        </w:rPr>
      </w:pPr>
      <w:r w:rsidRPr="0084759F">
        <w:rPr>
          <w:rFonts w:ascii="Arial" w:hAnsi="Arial" w:cs="Arial"/>
          <w:b/>
          <w:sz w:val="28"/>
          <w:szCs w:val="24"/>
        </w:rPr>
        <w:t>Amendment VC152</w:t>
      </w:r>
      <w:r w:rsidR="005C6123">
        <w:rPr>
          <w:rFonts w:ascii="Arial" w:hAnsi="Arial" w:cs="Arial"/>
          <w:b/>
          <w:sz w:val="28"/>
          <w:szCs w:val="24"/>
        </w:rPr>
        <w:t xml:space="preserve"> Major hazard facilities, R</w:t>
      </w:r>
      <w:r w:rsidR="005C6123" w:rsidRPr="005C6123">
        <w:rPr>
          <w:rFonts w:ascii="Arial" w:hAnsi="Arial" w:cs="Arial"/>
          <w:b/>
          <w:sz w:val="28"/>
          <w:szCs w:val="24"/>
        </w:rPr>
        <w:t>esid</w:t>
      </w:r>
      <w:r w:rsidR="005C6123">
        <w:rPr>
          <w:rFonts w:ascii="Arial" w:hAnsi="Arial" w:cs="Arial"/>
          <w:b/>
          <w:sz w:val="28"/>
          <w:szCs w:val="24"/>
        </w:rPr>
        <w:t>ential aged care facilities, P</w:t>
      </w:r>
      <w:r w:rsidR="005C6123" w:rsidRPr="005C6123">
        <w:rPr>
          <w:rFonts w:ascii="Arial" w:hAnsi="Arial" w:cs="Arial"/>
          <w:b/>
          <w:sz w:val="28"/>
          <w:szCs w:val="24"/>
        </w:rPr>
        <w:t xml:space="preserve">ublic and shared housing. </w:t>
      </w:r>
    </w:p>
    <w:p w14:paraId="4019F936" w14:textId="6794FBFB" w:rsidR="00B30AF9" w:rsidRPr="0084759F" w:rsidRDefault="00B30AF9" w:rsidP="00B30AF9">
      <w:pPr>
        <w:keepNext/>
        <w:spacing w:before="120" w:after="240"/>
        <w:rPr>
          <w:rFonts w:ascii="Arial" w:hAnsi="Arial" w:cs="Arial"/>
          <w:b/>
          <w:sz w:val="28"/>
          <w:szCs w:val="24"/>
        </w:rPr>
      </w:pPr>
    </w:p>
    <w:p w14:paraId="3F7A63FC" w14:textId="77777777" w:rsidR="00B30AF9" w:rsidRPr="00DB5991" w:rsidRDefault="00B30AF9" w:rsidP="00B30AF9">
      <w:pPr>
        <w:rPr>
          <w:rFonts w:ascii="Arial" w:hAnsi="Arial" w:cs="Arial"/>
          <w:b/>
          <w:sz w:val="20"/>
          <w:szCs w:val="20"/>
        </w:rPr>
      </w:pPr>
      <w:r w:rsidRPr="00DB5991">
        <w:rPr>
          <w:rFonts w:ascii="Arial" w:hAnsi="Arial" w:cs="Arial"/>
          <w:b/>
          <w:sz w:val="20"/>
          <w:szCs w:val="20"/>
        </w:rPr>
        <w:t>October 2018</w:t>
      </w:r>
    </w:p>
    <w:p w14:paraId="555A8C71" w14:textId="77777777" w:rsidR="00B30AF9" w:rsidRDefault="00B30AF9" w:rsidP="00B30AF9">
      <w:pPr>
        <w:pStyle w:val="BodyText1"/>
      </w:pPr>
      <w:r w:rsidRPr="00DB5991">
        <w:t xml:space="preserve">This advisory note provides information about the changes made to the </w:t>
      </w:r>
      <w:r w:rsidRPr="00241668">
        <w:rPr>
          <w:i/>
        </w:rPr>
        <w:t>Victoria Planning Provisions</w:t>
      </w:r>
      <w:r w:rsidRPr="00DB5991">
        <w:t xml:space="preserve"> (VPP) and </w:t>
      </w:r>
      <w:r>
        <w:t>all</w:t>
      </w:r>
      <w:r w:rsidRPr="00DB5991">
        <w:t xml:space="preserve"> planning schemes by Amendment VC152, </w:t>
      </w:r>
      <w:r>
        <w:t>relating to:</w:t>
      </w:r>
    </w:p>
    <w:p w14:paraId="0DCAB959" w14:textId="550F6443" w:rsidR="00B30AF9" w:rsidRPr="009A1371" w:rsidRDefault="005C6123" w:rsidP="00B30AF9">
      <w:pPr>
        <w:pStyle w:val="ListParagraph"/>
        <w:numPr>
          <w:ilvl w:val="0"/>
          <w:numId w:val="2"/>
        </w:numPr>
        <w:spacing w:line="240" w:lineRule="auto"/>
        <w:ind w:left="357" w:hanging="357"/>
        <w:contextualSpacing w:val="0"/>
        <w:rPr>
          <w:rFonts w:ascii="Arial" w:hAnsi="Arial" w:cs="Arial"/>
          <w:sz w:val="20"/>
          <w:szCs w:val="20"/>
        </w:rPr>
      </w:pPr>
      <w:bookmarkStart w:id="0" w:name="_Hlk528227532"/>
      <w:r>
        <w:rPr>
          <w:rFonts w:ascii="Arial" w:hAnsi="Arial" w:cs="Arial"/>
          <w:sz w:val="20"/>
          <w:szCs w:val="20"/>
        </w:rPr>
        <w:t>M</w:t>
      </w:r>
      <w:r w:rsidR="00B30AF9" w:rsidRPr="009A1371">
        <w:rPr>
          <w:rFonts w:ascii="Arial" w:hAnsi="Arial" w:cs="Arial"/>
          <w:sz w:val="20"/>
          <w:szCs w:val="20"/>
        </w:rPr>
        <w:t>ajor hazard facilities;</w:t>
      </w:r>
    </w:p>
    <w:p w14:paraId="35354D32" w14:textId="6A2A7766" w:rsidR="00B30AF9" w:rsidRPr="009A1371" w:rsidRDefault="005C6123" w:rsidP="00B30AF9">
      <w:pPr>
        <w:pStyle w:val="ListParagraph"/>
        <w:numPr>
          <w:ilvl w:val="0"/>
          <w:numId w:val="2"/>
        </w:numPr>
        <w:spacing w:line="240" w:lineRule="auto"/>
        <w:ind w:left="357" w:hanging="357"/>
        <w:contextualSpacing w:val="0"/>
        <w:rPr>
          <w:rFonts w:ascii="Arial" w:hAnsi="Arial" w:cs="Arial"/>
          <w:sz w:val="20"/>
          <w:szCs w:val="20"/>
        </w:rPr>
      </w:pPr>
      <w:r>
        <w:rPr>
          <w:rFonts w:ascii="Arial" w:hAnsi="Arial" w:cs="Arial"/>
          <w:sz w:val="20"/>
          <w:szCs w:val="20"/>
        </w:rPr>
        <w:t>R</w:t>
      </w:r>
      <w:r w:rsidR="00B30AF9" w:rsidRPr="009A1371">
        <w:rPr>
          <w:rFonts w:ascii="Arial" w:hAnsi="Arial" w:cs="Arial"/>
          <w:sz w:val="20"/>
          <w:szCs w:val="20"/>
        </w:rPr>
        <w:t>esidential aged care facilities; and</w:t>
      </w:r>
      <w:bookmarkStart w:id="1" w:name="_GoBack"/>
      <w:bookmarkEnd w:id="1"/>
    </w:p>
    <w:p w14:paraId="58DF440A" w14:textId="447B73C0" w:rsidR="00B30AF9" w:rsidRPr="009A1371" w:rsidRDefault="005C6123" w:rsidP="00B30AF9">
      <w:pPr>
        <w:pStyle w:val="ListParagraph"/>
        <w:numPr>
          <w:ilvl w:val="0"/>
          <w:numId w:val="2"/>
        </w:numPr>
        <w:spacing w:line="240" w:lineRule="auto"/>
        <w:ind w:left="357" w:hanging="357"/>
        <w:contextualSpacing w:val="0"/>
        <w:rPr>
          <w:rFonts w:ascii="Arial" w:hAnsi="Arial" w:cs="Arial"/>
          <w:sz w:val="20"/>
          <w:szCs w:val="20"/>
        </w:rPr>
      </w:pPr>
      <w:r>
        <w:rPr>
          <w:rFonts w:ascii="Arial" w:hAnsi="Arial" w:cs="Arial"/>
          <w:sz w:val="20"/>
          <w:szCs w:val="20"/>
        </w:rPr>
        <w:t>P</w:t>
      </w:r>
      <w:r w:rsidR="00B30AF9" w:rsidRPr="009A1371">
        <w:rPr>
          <w:rFonts w:ascii="Arial" w:hAnsi="Arial" w:cs="Arial"/>
          <w:sz w:val="20"/>
          <w:szCs w:val="20"/>
        </w:rPr>
        <w:t xml:space="preserve">ublic and shared housing. </w:t>
      </w:r>
    </w:p>
    <w:bookmarkEnd w:id="0"/>
    <w:p w14:paraId="08421B6A" w14:textId="77777777" w:rsidR="00B30AF9" w:rsidRPr="00C05B26" w:rsidRDefault="00B30AF9" w:rsidP="00B30AF9">
      <w:pPr>
        <w:keepNext/>
        <w:rPr>
          <w:rFonts w:ascii="Arial" w:hAnsi="Arial" w:cs="Arial"/>
          <w:b/>
          <w:sz w:val="28"/>
          <w:szCs w:val="24"/>
        </w:rPr>
      </w:pPr>
      <w:r w:rsidRPr="00C05B26">
        <w:rPr>
          <w:rFonts w:ascii="Arial" w:hAnsi="Arial" w:cs="Arial"/>
          <w:b/>
          <w:sz w:val="28"/>
          <w:szCs w:val="24"/>
        </w:rPr>
        <w:t>Major hazard facilities</w:t>
      </w:r>
    </w:p>
    <w:p w14:paraId="223D90C6" w14:textId="77777777" w:rsidR="00EA0A15" w:rsidRDefault="00EA0A15" w:rsidP="00EA0A15">
      <w:pPr>
        <w:rPr>
          <w:rFonts w:ascii="Arial" w:hAnsi="Arial" w:cs="Arial"/>
          <w:sz w:val="20"/>
          <w:szCs w:val="20"/>
        </w:rPr>
      </w:pPr>
      <w:r w:rsidRPr="00EA0A15">
        <w:rPr>
          <w:rFonts w:ascii="Arial" w:hAnsi="Arial" w:cs="Arial"/>
          <w:sz w:val="20"/>
          <w:szCs w:val="20"/>
        </w:rPr>
        <w:t>The safety and amenity of residents living in areas near major hazard facilities is a priority for the Victorian Government, along with ensuring the continued viability and growth of these industries.</w:t>
      </w:r>
    </w:p>
    <w:p w14:paraId="0F6DBB7E" w14:textId="68947446" w:rsidR="00EA0A15" w:rsidRPr="00EA0A15" w:rsidRDefault="00EA0A15" w:rsidP="00EA0A15">
      <w:pPr>
        <w:rPr>
          <w:rFonts w:ascii="Arial" w:hAnsi="Arial" w:cs="Arial"/>
          <w:sz w:val="20"/>
          <w:szCs w:val="20"/>
        </w:rPr>
      </w:pPr>
      <w:r>
        <w:rPr>
          <w:rFonts w:ascii="Arial" w:hAnsi="Arial" w:cs="Arial"/>
          <w:sz w:val="20"/>
          <w:szCs w:val="20"/>
        </w:rPr>
        <w:t>In January 2018, the G</w:t>
      </w:r>
      <w:r w:rsidRPr="00EA0A15">
        <w:rPr>
          <w:rFonts w:ascii="Arial" w:hAnsi="Arial" w:cs="Arial"/>
          <w:sz w:val="20"/>
          <w:szCs w:val="20"/>
        </w:rPr>
        <w:t>overnment released its response to the Major Hazard Facilities Advisory Committee Report on how to better manage land surrounding major hazard facilities.</w:t>
      </w:r>
    </w:p>
    <w:p w14:paraId="63BAA84A" w14:textId="77777777" w:rsidR="00EA0A15" w:rsidRDefault="00BA043D" w:rsidP="00EA0A15">
      <w:pPr>
        <w:rPr>
          <w:rFonts w:ascii="Arial" w:hAnsi="Arial" w:cs="Arial"/>
          <w:sz w:val="20"/>
          <w:szCs w:val="20"/>
        </w:rPr>
      </w:pPr>
      <w:hyperlink r:id="rId6" w:history="1">
        <w:r w:rsidR="00EA0A15" w:rsidRPr="00BA043D">
          <w:rPr>
            <w:rStyle w:val="Hyperlink"/>
            <w:rFonts w:ascii="Arial" w:hAnsi="Arial" w:cs="Arial"/>
            <w:sz w:val="20"/>
            <w:szCs w:val="20"/>
          </w:rPr>
          <w:t>Major Hazard Facilities - Government Response to Final Report (PDF, 1.5 MB)</w:t>
        </w:r>
      </w:hyperlink>
      <w:r w:rsidR="00EA0A15" w:rsidRPr="00BA043D">
        <w:rPr>
          <w:rFonts w:ascii="Arial" w:hAnsi="Arial" w:cs="Arial"/>
          <w:sz w:val="20"/>
          <w:szCs w:val="20"/>
        </w:rPr>
        <w:t> or </w:t>
      </w:r>
      <w:hyperlink r:id="rId7" w:history="1">
        <w:r w:rsidR="00EA0A15" w:rsidRPr="00BA043D">
          <w:rPr>
            <w:rStyle w:val="Hyperlink"/>
            <w:rFonts w:ascii="Arial" w:hAnsi="Arial" w:cs="Arial"/>
            <w:sz w:val="20"/>
            <w:szCs w:val="20"/>
          </w:rPr>
          <w:t>(DOC, 153.0 KB)</w:t>
        </w:r>
      </w:hyperlink>
    </w:p>
    <w:p w14:paraId="1F13658B" w14:textId="2BA95964" w:rsidR="00B30AF9" w:rsidRPr="009B6D1F" w:rsidRDefault="009B6D1F" w:rsidP="00B30AF9">
      <w:pPr>
        <w:rPr>
          <w:rFonts w:ascii="Arial" w:hAnsi="Arial" w:cs="Arial"/>
          <w:b/>
          <w:sz w:val="20"/>
          <w:szCs w:val="20"/>
        </w:rPr>
      </w:pPr>
      <w:r>
        <w:rPr>
          <w:rFonts w:ascii="Arial" w:hAnsi="Arial" w:cs="Arial"/>
          <w:b/>
          <w:sz w:val="20"/>
          <w:szCs w:val="20"/>
        </w:rPr>
        <w:t>New s</w:t>
      </w:r>
      <w:r w:rsidR="00B30AF9" w:rsidRPr="009B6D1F">
        <w:rPr>
          <w:rFonts w:ascii="Arial" w:hAnsi="Arial" w:cs="Arial"/>
          <w:b/>
          <w:sz w:val="20"/>
          <w:szCs w:val="20"/>
        </w:rPr>
        <w:t>tate planning policy</w:t>
      </w:r>
      <w:r w:rsidRPr="009B6D1F">
        <w:rPr>
          <w:rFonts w:ascii="Arial" w:hAnsi="Arial" w:cs="Arial"/>
          <w:b/>
          <w:sz w:val="20"/>
          <w:szCs w:val="20"/>
        </w:rPr>
        <w:t xml:space="preserve"> </w:t>
      </w:r>
      <w:r>
        <w:rPr>
          <w:rFonts w:ascii="Arial" w:hAnsi="Arial" w:cs="Arial"/>
          <w:b/>
          <w:sz w:val="20"/>
          <w:szCs w:val="20"/>
        </w:rPr>
        <w:t>for m</w:t>
      </w:r>
      <w:r w:rsidR="0010420A">
        <w:rPr>
          <w:rFonts w:ascii="Arial" w:hAnsi="Arial" w:cs="Arial"/>
          <w:b/>
          <w:sz w:val="20"/>
          <w:szCs w:val="20"/>
        </w:rPr>
        <w:t>ajor hazard facilities</w:t>
      </w:r>
    </w:p>
    <w:p w14:paraId="2CC5B765" w14:textId="46B4DAF0" w:rsidR="009B6D1F" w:rsidRPr="009B6D1F" w:rsidRDefault="009B6D1F" w:rsidP="009B6D1F">
      <w:pPr>
        <w:rPr>
          <w:rFonts w:ascii="Arial" w:hAnsi="Arial" w:cs="Arial"/>
          <w:sz w:val="20"/>
          <w:szCs w:val="20"/>
        </w:rPr>
      </w:pPr>
      <w:r w:rsidRPr="009B6D1F">
        <w:rPr>
          <w:rFonts w:ascii="Arial" w:hAnsi="Arial" w:cs="Arial"/>
          <w:sz w:val="20"/>
          <w:szCs w:val="20"/>
        </w:rPr>
        <w:t>The Minister for Plan</w:t>
      </w:r>
      <w:r>
        <w:rPr>
          <w:rFonts w:ascii="Arial" w:hAnsi="Arial" w:cs="Arial"/>
          <w:sz w:val="20"/>
          <w:szCs w:val="20"/>
        </w:rPr>
        <w:t xml:space="preserve">ning has approved </w:t>
      </w:r>
      <w:r w:rsidR="0010420A">
        <w:rPr>
          <w:rFonts w:ascii="Arial" w:hAnsi="Arial" w:cs="Arial"/>
          <w:sz w:val="20"/>
          <w:szCs w:val="20"/>
        </w:rPr>
        <w:t xml:space="preserve">a new </w:t>
      </w:r>
      <w:proofErr w:type="spellStart"/>
      <w:r w:rsidR="0010420A">
        <w:rPr>
          <w:rFonts w:ascii="Arial" w:hAnsi="Arial" w:cs="Arial"/>
          <w:sz w:val="20"/>
          <w:szCs w:val="20"/>
        </w:rPr>
        <w:t>state</w:t>
      </w:r>
      <w:r w:rsidRPr="009B6D1F">
        <w:rPr>
          <w:rFonts w:ascii="Arial" w:hAnsi="Arial" w:cs="Arial"/>
          <w:sz w:val="20"/>
          <w:szCs w:val="20"/>
        </w:rPr>
        <w:t>wide</w:t>
      </w:r>
      <w:proofErr w:type="spellEnd"/>
      <w:r w:rsidRPr="009B6D1F">
        <w:rPr>
          <w:rFonts w:ascii="Arial" w:hAnsi="Arial" w:cs="Arial"/>
          <w:sz w:val="20"/>
          <w:szCs w:val="20"/>
        </w:rPr>
        <w:t xml:space="preserve"> planning policy for major hazard facilities.</w:t>
      </w:r>
    </w:p>
    <w:p w14:paraId="506257A5" w14:textId="77777777" w:rsidR="009B6D1F" w:rsidRDefault="009B6D1F" w:rsidP="009B6D1F">
      <w:pPr>
        <w:rPr>
          <w:rFonts w:ascii="Arial" w:hAnsi="Arial" w:cs="Arial"/>
          <w:sz w:val="20"/>
          <w:szCs w:val="20"/>
        </w:rPr>
      </w:pPr>
      <w:r w:rsidRPr="009B6D1F">
        <w:rPr>
          <w:rFonts w:ascii="Arial" w:hAnsi="Arial" w:cs="Arial"/>
          <w:sz w:val="20"/>
          <w:szCs w:val="20"/>
        </w:rPr>
        <w:t>The new state planning policy is located at Clause 13.07-2S of the Planning Policy Framework of the Victoria Planning Provisions and is contained in all planning schemes.</w:t>
      </w:r>
    </w:p>
    <w:p w14:paraId="062C57FE" w14:textId="77777777" w:rsidR="00B30AF9" w:rsidRDefault="00B30AF9" w:rsidP="00B30AF9">
      <w:pPr>
        <w:rPr>
          <w:rFonts w:ascii="Arial" w:hAnsi="Arial" w:cs="Arial"/>
          <w:sz w:val="20"/>
          <w:szCs w:val="20"/>
        </w:rPr>
      </w:pPr>
      <w:r>
        <w:rPr>
          <w:rFonts w:ascii="Arial" w:hAnsi="Arial" w:cs="Arial"/>
          <w:sz w:val="20"/>
          <w:szCs w:val="20"/>
        </w:rPr>
        <w:t>The new policy:</w:t>
      </w:r>
    </w:p>
    <w:p w14:paraId="6E385083" w14:textId="77777777" w:rsidR="00B30AF9" w:rsidRDefault="00B30AF9" w:rsidP="00B30AF9">
      <w:pPr>
        <w:pStyle w:val="ListParagraph"/>
        <w:numPr>
          <w:ilvl w:val="0"/>
          <w:numId w:val="2"/>
        </w:numPr>
        <w:spacing w:line="240" w:lineRule="auto"/>
        <w:ind w:left="357" w:hanging="357"/>
        <w:contextualSpacing w:val="0"/>
        <w:rPr>
          <w:rFonts w:ascii="Arial" w:hAnsi="Arial" w:cs="Arial"/>
          <w:sz w:val="20"/>
          <w:szCs w:val="20"/>
        </w:rPr>
      </w:pPr>
      <w:r>
        <w:rPr>
          <w:rFonts w:ascii="Arial" w:hAnsi="Arial" w:cs="Arial"/>
          <w:sz w:val="20"/>
          <w:szCs w:val="20"/>
        </w:rPr>
        <w:t>recognises the state significance and overall importance of major hazard facilities to the Victorian economy;</w:t>
      </w:r>
    </w:p>
    <w:p w14:paraId="017595FF" w14:textId="77777777" w:rsidR="00B30AF9" w:rsidRDefault="00B30AF9" w:rsidP="00B30AF9">
      <w:pPr>
        <w:pStyle w:val="ListParagraph"/>
        <w:numPr>
          <w:ilvl w:val="0"/>
          <w:numId w:val="2"/>
        </w:numPr>
        <w:spacing w:line="240" w:lineRule="auto"/>
        <w:ind w:left="357" w:hanging="357"/>
        <w:contextualSpacing w:val="0"/>
        <w:rPr>
          <w:rFonts w:ascii="Arial" w:hAnsi="Arial" w:cs="Arial"/>
          <w:sz w:val="20"/>
          <w:szCs w:val="20"/>
        </w:rPr>
      </w:pPr>
      <w:r>
        <w:rPr>
          <w:rFonts w:ascii="Arial" w:hAnsi="Arial" w:cs="Arial"/>
          <w:sz w:val="20"/>
          <w:szCs w:val="20"/>
        </w:rPr>
        <w:t>outlines the need to manage land surrounding major hazard facilities to avoid sensitive uses, and/or uses that could increase the density of people who live and work close to a major hazard facility; and</w:t>
      </w:r>
    </w:p>
    <w:p w14:paraId="17081A67" w14:textId="77777777" w:rsidR="00B30AF9" w:rsidRDefault="00B30AF9" w:rsidP="00B30AF9">
      <w:pPr>
        <w:pStyle w:val="ListParagraph"/>
        <w:numPr>
          <w:ilvl w:val="0"/>
          <w:numId w:val="2"/>
        </w:numPr>
        <w:spacing w:line="240" w:lineRule="auto"/>
        <w:ind w:left="357" w:hanging="357"/>
        <w:contextualSpacing w:val="0"/>
        <w:rPr>
          <w:rFonts w:ascii="Arial" w:hAnsi="Arial" w:cs="Arial"/>
          <w:sz w:val="20"/>
          <w:szCs w:val="20"/>
        </w:rPr>
      </w:pPr>
      <w:r>
        <w:rPr>
          <w:rFonts w:ascii="Arial" w:hAnsi="Arial" w:cs="Arial"/>
          <w:sz w:val="20"/>
          <w:szCs w:val="20"/>
        </w:rPr>
        <w:t>identifies how threshold distance requirements should be managed for existing and new major hazard facilities.</w:t>
      </w:r>
    </w:p>
    <w:p w14:paraId="429027EF" w14:textId="77777777" w:rsidR="00EA0A15" w:rsidRDefault="00EA0A15" w:rsidP="00B30AF9">
      <w:pPr>
        <w:rPr>
          <w:rFonts w:ascii="Arial" w:hAnsi="Arial" w:cs="Arial"/>
          <w:b/>
          <w:sz w:val="20"/>
          <w:szCs w:val="20"/>
        </w:rPr>
      </w:pPr>
      <w:bookmarkStart w:id="2" w:name="_Hlk516733525"/>
    </w:p>
    <w:p w14:paraId="7B188E4F" w14:textId="77777777" w:rsidR="00EA0A15" w:rsidRDefault="00EA0A15" w:rsidP="00B30AF9">
      <w:pPr>
        <w:rPr>
          <w:rFonts w:ascii="Arial" w:hAnsi="Arial" w:cs="Arial"/>
          <w:b/>
          <w:sz w:val="20"/>
          <w:szCs w:val="20"/>
        </w:rPr>
      </w:pPr>
    </w:p>
    <w:p w14:paraId="2CE98ED4" w14:textId="2F58C209" w:rsidR="00B30AF9" w:rsidRPr="009B6D1F" w:rsidRDefault="00B30AF9" w:rsidP="00B30AF9">
      <w:pPr>
        <w:rPr>
          <w:rFonts w:ascii="Arial" w:hAnsi="Arial" w:cs="Arial"/>
          <w:b/>
          <w:sz w:val="20"/>
          <w:szCs w:val="20"/>
        </w:rPr>
      </w:pPr>
      <w:r w:rsidRPr="009B6D1F">
        <w:rPr>
          <w:rFonts w:ascii="Arial" w:hAnsi="Arial" w:cs="Arial"/>
          <w:b/>
          <w:sz w:val="20"/>
          <w:szCs w:val="20"/>
        </w:rPr>
        <w:lastRenderedPageBreak/>
        <w:t xml:space="preserve">New </w:t>
      </w:r>
      <w:bookmarkEnd w:id="2"/>
      <w:r w:rsidR="009B6D1F" w:rsidRPr="009B6D1F">
        <w:rPr>
          <w:rFonts w:ascii="Arial" w:hAnsi="Arial" w:cs="Arial"/>
          <w:b/>
          <w:sz w:val="20"/>
          <w:szCs w:val="20"/>
        </w:rPr>
        <w:t>requirements for planning scheme amendments</w:t>
      </w:r>
    </w:p>
    <w:p w14:paraId="17191CD8" w14:textId="77777777" w:rsidR="00B30AF9" w:rsidRDefault="00B30AF9" w:rsidP="00B30AF9">
      <w:pPr>
        <w:rPr>
          <w:rFonts w:ascii="Arial" w:hAnsi="Arial" w:cs="Arial"/>
          <w:sz w:val="20"/>
          <w:szCs w:val="20"/>
        </w:rPr>
      </w:pPr>
      <w:r>
        <w:rPr>
          <w:rFonts w:ascii="Arial" w:hAnsi="Arial" w:cs="Arial"/>
          <w:sz w:val="20"/>
          <w:szCs w:val="20"/>
        </w:rPr>
        <w:t xml:space="preserve">The Minister for Planning has issued Ministerial Direction No.20 </w:t>
      </w:r>
      <w:r w:rsidRPr="007E0456">
        <w:rPr>
          <w:rFonts w:ascii="Arial" w:hAnsi="Arial" w:cs="Arial"/>
          <w:sz w:val="20"/>
          <w:szCs w:val="20"/>
        </w:rPr>
        <w:t>requir</w:t>
      </w:r>
      <w:r>
        <w:rPr>
          <w:rFonts w:ascii="Arial" w:hAnsi="Arial" w:cs="Arial"/>
          <w:sz w:val="20"/>
          <w:szCs w:val="20"/>
        </w:rPr>
        <w:t>ing</w:t>
      </w:r>
      <w:r w:rsidRPr="007E0456">
        <w:rPr>
          <w:rFonts w:ascii="Arial" w:hAnsi="Arial" w:cs="Arial"/>
          <w:sz w:val="20"/>
          <w:szCs w:val="20"/>
        </w:rPr>
        <w:t xml:space="preserve"> planning authorities</w:t>
      </w:r>
      <w:r>
        <w:rPr>
          <w:rFonts w:ascii="Arial" w:hAnsi="Arial" w:cs="Arial"/>
          <w:sz w:val="20"/>
          <w:szCs w:val="20"/>
        </w:rPr>
        <w:t xml:space="preserve"> to</w:t>
      </w:r>
      <w:r w:rsidR="00241668">
        <w:rPr>
          <w:rFonts w:ascii="Arial" w:hAnsi="Arial" w:cs="Arial"/>
          <w:sz w:val="20"/>
          <w:szCs w:val="20"/>
        </w:rPr>
        <w:t xml:space="preserve"> seek, </w:t>
      </w:r>
      <w:r w:rsidRPr="007E0456">
        <w:rPr>
          <w:rFonts w:ascii="Arial" w:hAnsi="Arial" w:cs="Arial"/>
          <w:sz w:val="20"/>
          <w:szCs w:val="20"/>
        </w:rPr>
        <w:t>and have regard to</w:t>
      </w:r>
      <w:r w:rsidR="00241668">
        <w:rPr>
          <w:rFonts w:ascii="Arial" w:hAnsi="Arial" w:cs="Arial"/>
          <w:sz w:val="20"/>
          <w:szCs w:val="20"/>
        </w:rPr>
        <w:t>,</w:t>
      </w:r>
      <w:r w:rsidRPr="007E0456">
        <w:rPr>
          <w:rFonts w:ascii="Arial" w:hAnsi="Arial" w:cs="Arial"/>
          <w:sz w:val="20"/>
          <w:szCs w:val="20"/>
        </w:rPr>
        <w:t xml:space="preserve"> the views of WorkSafe Victoria and the Minister for Industry and Employment, when preparing a planning scheme amendment </w:t>
      </w:r>
      <w:r>
        <w:rPr>
          <w:rFonts w:ascii="Arial" w:hAnsi="Arial" w:cs="Arial"/>
          <w:sz w:val="20"/>
          <w:szCs w:val="20"/>
        </w:rPr>
        <w:t xml:space="preserve">for, or </w:t>
      </w:r>
      <w:r w:rsidRPr="007E0456">
        <w:rPr>
          <w:rFonts w:ascii="Arial" w:hAnsi="Arial" w:cs="Arial"/>
          <w:sz w:val="20"/>
          <w:szCs w:val="20"/>
        </w:rPr>
        <w:t>within</w:t>
      </w:r>
      <w:r>
        <w:rPr>
          <w:rFonts w:ascii="Arial" w:hAnsi="Arial" w:cs="Arial"/>
          <w:sz w:val="20"/>
          <w:szCs w:val="20"/>
        </w:rPr>
        <w:t>,</w:t>
      </w:r>
      <w:r w:rsidRPr="007E0456">
        <w:rPr>
          <w:rFonts w:ascii="Arial" w:hAnsi="Arial" w:cs="Arial"/>
          <w:sz w:val="20"/>
          <w:szCs w:val="20"/>
        </w:rPr>
        <w:t xml:space="preserve"> the threshold distance of a major hazard facility.</w:t>
      </w:r>
      <w:r>
        <w:rPr>
          <w:rFonts w:ascii="Arial" w:hAnsi="Arial" w:cs="Arial"/>
          <w:sz w:val="20"/>
          <w:szCs w:val="20"/>
        </w:rPr>
        <w:t xml:space="preserve"> </w:t>
      </w:r>
    </w:p>
    <w:p w14:paraId="3BE229DE" w14:textId="77777777" w:rsidR="00B30AF9" w:rsidRPr="001C42B5" w:rsidRDefault="00B30AF9" w:rsidP="00B30AF9">
      <w:pPr>
        <w:rPr>
          <w:rFonts w:ascii="Arial" w:hAnsi="Arial" w:cs="Arial"/>
          <w:sz w:val="20"/>
          <w:szCs w:val="20"/>
        </w:rPr>
      </w:pPr>
      <w:r>
        <w:rPr>
          <w:rFonts w:ascii="Arial" w:hAnsi="Arial" w:cs="Arial"/>
          <w:sz w:val="20"/>
          <w:szCs w:val="20"/>
        </w:rPr>
        <w:t xml:space="preserve">Engaging both WorkSafe Victoria and the Minister for Industry and Employment early in the planning process ensures appropriate advice regarding the use and development of land within threshold distances can be considered and </w:t>
      </w:r>
      <w:r w:rsidRPr="006241EC">
        <w:rPr>
          <w:rFonts w:ascii="Arial" w:hAnsi="Arial" w:cs="Arial"/>
          <w:sz w:val="20"/>
          <w:szCs w:val="20"/>
        </w:rPr>
        <w:t>incorporated</w:t>
      </w:r>
      <w:r>
        <w:rPr>
          <w:rFonts w:ascii="Arial" w:hAnsi="Arial" w:cs="Arial"/>
          <w:sz w:val="20"/>
          <w:szCs w:val="20"/>
        </w:rPr>
        <w:t xml:space="preserve"> into an amendment.  </w:t>
      </w:r>
      <w:r w:rsidRPr="001C42B5">
        <w:rPr>
          <w:rFonts w:ascii="Arial" w:hAnsi="Arial" w:cs="Arial"/>
          <w:sz w:val="20"/>
          <w:szCs w:val="20"/>
        </w:rPr>
        <w:t>This approach provides an early opportunity to address potential issues and can assist a planning authority by reducing delays later in the planning scheme amendment process.</w:t>
      </w:r>
    </w:p>
    <w:p w14:paraId="6E6CF2ED" w14:textId="35D4ED6C" w:rsidR="00B30AF9" w:rsidRPr="001C42B5" w:rsidRDefault="00EA0A15" w:rsidP="00B30AF9">
      <w:pPr>
        <w:rPr>
          <w:rFonts w:ascii="Arial" w:hAnsi="Arial" w:cs="Arial"/>
          <w:sz w:val="20"/>
          <w:szCs w:val="20"/>
        </w:rPr>
      </w:pPr>
      <w:r>
        <w:rPr>
          <w:rFonts w:ascii="Arial" w:hAnsi="Arial" w:cs="Arial"/>
          <w:sz w:val="20"/>
          <w:szCs w:val="20"/>
        </w:rPr>
        <w:t>The</w:t>
      </w:r>
      <w:r w:rsidR="00B30AF9">
        <w:rPr>
          <w:rFonts w:ascii="Arial" w:hAnsi="Arial" w:cs="Arial"/>
          <w:sz w:val="20"/>
          <w:szCs w:val="20"/>
        </w:rPr>
        <w:t xml:space="preserve"> direction </w:t>
      </w:r>
      <w:r w:rsidR="00B30AF9" w:rsidRPr="001C42B5">
        <w:rPr>
          <w:rFonts w:ascii="Arial" w:hAnsi="Arial" w:cs="Arial"/>
          <w:sz w:val="20"/>
          <w:szCs w:val="20"/>
        </w:rPr>
        <w:t>is issued under section 12(</w:t>
      </w:r>
      <w:r w:rsidR="00B30AF9">
        <w:rPr>
          <w:rFonts w:ascii="Arial" w:hAnsi="Arial" w:cs="Arial"/>
          <w:sz w:val="20"/>
          <w:szCs w:val="20"/>
        </w:rPr>
        <w:t>2</w:t>
      </w:r>
      <w:r w:rsidR="00B30AF9" w:rsidRPr="001C42B5">
        <w:rPr>
          <w:rFonts w:ascii="Arial" w:hAnsi="Arial" w:cs="Arial"/>
          <w:sz w:val="20"/>
          <w:szCs w:val="20"/>
        </w:rPr>
        <w:t>)(</w:t>
      </w:r>
      <w:r w:rsidR="00B30AF9">
        <w:rPr>
          <w:rFonts w:ascii="Arial" w:hAnsi="Arial" w:cs="Arial"/>
          <w:sz w:val="20"/>
          <w:szCs w:val="20"/>
        </w:rPr>
        <w:t>a</w:t>
      </w:r>
      <w:r w:rsidR="00B30AF9" w:rsidRPr="001C42B5">
        <w:rPr>
          <w:rFonts w:ascii="Arial" w:hAnsi="Arial" w:cs="Arial"/>
          <w:sz w:val="20"/>
          <w:szCs w:val="20"/>
        </w:rPr>
        <w:t xml:space="preserve">) of the </w:t>
      </w:r>
      <w:r w:rsidR="00B30AF9" w:rsidRPr="00894C68">
        <w:rPr>
          <w:rFonts w:ascii="Arial" w:hAnsi="Arial" w:cs="Arial"/>
          <w:i/>
          <w:sz w:val="20"/>
          <w:szCs w:val="20"/>
        </w:rPr>
        <w:t>Planning and Environment Act 1987</w:t>
      </w:r>
      <w:r w:rsidR="00B30AF9" w:rsidRPr="001C42B5">
        <w:rPr>
          <w:rFonts w:ascii="Arial" w:hAnsi="Arial" w:cs="Arial"/>
          <w:sz w:val="20"/>
          <w:szCs w:val="20"/>
        </w:rPr>
        <w:t xml:space="preserve"> (the Act). </w:t>
      </w:r>
      <w:r>
        <w:rPr>
          <w:rFonts w:ascii="Arial" w:hAnsi="Arial" w:cs="Arial"/>
          <w:sz w:val="20"/>
          <w:szCs w:val="20"/>
        </w:rPr>
        <w:t>W</w:t>
      </w:r>
      <w:r w:rsidR="00B30AF9" w:rsidRPr="001C42B5">
        <w:rPr>
          <w:rFonts w:ascii="Arial" w:hAnsi="Arial" w:cs="Arial"/>
          <w:sz w:val="20"/>
          <w:szCs w:val="20"/>
        </w:rPr>
        <w:t>hen applying for authorisation to prepare an amendment under sections 8A or 8B of the Act, or preparing an amend</w:t>
      </w:r>
      <w:r>
        <w:rPr>
          <w:rFonts w:ascii="Arial" w:hAnsi="Arial" w:cs="Arial"/>
          <w:sz w:val="20"/>
          <w:szCs w:val="20"/>
        </w:rPr>
        <w:t>ment under section 9 of the Act</w:t>
      </w:r>
      <w:r w:rsidRPr="00EA0A15">
        <w:rPr>
          <w:rFonts w:ascii="Arial" w:hAnsi="Arial" w:cs="Arial"/>
          <w:sz w:val="20"/>
          <w:szCs w:val="20"/>
        </w:rPr>
        <w:t xml:space="preserve"> </w:t>
      </w:r>
      <w:r w:rsidRPr="001C42B5">
        <w:rPr>
          <w:rFonts w:ascii="Arial" w:hAnsi="Arial" w:cs="Arial"/>
          <w:sz w:val="20"/>
          <w:szCs w:val="20"/>
        </w:rPr>
        <w:t>a planning authority</w:t>
      </w:r>
      <w:r>
        <w:rPr>
          <w:rFonts w:ascii="Arial" w:hAnsi="Arial" w:cs="Arial"/>
          <w:sz w:val="20"/>
          <w:szCs w:val="20"/>
        </w:rPr>
        <w:t xml:space="preserve"> must:</w:t>
      </w:r>
    </w:p>
    <w:p w14:paraId="64B060A9" w14:textId="59BF0ECA" w:rsidR="00B30AF9" w:rsidRPr="00C05B26" w:rsidRDefault="00EA0A15" w:rsidP="00B30AF9">
      <w:pPr>
        <w:pStyle w:val="ListParagraph"/>
        <w:numPr>
          <w:ilvl w:val="0"/>
          <w:numId w:val="2"/>
        </w:numPr>
        <w:spacing w:line="240" w:lineRule="auto"/>
        <w:ind w:left="357" w:hanging="357"/>
        <w:contextualSpacing w:val="0"/>
        <w:rPr>
          <w:rFonts w:ascii="Arial" w:hAnsi="Arial" w:cs="Arial"/>
          <w:sz w:val="20"/>
          <w:szCs w:val="20"/>
        </w:rPr>
      </w:pPr>
      <w:r>
        <w:rPr>
          <w:rFonts w:ascii="Arial" w:hAnsi="Arial" w:cs="Arial"/>
          <w:sz w:val="20"/>
          <w:szCs w:val="20"/>
        </w:rPr>
        <w:t>S</w:t>
      </w:r>
      <w:r w:rsidR="00B30AF9" w:rsidRPr="00C05B26">
        <w:rPr>
          <w:rFonts w:ascii="Arial" w:hAnsi="Arial" w:cs="Arial"/>
          <w:sz w:val="20"/>
          <w:szCs w:val="20"/>
        </w:rPr>
        <w:t>eek the views of WorkSafe Victoria and the Minister for Industry and Employment about the amendment</w:t>
      </w:r>
    </w:p>
    <w:p w14:paraId="5D792941" w14:textId="5B36ECC5" w:rsidR="00B30AF9" w:rsidRPr="00C05B26" w:rsidRDefault="00EA0A15" w:rsidP="00B30AF9">
      <w:pPr>
        <w:pStyle w:val="ListParagraph"/>
        <w:numPr>
          <w:ilvl w:val="0"/>
          <w:numId w:val="2"/>
        </w:numPr>
        <w:spacing w:line="240" w:lineRule="auto"/>
        <w:ind w:left="357" w:hanging="357"/>
        <w:contextualSpacing w:val="0"/>
        <w:rPr>
          <w:rFonts w:ascii="Arial" w:hAnsi="Arial" w:cs="Arial"/>
          <w:sz w:val="20"/>
          <w:szCs w:val="20"/>
        </w:rPr>
      </w:pPr>
      <w:r>
        <w:rPr>
          <w:rFonts w:ascii="Arial" w:hAnsi="Arial" w:cs="Arial"/>
          <w:sz w:val="20"/>
          <w:szCs w:val="20"/>
        </w:rPr>
        <w:t>I</w:t>
      </w:r>
      <w:r w:rsidR="00B30AF9" w:rsidRPr="00C05B26">
        <w:rPr>
          <w:rFonts w:ascii="Arial" w:hAnsi="Arial" w:cs="Arial"/>
          <w:sz w:val="20"/>
          <w:szCs w:val="20"/>
        </w:rPr>
        <w:t>nclude in the explanatory report a statement about how the amendment addresses the views of WorkSafe Victoria and the Minister for Industry and Employment.</w:t>
      </w:r>
    </w:p>
    <w:p w14:paraId="0C30981B" w14:textId="0E574233" w:rsidR="00B30AF9" w:rsidRPr="00034E32" w:rsidRDefault="00B30AF9" w:rsidP="00B30AF9">
      <w:pPr>
        <w:rPr>
          <w:rFonts w:ascii="Arial" w:hAnsi="Arial" w:cs="Arial"/>
          <w:sz w:val="20"/>
          <w:szCs w:val="20"/>
        </w:rPr>
      </w:pPr>
      <w:r w:rsidRPr="00034E32">
        <w:rPr>
          <w:rFonts w:ascii="Arial" w:hAnsi="Arial" w:cs="Arial"/>
          <w:sz w:val="20"/>
          <w:szCs w:val="20"/>
        </w:rPr>
        <w:t xml:space="preserve">The </w:t>
      </w:r>
      <w:r>
        <w:rPr>
          <w:rFonts w:ascii="Arial" w:hAnsi="Arial" w:cs="Arial"/>
          <w:sz w:val="20"/>
          <w:szCs w:val="20"/>
        </w:rPr>
        <w:t>d</w:t>
      </w:r>
      <w:r w:rsidRPr="00034E32">
        <w:rPr>
          <w:rFonts w:ascii="Arial" w:hAnsi="Arial" w:cs="Arial"/>
          <w:sz w:val="20"/>
          <w:szCs w:val="20"/>
        </w:rPr>
        <w:t xml:space="preserve">irection </w:t>
      </w:r>
      <w:r w:rsidR="00EA0A15">
        <w:rPr>
          <w:rFonts w:ascii="Arial" w:hAnsi="Arial" w:cs="Arial"/>
          <w:sz w:val="20"/>
          <w:szCs w:val="20"/>
        </w:rPr>
        <w:t>uses</w:t>
      </w:r>
      <w:r w:rsidRPr="00034E32">
        <w:rPr>
          <w:rFonts w:ascii="Arial" w:hAnsi="Arial" w:cs="Arial"/>
          <w:sz w:val="20"/>
          <w:szCs w:val="20"/>
        </w:rPr>
        <w:t xml:space="preserve"> existing threshold distances specified opposite the type of production, use or storage</w:t>
      </w:r>
      <w:r w:rsidR="00EA0A15">
        <w:rPr>
          <w:rFonts w:ascii="Arial" w:hAnsi="Arial" w:cs="Arial"/>
          <w:sz w:val="20"/>
          <w:szCs w:val="20"/>
        </w:rPr>
        <w:t>, defined by a N</w:t>
      </w:r>
      <w:r>
        <w:rPr>
          <w:rFonts w:ascii="Arial" w:hAnsi="Arial" w:cs="Arial"/>
          <w:sz w:val="20"/>
          <w:szCs w:val="20"/>
        </w:rPr>
        <w:t>ote 2,</w:t>
      </w:r>
      <w:r w:rsidRPr="00034E32">
        <w:rPr>
          <w:rFonts w:ascii="Arial" w:hAnsi="Arial" w:cs="Arial"/>
          <w:sz w:val="20"/>
          <w:szCs w:val="20"/>
        </w:rPr>
        <w:t xml:space="preserve"> listed in the table to Clause 5</w:t>
      </w:r>
      <w:r>
        <w:rPr>
          <w:rFonts w:ascii="Arial" w:hAnsi="Arial" w:cs="Arial"/>
          <w:sz w:val="20"/>
          <w:szCs w:val="20"/>
        </w:rPr>
        <w:t>3</w:t>
      </w:r>
      <w:r w:rsidRPr="00034E32">
        <w:rPr>
          <w:rFonts w:ascii="Arial" w:hAnsi="Arial" w:cs="Arial"/>
          <w:sz w:val="20"/>
          <w:szCs w:val="20"/>
        </w:rPr>
        <w:t>.10-1 found in all planning schemes</w:t>
      </w:r>
      <w:r>
        <w:rPr>
          <w:rFonts w:ascii="Arial" w:hAnsi="Arial" w:cs="Arial"/>
          <w:sz w:val="20"/>
          <w:szCs w:val="20"/>
        </w:rPr>
        <w:t xml:space="preserve">.  The direction uses the outer property boundary of an existing or approved but not yet built </w:t>
      </w:r>
      <w:r w:rsidR="00241668">
        <w:rPr>
          <w:rFonts w:ascii="Arial" w:hAnsi="Arial" w:cs="Arial"/>
          <w:sz w:val="20"/>
          <w:szCs w:val="20"/>
        </w:rPr>
        <w:t xml:space="preserve">major hazard facility </w:t>
      </w:r>
      <w:r>
        <w:rPr>
          <w:rFonts w:ascii="Arial" w:hAnsi="Arial" w:cs="Arial"/>
          <w:sz w:val="20"/>
          <w:szCs w:val="20"/>
        </w:rPr>
        <w:t>to determine distance.</w:t>
      </w:r>
    </w:p>
    <w:p w14:paraId="3F47F017" w14:textId="77777777" w:rsidR="00B30AF9" w:rsidRPr="00034E32" w:rsidRDefault="00B30AF9" w:rsidP="00B30AF9">
      <w:pPr>
        <w:rPr>
          <w:rFonts w:ascii="Arial" w:hAnsi="Arial" w:cs="Arial"/>
          <w:sz w:val="20"/>
          <w:szCs w:val="20"/>
        </w:rPr>
      </w:pPr>
      <w:r w:rsidRPr="00034E32">
        <w:rPr>
          <w:rFonts w:ascii="Arial" w:hAnsi="Arial" w:cs="Arial"/>
          <w:sz w:val="20"/>
          <w:szCs w:val="20"/>
        </w:rPr>
        <w:t xml:space="preserve">The </w:t>
      </w:r>
      <w:r>
        <w:rPr>
          <w:rFonts w:ascii="Arial" w:hAnsi="Arial" w:cs="Arial"/>
          <w:sz w:val="20"/>
          <w:szCs w:val="20"/>
        </w:rPr>
        <w:t>d</w:t>
      </w:r>
      <w:r w:rsidRPr="00034E32">
        <w:rPr>
          <w:rFonts w:ascii="Arial" w:hAnsi="Arial" w:cs="Arial"/>
          <w:sz w:val="20"/>
          <w:szCs w:val="20"/>
        </w:rPr>
        <w:t>irection applies to the preparation of a planning scheme amendment that provides for a new major hazard facility, the expansion of an existing facility, or any change to planning controls within a threshold distance of an existing or approved facility.</w:t>
      </w:r>
    </w:p>
    <w:p w14:paraId="45D2899B" w14:textId="77777777" w:rsidR="00B30AF9" w:rsidRPr="00034E32" w:rsidRDefault="00B30AF9" w:rsidP="00B30AF9">
      <w:pPr>
        <w:rPr>
          <w:rFonts w:ascii="Arial" w:hAnsi="Arial" w:cs="Arial"/>
          <w:sz w:val="20"/>
          <w:szCs w:val="20"/>
        </w:rPr>
      </w:pPr>
      <w:r w:rsidRPr="00034E32">
        <w:rPr>
          <w:rFonts w:ascii="Arial" w:hAnsi="Arial" w:cs="Arial"/>
          <w:sz w:val="20"/>
          <w:szCs w:val="20"/>
        </w:rPr>
        <w:t xml:space="preserve">More information about how to contact WorkSafe Victoria can be found at </w:t>
      </w:r>
      <w:r w:rsidRPr="00034E32">
        <w:rPr>
          <w:rFonts w:ascii="Arial" w:hAnsi="Arial" w:cs="Arial"/>
          <w:b/>
          <w:sz w:val="20"/>
          <w:szCs w:val="20"/>
        </w:rPr>
        <w:t>www.worksafe.vic.gov.au/major-hazard-facilities</w:t>
      </w:r>
      <w:r w:rsidRPr="00034E32">
        <w:rPr>
          <w:rFonts w:ascii="Arial" w:hAnsi="Arial" w:cs="Arial"/>
          <w:sz w:val="20"/>
          <w:szCs w:val="20"/>
        </w:rPr>
        <w:t xml:space="preserve"> or by contacting WorkSafe’s Advisory Services on 1800 136 089.</w:t>
      </w:r>
    </w:p>
    <w:p w14:paraId="38F5E4B0" w14:textId="77777777" w:rsidR="00B30AF9" w:rsidRPr="00034E32" w:rsidRDefault="00B30AF9" w:rsidP="00B30AF9">
      <w:pPr>
        <w:rPr>
          <w:rFonts w:ascii="Arial" w:hAnsi="Arial" w:cs="Arial"/>
          <w:sz w:val="20"/>
          <w:szCs w:val="20"/>
        </w:rPr>
      </w:pPr>
      <w:r w:rsidRPr="00034E32">
        <w:rPr>
          <w:rFonts w:ascii="Arial" w:hAnsi="Arial" w:cs="Arial"/>
          <w:sz w:val="20"/>
          <w:szCs w:val="20"/>
        </w:rPr>
        <w:t xml:space="preserve">More information about how to contact the Department of Economic Development, Jobs, Resources and Transport (on behalf of the Minister for Industry and Employment) can be found at </w:t>
      </w:r>
      <w:hyperlink r:id="rId8" w:history="1">
        <w:r w:rsidRPr="00034E32">
          <w:rPr>
            <w:rFonts w:ascii="Arial" w:hAnsi="Arial" w:cs="Arial"/>
            <w:b/>
            <w:sz w:val="20"/>
            <w:szCs w:val="20"/>
          </w:rPr>
          <w:t>www.economic</w:t>
        </w:r>
      </w:hyperlink>
      <w:r w:rsidRPr="00034E32">
        <w:rPr>
          <w:rFonts w:ascii="Arial" w:hAnsi="Arial" w:cs="Arial"/>
          <w:b/>
          <w:sz w:val="20"/>
          <w:szCs w:val="20"/>
        </w:rPr>
        <w:t xml:space="preserve">development.vic.gov.au </w:t>
      </w:r>
      <w:r w:rsidRPr="00034E32">
        <w:rPr>
          <w:rFonts w:ascii="Arial" w:hAnsi="Arial" w:cs="Arial"/>
          <w:sz w:val="20"/>
          <w:szCs w:val="20"/>
        </w:rPr>
        <w:t>or by contacting (03) 9651 8100.</w:t>
      </w:r>
    </w:p>
    <w:p w14:paraId="4C53048F" w14:textId="77777777" w:rsidR="00B30AF9" w:rsidRPr="00034E32" w:rsidRDefault="00B30AF9" w:rsidP="00B30AF9">
      <w:pPr>
        <w:rPr>
          <w:rFonts w:ascii="Arial" w:hAnsi="Arial" w:cs="Arial"/>
          <w:b/>
          <w:sz w:val="20"/>
          <w:szCs w:val="20"/>
        </w:rPr>
      </w:pPr>
      <w:r>
        <w:rPr>
          <w:rFonts w:ascii="Arial" w:hAnsi="Arial" w:cs="Arial"/>
          <w:sz w:val="20"/>
          <w:szCs w:val="20"/>
        </w:rPr>
        <w:t xml:space="preserve">Further information about the previous </w:t>
      </w:r>
      <w:r w:rsidRPr="00894C68">
        <w:rPr>
          <w:rFonts w:ascii="Arial" w:hAnsi="Arial" w:cs="Arial"/>
          <w:i/>
          <w:sz w:val="20"/>
          <w:szCs w:val="20"/>
        </w:rPr>
        <w:t>Major Hazard Facilities Ministerial Advisory Committee</w:t>
      </w:r>
      <w:r>
        <w:rPr>
          <w:rFonts w:ascii="Arial" w:hAnsi="Arial" w:cs="Arial"/>
          <w:sz w:val="20"/>
          <w:szCs w:val="20"/>
        </w:rPr>
        <w:t xml:space="preserve">, the Victorian Government’s response and delivery of the actions can be found at </w:t>
      </w:r>
      <w:r>
        <w:rPr>
          <w:rFonts w:ascii="Arial" w:hAnsi="Arial" w:cs="Arial"/>
          <w:b/>
          <w:sz w:val="20"/>
          <w:szCs w:val="20"/>
        </w:rPr>
        <w:t>www.planning.vic.gov.au/major-hazard-facilities</w:t>
      </w:r>
    </w:p>
    <w:p w14:paraId="27E2CCE0" w14:textId="77777777" w:rsidR="00B30AF9" w:rsidRPr="00034E32" w:rsidRDefault="00B30AF9" w:rsidP="00B30AF9">
      <w:pPr>
        <w:rPr>
          <w:rFonts w:ascii="Arial" w:hAnsi="Arial" w:cs="Arial"/>
          <w:sz w:val="20"/>
          <w:szCs w:val="20"/>
        </w:rPr>
      </w:pPr>
      <w:r w:rsidRPr="00034E32">
        <w:rPr>
          <w:rFonts w:ascii="Arial" w:hAnsi="Arial" w:cs="Arial"/>
          <w:sz w:val="20"/>
          <w:szCs w:val="20"/>
        </w:rPr>
        <w:t xml:space="preserve">The new direction is available online at: </w:t>
      </w:r>
      <w:r w:rsidRPr="00034E32">
        <w:rPr>
          <w:rFonts w:ascii="Arial" w:hAnsi="Arial" w:cs="Arial"/>
          <w:b/>
          <w:sz w:val="20"/>
          <w:szCs w:val="20"/>
        </w:rPr>
        <w:t>planning.vic.gov.au/guide-home/the-role-of-the-minister</w:t>
      </w:r>
    </w:p>
    <w:p w14:paraId="42DA6892" w14:textId="77777777" w:rsidR="00B30AF9" w:rsidRPr="00C05B26" w:rsidRDefault="00B30AF9" w:rsidP="00B30AF9">
      <w:pPr>
        <w:keepNext/>
        <w:spacing w:before="120" w:after="240"/>
        <w:rPr>
          <w:rFonts w:ascii="Arial" w:hAnsi="Arial" w:cs="Arial"/>
          <w:b/>
          <w:sz w:val="28"/>
          <w:szCs w:val="24"/>
        </w:rPr>
      </w:pPr>
      <w:r w:rsidRPr="00C05B26">
        <w:rPr>
          <w:rFonts w:ascii="Arial" w:hAnsi="Arial" w:cs="Arial"/>
          <w:b/>
          <w:sz w:val="28"/>
          <w:szCs w:val="24"/>
        </w:rPr>
        <w:t xml:space="preserve">Residential </w:t>
      </w:r>
      <w:r>
        <w:rPr>
          <w:rFonts w:ascii="Arial" w:hAnsi="Arial" w:cs="Arial"/>
          <w:b/>
          <w:sz w:val="28"/>
          <w:szCs w:val="24"/>
        </w:rPr>
        <w:t>a</w:t>
      </w:r>
      <w:r w:rsidRPr="00C05B26">
        <w:rPr>
          <w:rFonts w:ascii="Arial" w:hAnsi="Arial" w:cs="Arial"/>
          <w:b/>
          <w:sz w:val="28"/>
          <w:szCs w:val="24"/>
        </w:rPr>
        <w:t xml:space="preserve">ged </w:t>
      </w:r>
      <w:r>
        <w:rPr>
          <w:rFonts w:ascii="Arial" w:hAnsi="Arial" w:cs="Arial"/>
          <w:b/>
          <w:sz w:val="28"/>
          <w:szCs w:val="24"/>
        </w:rPr>
        <w:t>c</w:t>
      </w:r>
      <w:r w:rsidRPr="00C05B26">
        <w:rPr>
          <w:rFonts w:ascii="Arial" w:hAnsi="Arial" w:cs="Arial"/>
          <w:b/>
          <w:sz w:val="28"/>
          <w:szCs w:val="24"/>
        </w:rPr>
        <w:t xml:space="preserve">are </w:t>
      </w:r>
      <w:r>
        <w:rPr>
          <w:rFonts w:ascii="Arial" w:hAnsi="Arial" w:cs="Arial"/>
          <w:b/>
          <w:sz w:val="28"/>
          <w:szCs w:val="24"/>
        </w:rPr>
        <w:t>f</w:t>
      </w:r>
      <w:r w:rsidRPr="00C05B26">
        <w:rPr>
          <w:rFonts w:ascii="Arial" w:hAnsi="Arial" w:cs="Arial"/>
          <w:b/>
          <w:sz w:val="28"/>
          <w:szCs w:val="24"/>
        </w:rPr>
        <w:t>acilities</w:t>
      </w:r>
    </w:p>
    <w:p w14:paraId="4FEA6F8C" w14:textId="6382CF11" w:rsidR="00B30AF9" w:rsidRDefault="00B30AF9" w:rsidP="00B30AF9">
      <w:pPr>
        <w:rPr>
          <w:rFonts w:ascii="Arial" w:hAnsi="Arial" w:cs="Arial"/>
          <w:sz w:val="20"/>
          <w:szCs w:val="20"/>
        </w:rPr>
      </w:pPr>
      <w:r>
        <w:rPr>
          <w:rFonts w:ascii="Arial" w:hAnsi="Arial" w:cs="Arial"/>
          <w:sz w:val="20"/>
          <w:szCs w:val="20"/>
        </w:rPr>
        <w:t xml:space="preserve">Amendment VC152 amends the </w:t>
      </w:r>
      <w:r w:rsidR="00A62E1D">
        <w:rPr>
          <w:rFonts w:ascii="Arial" w:hAnsi="Arial" w:cs="Arial"/>
          <w:sz w:val="20"/>
          <w:szCs w:val="20"/>
        </w:rPr>
        <w:t>VPP</w:t>
      </w:r>
      <w:r>
        <w:rPr>
          <w:rFonts w:ascii="Arial" w:hAnsi="Arial" w:cs="Arial"/>
          <w:sz w:val="20"/>
          <w:szCs w:val="20"/>
        </w:rPr>
        <w:t xml:space="preserve"> and all planning schemes </w:t>
      </w:r>
      <w:r w:rsidR="00EA0A15">
        <w:rPr>
          <w:rFonts w:ascii="Arial" w:hAnsi="Arial" w:cs="Arial"/>
          <w:sz w:val="20"/>
          <w:szCs w:val="20"/>
        </w:rPr>
        <w:t>by</w:t>
      </w:r>
      <w:r>
        <w:rPr>
          <w:rFonts w:ascii="Arial" w:hAnsi="Arial" w:cs="Arial"/>
          <w:sz w:val="20"/>
          <w:szCs w:val="20"/>
        </w:rPr>
        <w:t>:</w:t>
      </w:r>
    </w:p>
    <w:p w14:paraId="6FC624C6" w14:textId="37614B2C" w:rsidR="00B30AF9" w:rsidRDefault="00EA0A15" w:rsidP="00B30AF9">
      <w:pPr>
        <w:pStyle w:val="ListParagraph"/>
        <w:numPr>
          <w:ilvl w:val="0"/>
          <w:numId w:val="2"/>
        </w:numPr>
        <w:spacing w:line="240" w:lineRule="auto"/>
        <w:ind w:left="357" w:hanging="357"/>
        <w:contextualSpacing w:val="0"/>
        <w:rPr>
          <w:rFonts w:ascii="Arial" w:hAnsi="Arial" w:cs="Arial"/>
          <w:sz w:val="20"/>
          <w:szCs w:val="20"/>
        </w:rPr>
      </w:pPr>
      <w:r>
        <w:rPr>
          <w:rFonts w:ascii="Arial" w:hAnsi="Arial" w:cs="Arial"/>
          <w:sz w:val="20"/>
          <w:szCs w:val="20"/>
        </w:rPr>
        <w:t>Introducing</w:t>
      </w:r>
      <w:r w:rsidR="00B30AF9">
        <w:rPr>
          <w:rFonts w:ascii="Arial" w:hAnsi="Arial" w:cs="Arial"/>
          <w:sz w:val="20"/>
          <w:szCs w:val="20"/>
        </w:rPr>
        <w:t xml:space="preserve"> a new Particular Provision ‘Residential aged care facilities’ at Clause </w:t>
      </w:r>
      <w:r w:rsidR="00B30AF9" w:rsidRPr="00B77E0C">
        <w:rPr>
          <w:rFonts w:ascii="Arial" w:hAnsi="Arial" w:cs="Arial"/>
          <w:sz w:val="20"/>
          <w:szCs w:val="20"/>
        </w:rPr>
        <w:t>53.17</w:t>
      </w:r>
    </w:p>
    <w:p w14:paraId="1F7DB4BF" w14:textId="547EAD11" w:rsidR="00B30AF9" w:rsidRDefault="00EA0A15" w:rsidP="00B30AF9">
      <w:pPr>
        <w:pStyle w:val="ListParagraph"/>
        <w:numPr>
          <w:ilvl w:val="0"/>
          <w:numId w:val="2"/>
        </w:numPr>
        <w:spacing w:line="240" w:lineRule="auto"/>
        <w:ind w:left="357" w:hanging="357"/>
        <w:contextualSpacing w:val="0"/>
        <w:rPr>
          <w:rFonts w:ascii="Arial" w:hAnsi="Arial" w:cs="Arial"/>
          <w:sz w:val="20"/>
          <w:szCs w:val="20"/>
        </w:rPr>
      </w:pPr>
      <w:r>
        <w:rPr>
          <w:rFonts w:ascii="Arial" w:hAnsi="Arial" w:cs="Arial"/>
          <w:sz w:val="20"/>
          <w:szCs w:val="20"/>
        </w:rPr>
        <w:t>A</w:t>
      </w:r>
      <w:r w:rsidR="00B30AF9">
        <w:rPr>
          <w:rFonts w:ascii="Arial" w:hAnsi="Arial" w:cs="Arial"/>
          <w:sz w:val="20"/>
          <w:szCs w:val="20"/>
        </w:rPr>
        <w:t>mend</w:t>
      </w:r>
      <w:r>
        <w:rPr>
          <w:rFonts w:ascii="Arial" w:hAnsi="Arial" w:cs="Arial"/>
          <w:sz w:val="20"/>
          <w:szCs w:val="20"/>
        </w:rPr>
        <w:t>ing</w:t>
      </w:r>
      <w:r w:rsidR="00B30AF9">
        <w:rPr>
          <w:rFonts w:ascii="Arial" w:hAnsi="Arial" w:cs="Arial"/>
          <w:sz w:val="20"/>
          <w:szCs w:val="20"/>
        </w:rPr>
        <w:t xml:space="preserve"> Clause 32.04 ‘Mixed Use Zone’ (MUZ), Clause 32.05 ‘Township Zone’ (TZ), Clause 32.07 ‘Residential Growth Zone’ (RGZ), 32.08 ‘General Residential Zone’ (GRZ), and Clause 32.09 ‘Neighbourhood Residential Zone’ (NRZ</w:t>
      </w:r>
      <w:r>
        <w:rPr>
          <w:rFonts w:ascii="Arial" w:hAnsi="Arial" w:cs="Arial"/>
          <w:sz w:val="20"/>
          <w:szCs w:val="20"/>
        </w:rPr>
        <w:t>)</w:t>
      </w:r>
      <w:r w:rsidR="00B30AF9">
        <w:rPr>
          <w:rFonts w:ascii="Arial" w:hAnsi="Arial" w:cs="Arial"/>
          <w:sz w:val="20"/>
          <w:szCs w:val="20"/>
        </w:rPr>
        <w:t xml:space="preserve"> </w:t>
      </w:r>
      <w:r>
        <w:rPr>
          <w:rFonts w:ascii="Arial" w:hAnsi="Arial" w:cs="Arial"/>
          <w:sz w:val="20"/>
          <w:szCs w:val="20"/>
        </w:rPr>
        <w:t>to include</w:t>
      </w:r>
      <w:r w:rsidR="00B30AF9">
        <w:rPr>
          <w:rFonts w:ascii="Arial" w:hAnsi="Arial" w:cs="Arial"/>
          <w:sz w:val="20"/>
          <w:szCs w:val="20"/>
        </w:rPr>
        <w:t xml:space="preserve"> a new ‘Residential aged care facility’ permit requirement sub-clause</w:t>
      </w:r>
    </w:p>
    <w:p w14:paraId="3A4FE3CC" w14:textId="77777777" w:rsidR="00EA0A15" w:rsidRDefault="00EA0A15" w:rsidP="00B30AF9">
      <w:pPr>
        <w:pStyle w:val="ListParagraph"/>
        <w:numPr>
          <w:ilvl w:val="0"/>
          <w:numId w:val="2"/>
        </w:numPr>
        <w:spacing w:line="240" w:lineRule="auto"/>
        <w:ind w:left="357" w:hanging="357"/>
        <w:contextualSpacing w:val="0"/>
        <w:rPr>
          <w:rFonts w:ascii="Arial" w:hAnsi="Arial" w:cs="Arial"/>
          <w:sz w:val="20"/>
          <w:szCs w:val="20"/>
        </w:rPr>
      </w:pPr>
      <w:r>
        <w:rPr>
          <w:rFonts w:ascii="Arial" w:hAnsi="Arial" w:cs="Arial"/>
          <w:sz w:val="20"/>
          <w:szCs w:val="20"/>
        </w:rPr>
        <w:t>Amending</w:t>
      </w:r>
      <w:r w:rsidR="00B30AF9">
        <w:rPr>
          <w:rFonts w:ascii="Arial" w:hAnsi="Arial" w:cs="Arial"/>
          <w:sz w:val="20"/>
          <w:szCs w:val="20"/>
        </w:rPr>
        <w:t xml:space="preserve"> Clause 73.03 and 73.04-1 </w:t>
      </w:r>
      <w:r>
        <w:rPr>
          <w:rFonts w:ascii="Arial" w:hAnsi="Arial" w:cs="Arial"/>
          <w:sz w:val="20"/>
          <w:szCs w:val="20"/>
        </w:rPr>
        <w:t>to remove</w:t>
      </w:r>
      <w:r w:rsidR="00B30AF9">
        <w:rPr>
          <w:rFonts w:ascii="Arial" w:hAnsi="Arial" w:cs="Arial"/>
          <w:sz w:val="20"/>
          <w:szCs w:val="20"/>
        </w:rPr>
        <w:t xml:space="preserve"> ‘Residential aged care f</w:t>
      </w:r>
      <w:r>
        <w:rPr>
          <w:rFonts w:ascii="Arial" w:hAnsi="Arial" w:cs="Arial"/>
          <w:sz w:val="20"/>
          <w:szCs w:val="20"/>
        </w:rPr>
        <w:t>acility</w:t>
      </w:r>
      <w:r w:rsidR="00B30AF9">
        <w:rPr>
          <w:rFonts w:ascii="Arial" w:hAnsi="Arial" w:cs="Arial"/>
          <w:sz w:val="20"/>
          <w:szCs w:val="20"/>
        </w:rPr>
        <w:t xml:space="preserve">’ </w:t>
      </w:r>
      <w:r>
        <w:rPr>
          <w:rFonts w:ascii="Arial" w:hAnsi="Arial" w:cs="Arial"/>
          <w:sz w:val="20"/>
          <w:szCs w:val="20"/>
        </w:rPr>
        <w:t>from being nested</w:t>
      </w:r>
      <w:r w:rsidR="00B30AF9" w:rsidRPr="00A62E1D">
        <w:rPr>
          <w:rFonts w:ascii="Arial" w:hAnsi="Arial" w:cs="Arial"/>
          <w:sz w:val="20"/>
          <w:szCs w:val="20"/>
          <w:highlight w:val="yellow"/>
        </w:rPr>
        <w:t xml:space="preserve"> </w:t>
      </w:r>
      <w:r w:rsidR="00B30AF9" w:rsidRPr="00EA0A15">
        <w:rPr>
          <w:rFonts w:ascii="Arial" w:hAnsi="Arial" w:cs="Arial"/>
          <w:sz w:val="20"/>
          <w:szCs w:val="20"/>
        </w:rPr>
        <w:t>under</w:t>
      </w:r>
      <w:r w:rsidR="00B30AF9">
        <w:rPr>
          <w:rFonts w:ascii="Arial" w:hAnsi="Arial" w:cs="Arial"/>
          <w:sz w:val="20"/>
          <w:szCs w:val="20"/>
        </w:rPr>
        <w:t xml:space="preserve"> ‘Accommodation’</w:t>
      </w:r>
    </w:p>
    <w:p w14:paraId="348BBDC2" w14:textId="717B1E1D" w:rsidR="00B30AF9" w:rsidRPr="00EA0A15" w:rsidRDefault="00EA0A15" w:rsidP="00EA0A15">
      <w:pPr>
        <w:pStyle w:val="ListParagraph"/>
        <w:numPr>
          <w:ilvl w:val="0"/>
          <w:numId w:val="2"/>
        </w:numPr>
        <w:spacing w:line="240" w:lineRule="auto"/>
        <w:ind w:left="357" w:hanging="357"/>
        <w:contextualSpacing w:val="0"/>
        <w:rPr>
          <w:rFonts w:ascii="Arial" w:hAnsi="Arial" w:cs="Arial"/>
          <w:sz w:val="20"/>
          <w:szCs w:val="20"/>
        </w:rPr>
      </w:pPr>
      <w:r>
        <w:rPr>
          <w:rFonts w:ascii="Arial" w:hAnsi="Arial" w:cs="Arial"/>
          <w:sz w:val="20"/>
          <w:szCs w:val="20"/>
        </w:rPr>
        <w:t>Deleting</w:t>
      </w:r>
      <w:r w:rsidR="00B30AF9" w:rsidRPr="00EA0A15">
        <w:rPr>
          <w:rFonts w:ascii="Arial" w:hAnsi="Arial" w:cs="Arial"/>
          <w:sz w:val="20"/>
          <w:szCs w:val="20"/>
        </w:rPr>
        <w:t xml:space="preserve"> various references to ‘Nursing home’.</w:t>
      </w:r>
    </w:p>
    <w:p w14:paraId="6FFB820E" w14:textId="71E742B7" w:rsidR="00B30AF9" w:rsidRPr="00E26D38" w:rsidRDefault="00EA0A15" w:rsidP="00B30AF9">
      <w:pPr>
        <w:rPr>
          <w:rFonts w:ascii="Arial" w:hAnsi="Arial" w:cs="Arial"/>
          <w:b/>
          <w:sz w:val="20"/>
          <w:szCs w:val="20"/>
        </w:rPr>
      </w:pPr>
      <w:r w:rsidRPr="00E26D38">
        <w:rPr>
          <w:rFonts w:ascii="Arial" w:hAnsi="Arial" w:cs="Arial"/>
          <w:b/>
          <w:sz w:val="20"/>
          <w:szCs w:val="20"/>
        </w:rPr>
        <w:t xml:space="preserve">Why has a new provision been introduced? </w:t>
      </w:r>
    </w:p>
    <w:p w14:paraId="2FE63941" w14:textId="77777777" w:rsidR="004A06F8" w:rsidRDefault="00E26D38" w:rsidP="00EA0A15">
      <w:pPr>
        <w:rPr>
          <w:rFonts w:ascii="Arial" w:hAnsi="Arial" w:cs="Arial"/>
          <w:sz w:val="20"/>
          <w:szCs w:val="20"/>
        </w:rPr>
      </w:pPr>
      <w:r>
        <w:rPr>
          <w:rFonts w:ascii="Arial" w:hAnsi="Arial" w:cs="Arial"/>
          <w:sz w:val="20"/>
          <w:szCs w:val="20"/>
        </w:rPr>
        <w:t>By 2051 it is estimated that 27 per cent</w:t>
      </w:r>
      <w:r w:rsidRPr="008408C4">
        <w:rPr>
          <w:rFonts w:ascii="Arial" w:hAnsi="Arial" w:cs="Arial"/>
          <w:sz w:val="20"/>
          <w:szCs w:val="20"/>
        </w:rPr>
        <w:t xml:space="preserve"> of all Victorians will be older than 60.</w:t>
      </w:r>
      <w:r>
        <w:rPr>
          <w:rFonts w:ascii="Arial" w:hAnsi="Arial" w:cs="Arial"/>
          <w:sz w:val="20"/>
          <w:szCs w:val="20"/>
        </w:rPr>
        <w:t xml:space="preserve">  It is important that all older Victorians are provided with opportunities to access all forms of housing including residential aged care facilities </w:t>
      </w:r>
      <w:r w:rsidR="00EA0A15" w:rsidRPr="008408C4">
        <w:rPr>
          <w:rFonts w:ascii="Arial" w:hAnsi="Arial" w:cs="Arial"/>
          <w:sz w:val="20"/>
          <w:szCs w:val="20"/>
        </w:rPr>
        <w:t>within the communities</w:t>
      </w:r>
      <w:r w:rsidR="00EA0A15">
        <w:rPr>
          <w:rFonts w:ascii="Arial" w:hAnsi="Arial" w:cs="Arial"/>
          <w:sz w:val="20"/>
          <w:szCs w:val="20"/>
        </w:rPr>
        <w:t xml:space="preserve"> in </w:t>
      </w:r>
      <w:r w:rsidR="00EA0A15" w:rsidRPr="008408C4">
        <w:rPr>
          <w:rFonts w:ascii="Arial" w:hAnsi="Arial" w:cs="Arial"/>
          <w:sz w:val="20"/>
          <w:szCs w:val="20"/>
        </w:rPr>
        <w:t>which they live.</w:t>
      </w:r>
      <w:r w:rsidR="00EA0A15">
        <w:rPr>
          <w:rFonts w:ascii="Arial" w:hAnsi="Arial" w:cs="Arial"/>
          <w:sz w:val="20"/>
          <w:szCs w:val="20"/>
        </w:rPr>
        <w:t xml:space="preserve"> </w:t>
      </w:r>
    </w:p>
    <w:p w14:paraId="2227DA12" w14:textId="440860B5" w:rsidR="004A06F8" w:rsidRPr="00326D74" w:rsidRDefault="004A06F8" w:rsidP="004A06F8">
      <w:pPr>
        <w:rPr>
          <w:rFonts w:ascii="Arial" w:eastAsia="Calibri" w:hAnsi="Arial" w:cs="Times New Roman"/>
          <w:sz w:val="20"/>
          <w:szCs w:val="20"/>
        </w:rPr>
      </w:pPr>
      <w:r>
        <w:rPr>
          <w:rFonts w:ascii="Arial" w:hAnsi="Arial" w:cs="Arial"/>
          <w:sz w:val="20"/>
          <w:szCs w:val="20"/>
        </w:rPr>
        <w:t xml:space="preserve">Existing state planning policy at Clause 16.01-7S seeks to </w:t>
      </w:r>
      <w:r w:rsidRPr="00326D74">
        <w:rPr>
          <w:rFonts w:ascii="Arial" w:eastAsia="Calibri" w:hAnsi="Arial" w:cs="Times New Roman"/>
          <w:sz w:val="20"/>
          <w:szCs w:val="20"/>
        </w:rPr>
        <w:t>facilitate the development of well-designed and appropriately located residential aged care</w:t>
      </w:r>
      <w:r>
        <w:rPr>
          <w:rFonts w:ascii="Arial" w:eastAsia="Calibri" w:hAnsi="Arial" w:cs="Times New Roman"/>
          <w:sz w:val="20"/>
          <w:szCs w:val="20"/>
        </w:rPr>
        <w:t xml:space="preserve"> facilities and recognises </w:t>
      </w:r>
      <w:r w:rsidRPr="00326D74">
        <w:rPr>
          <w:rFonts w:ascii="Arial" w:eastAsia="Calibri" w:hAnsi="Arial" w:cs="Times New Roman"/>
          <w:sz w:val="20"/>
          <w:szCs w:val="20"/>
        </w:rPr>
        <w:t>that residential aged care facilities contribute to housing diversity and choice and are</w:t>
      </w:r>
      <w:r>
        <w:rPr>
          <w:rFonts w:ascii="Arial" w:eastAsia="Calibri" w:hAnsi="Arial" w:cs="Times New Roman"/>
          <w:sz w:val="20"/>
          <w:szCs w:val="20"/>
        </w:rPr>
        <w:t xml:space="preserve"> </w:t>
      </w:r>
      <w:r w:rsidRPr="00326D74">
        <w:rPr>
          <w:rFonts w:ascii="Arial" w:eastAsia="Calibri" w:hAnsi="Arial" w:cs="Times New Roman"/>
          <w:sz w:val="20"/>
          <w:szCs w:val="20"/>
        </w:rPr>
        <w:t>an appropriate use in a residential area.</w:t>
      </w:r>
      <w:r>
        <w:rPr>
          <w:rFonts w:ascii="Arial" w:eastAsia="Calibri" w:hAnsi="Arial" w:cs="Times New Roman"/>
          <w:sz w:val="20"/>
          <w:szCs w:val="20"/>
        </w:rPr>
        <w:t xml:space="preserve"> Further, </w:t>
      </w:r>
      <w:r w:rsidRPr="00326D74">
        <w:rPr>
          <w:rFonts w:ascii="Arial" w:eastAsia="Calibri" w:hAnsi="Arial" w:cs="Times New Roman"/>
          <w:sz w:val="20"/>
          <w:szCs w:val="20"/>
        </w:rPr>
        <w:t>that residential aged care facilities are different to dwelling</w:t>
      </w:r>
      <w:r>
        <w:rPr>
          <w:rFonts w:ascii="Arial" w:eastAsia="Calibri" w:hAnsi="Arial" w:cs="Times New Roman"/>
          <w:sz w:val="20"/>
          <w:szCs w:val="20"/>
        </w:rPr>
        <w:t xml:space="preserve">s in their purpose and function </w:t>
      </w:r>
      <w:r w:rsidRPr="00326D74">
        <w:rPr>
          <w:rFonts w:ascii="Arial" w:eastAsia="Calibri" w:hAnsi="Arial" w:cs="Times New Roman"/>
          <w:sz w:val="20"/>
          <w:szCs w:val="20"/>
        </w:rPr>
        <w:t>and will have a different built form (including height, scale and mass).</w:t>
      </w:r>
    </w:p>
    <w:p w14:paraId="2BB857A4" w14:textId="25DCAC76" w:rsidR="003514C8" w:rsidRDefault="00EA0A15" w:rsidP="00E26D38">
      <w:pPr>
        <w:rPr>
          <w:rFonts w:ascii="Arial" w:hAnsi="Arial" w:cs="Arial"/>
          <w:sz w:val="20"/>
          <w:szCs w:val="20"/>
        </w:rPr>
      </w:pPr>
      <w:r>
        <w:rPr>
          <w:rFonts w:ascii="Arial" w:hAnsi="Arial" w:cs="Arial"/>
          <w:sz w:val="20"/>
          <w:szCs w:val="20"/>
        </w:rPr>
        <w:t xml:space="preserve">The </w:t>
      </w:r>
      <w:r w:rsidRPr="008408C4">
        <w:rPr>
          <w:rFonts w:ascii="Arial" w:hAnsi="Arial" w:cs="Arial"/>
          <w:i/>
          <w:sz w:val="20"/>
          <w:szCs w:val="20"/>
        </w:rPr>
        <w:t>Managing Residential Development Advisory Committee – Residential Zones Review</w:t>
      </w:r>
      <w:r w:rsidRPr="008408C4">
        <w:rPr>
          <w:rFonts w:ascii="Arial" w:hAnsi="Arial" w:cs="Arial"/>
          <w:sz w:val="20"/>
          <w:szCs w:val="20"/>
        </w:rPr>
        <w:t xml:space="preserve"> </w:t>
      </w:r>
      <w:r>
        <w:rPr>
          <w:rFonts w:ascii="Arial" w:hAnsi="Arial" w:cs="Arial"/>
          <w:sz w:val="20"/>
          <w:szCs w:val="20"/>
        </w:rPr>
        <w:t xml:space="preserve">report </w:t>
      </w:r>
      <w:r w:rsidRPr="008408C4">
        <w:rPr>
          <w:rFonts w:ascii="Arial" w:hAnsi="Arial" w:cs="Arial"/>
          <w:sz w:val="20"/>
          <w:szCs w:val="20"/>
        </w:rPr>
        <w:t>identified the need for residential zones to</w:t>
      </w:r>
      <w:r>
        <w:rPr>
          <w:rFonts w:ascii="Arial" w:hAnsi="Arial" w:cs="Arial"/>
          <w:sz w:val="20"/>
          <w:szCs w:val="20"/>
        </w:rPr>
        <w:t xml:space="preserve"> </w:t>
      </w:r>
      <w:r w:rsidRPr="008408C4">
        <w:rPr>
          <w:rFonts w:ascii="Arial" w:hAnsi="Arial" w:cs="Arial"/>
          <w:sz w:val="20"/>
          <w:szCs w:val="20"/>
        </w:rPr>
        <w:t>provide greater support and flexibility</w:t>
      </w:r>
      <w:r>
        <w:rPr>
          <w:rFonts w:ascii="Arial" w:hAnsi="Arial" w:cs="Arial"/>
          <w:sz w:val="20"/>
          <w:szCs w:val="20"/>
        </w:rPr>
        <w:t xml:space="preserve"> for the development of </w:t>
      </w:r>
      <w:r w:rsidR="00E26D38">
        <w:rPr>
          <w:rFonts w:ascii="Arial" w:hAnsi="Arial" w:cs="Arial"/>
          <w:sz w:val="20"/>
          <w:szCs w:val="20"/>
        </w:rPr>
        <w:t xml:space="preserve">residential aged care facilities </w:t>
      </w:r>
      <w:r>
        <w:rPr>
          <w:rFonts w:ascii="Arial" w:hAnsi="Arial" w:cs="Arial"/>
          <w:sz w:val="20"/>
          <w:szCs w:val="20"/>
        </w:rPr>
        <w:t>within existing residential areas consistent with state planning policy</w:t>
      </w:r>
      <w:r w:rsidRPr="008408C4">
        <w:rPr>
          <w:rFonts w:ascii="Arial" w:hAnsi="Arial" w:cs="Arial"/>
          <w:sz w:val="20"/>
          <w:szCs w:val="20"/>
        </w:rPr>
        <w:t>.</w:t>
      </w:r>
    </w:p>
    <w:p w14:paraId="26875596" w14:textId="7EF9ADCC" w:rsidR="003514C8" w:rsidRDefault="00E26D38" w:rsidP="00E26D38">
      <w:pPr>
        <w:rPr>
          <w:rFonts w:ascii="Arial" w:hAnsi="Arial" w:cs="Arial"/>
          <w:sz w:val="20"/>
          <w:szCs w:val="20"/>
        </w:rPr>
      </w:pPr>
      <w:r>
        <w:rPr>
          <w:rFonts w:ascii="Arial" w:hAnsi="Arial" w:cs="Arial"/>
          <w:sz w:val="20"/>
          <w:szCs w:val="20"/>
        </w:rPr>
        <w:t xml:space="preserve">The Committee recommended that </w:t>
      </w:r>
      <w:r w:rsidRPr="00E26D38">
        <w:rPr>
          <w:rFonts w:ascii="Arial" w:hAnsi="Arial" w:cs="Arial"/>
          <w:sz w:val="20"/>
          <w:szCs w:val="20"/>
        </w:rPr>
        <w:t xml:space="preserve">residential aged care facilities </w:t>
      </w:r>
      <w:r>
        <w:rPr>
          <w:rFonts w:ascii="Arial" w:hAnsi="Arial" w:cs="Arial"/>
          <w:sz w:val="20"/>
          <w:szCs w:val="20"/>
        </w:rPr>
        <w:t xml:space="preserve">be </w:t>
      </w:r>
      <w:r w:rsidRPr="00E26D38">
        <w:rPr>
          <w:rFonts w:ascii="Arial" w:hAnsi="Arial" w:cs="Arial"/>
          <w:sz w:val="20"/>
          <w:szCs w:val="20"/>
        </w:rPr>
        <w:t>from the maximum building height requirements in th</w:t>
      </w:r>
      <w:r>
        <w:rPr>
          <w:rFonts w:ascii="Arial" w:hAnsi="Arial" w:cs="Arial"/>
          <w:sz w:val="20"/>
          <w:szCs w:val="20"/>
        </w:rPr>
        <w:t xml:space="preserve">e </w:t>
      </w:r>
      <w:r w:rsidRPr="00E26D38">
        <w:rPr>
          <w:rFonts w:ascii="Arial" w:hAnsi="Arial" w:cs="Arial"/>
          <w:sz w:val="20"/>
          <w:szCs w:val="20"/>
        </w:rPr>
        <w:t>residential zones</w:t>
      </w:r>
      <w:r>
        <w:rPr>
          <w:rFonts w:ascii="Arial" w:hAnsi="Arial" w:cs="Arial"/>
          <w:sz w:val="20"/>
          <w:szCs w:val="20"/>
        </w:rPr>
        <w:t xml:space="preserve">.  The Government accepted this recommendation </w:t>
      </w:r>
      <w:r w:rsidR="004A06F8">
        <w:rPr>
          <w:rFonts w:ascii="Arial" w:hAnsi="Arial" w:cs="Arial"/>
          <w:sz w:val="20"/>
          <w:szCs w:val="20"/>
        </w:rPr>
        <w:t xml:space="preserve">and </w:t>
      </w:r>
      <w:r w:rsidRPr="00E26D38">
        <w:rPr>
          <w:rFonts w:ascii="Arial" w:hAnsi="Arial" w:cs="Arial"/>
          <w:sz w:val="20"/>
          <w:szCs w:val="20"/>
        </w:rPr>
        <w:t>establish</w:t>
      </w:r>
      <w:r>
        <w:rPr>
          <w:rFonts w:ascii="Arial" w:hAnsi="Arial" w:cs="Arial"/>
          <w:sz w:val="20"/>
          <w:szCs w:val="20"/>
        </w:rPr>
        <w:t>ed</w:t>
      </w:r>
      <w:r w:rsidRPr="00E26D38">
        <w:rPr>
          <w:rFonts w:ascii="Arial" w:hAnsi="Arial" w:cs="Arial"/>
          <w:sz w:val="20"/>
          <w:szCs w:val="20"/>
        </w:rPr>
        <w:t xml:space="preserve"> a working group with council</w:t>
      </w:r>
      <w:r>
        <w:rPr>
          <w:rFonts w:ascii="Arial" w:hAnsi="Arial" w:cs="Arial"/>
          <w:sz w:val="20"/>
          <w:szCs w:val="20"/>
        </w:rPr>
        <w:t xml:space="preserve">s, aged care providers and other </w:t>
      </w:r>
      <w:r w:rsidRPr="00E26D38">
        <w:rPr>
          <w:rFonts w:ascii="Arial" w:hAnsi="Arial" w:cs="Arial"/>
          <w:sz w:val="20"/>
          <w:szCs w:val="20"/>
        </w:rPr>
        <w:t>stakeholders to identify the best ways to integrate these facilities into local neighbourhoods</w:t>
      </w:r>
      <w:r w:rsidR="003514C8">
        <w:rPr>
          <w:rFonts w:ascii="Arial" w:hAnsi="Arial" w:cs="Arial"/>
          <w:sz w:val="20"/>
          <w:szCs w:val="20"/>
        </w:rPr>
        <w:t>.</w:t>
      </w:r>
    </w:p>
    <w:p w14:paraId="7278F7F1" w14:textId="5EBB30CF" w:rsidR="003514C8" w:rsidRDefault="003514C8" w:rsidP="003514C8">
      <w:pPr>
        <w:rPr>
          <w:rFonts w:ascii="Arial" w:eastAsia="Calibri" w:hAnsi="Arial" w:cs="Times New Roman"/>
          <w:sz w:val="20"/>
          <w:szCs w:val="20"/>
        </w:rPr>
      </w:pPr>
      <w:r>
        <w:rPr>
          <w:rFonts w:ascii="Arial" w:hAnsi="Arial" w:cs="Arial"/>
          <w:sz w:val="20"/>
          <w:szCs w:val="20"/>
        </w:rPr>
        <w:t xml:space="preserve">The working group was guided by Action 31 </w:t>
      </w:r>
      <w:r w:rsidRPr="003514C8">
        <w:rPr>
          <w:rFonts w:ascii="Arial" w:hAnsi="Arial" w:cs="Arial"/>
          <w:i/>
          <w:sz w:val="20"/>
          <w:szCs w:val="20"/>
        </w:rPr>
        <w:t>Streamline the approvals process for specific housing types</w:t>
      </w:r>
      <w:r>
        <w:rPr>
          <w:rFonts w:ascii="Arial" w:hAnsi="Arial" w:cs="Arial"/>
          <w:sz w:val="20"/>
          <w:szCs w:val="20"/>
        </w:rPr>
        <w:t xml:space="preserve"> outlined in the </w:t>
      </w:r>
      <w:r w:rsidRPr="008408C4">
        <w:rPr>
          <w:rFonts w:ascii="Arial" w:hAnsi="Arial" w:cs="Arial"/>
          <w:i/>
          <w:sz w:val="20"/>
          <w:szCs w:val="20"/>
        </w:rPr>
        <w:t>Plan Melbourne 2017 – 2050</w:t>
      </w:r>
      <w:r>
        <w:rPr>
          <w:rFonts w:ascii="Arial" w:hAnsi="Arial" w:cs="Arial"/>
          <w:i/>
          <w:sz w:val="20"/>
          <w:szCs w:val="20"/>
        </w:rPr>
        <w:t xml:space="preserve"> </w:t>
      </w:r>
      <w:r w:rsidRPr="003514C8">
        <w:rPr>
          <w:rFonts w:ascii="Arial" w:hAnsi="Arial" w:cs="Arial"/>
          <w:sz w:val="20"/>
          <w:szCs w:val="20"/>
        </w:rPr>
        <w:t>five-year implementation</w:t>
      </w:r>
      <w:r w:rsidRPr="008408C4">
        <w:rPr>
          <w:rFonts w:ascii="Arial" w:hAnsi="Arial" w:cs="Arial"/>
          <w:sz w:val="20"/>
          <w:szCs w:val="20"/>
        </w:rPr>
        <w:t xml:space="preserve"> </w:t>
      </w:r>
      <w:r>
        <w:rPr>
          <w:rFonts w:ascii="Arial" w:hAnsi="Arial" w:cs="Arial"/>
          <w:sz w:val="20"/>
          <w:szCs w:val="20"/>
        </w:rPr>
        <w:t xml:space="preserve">plan.  Action 31 committed the Government to the </w:t>
      </w:r>
      <w:r>
        <w:rPr>
          <w:rFonts w:ascii="Arial" w:eastAsia="Calibri" w:hAnsi="Arial" w:cs="Times New Roman"/>
          <w:sz w:val="20"/>
          <w:szCs w:val="20"/>
        </w:rPr>
        <w:t>d</w:t>
      </w:r>
      <w:r w:rsidRPr="003514C8">
        <w:rPr>
          <w:rFonts w:ascii="Arial" w:eastAsia="Calibri" w:hAnsi="Arial" w:cs="Times New Roman"/>
          <w:sz w:val="20"/>
          <w:szCs w:val="20"/>
        </w:rPr>
        <w:t>evelop</w:t>
      </w:r>
      <w:r w:rsidR="004A06F8">
        <w:rPr>
          <w:rFonts w:ascii="Arial" w:eastAsia="Calibri" w:hAnsi="Arial" w:cs="Times New Roman"/>
          <w:sz w:val="20"/>
          <w:szCs w:val="20"/>
        </w:rPr>
        <w:t>ment</w:t>
      </w:r>
      <w:r w:rsidRPr="003514C8">
        <w:rPr>
          <w:rFonts w:ascii="Arial" w:eastAsia="Calibri" w:hAnsi="Arial" w:cs="Times New Roman"/>
          <w:sz w:val="20"/>
          <w:szCs w:val="20"/>
        </w:rPr>
        <w:t xml:space="preserve"> and implemen</w:t>
      </w:r>
      <w:r>
        <w:rPr>
          <w:rFonts w:ascii="Arial" w:eastAsia="Calibri" w:hAnsi="Arial" w:cs="Times New Roman"/>
          <w:sz w:val="20"/>
          <w:szCs w:val="20"/>
        </w:rPr>
        <w:t>tation</w:t>
      </w:r>
      <w:r w:rsidRPr="003514C8">
        <w:rPr>
          <w:rFonts w:ascii="Arial" w:eastAsia="Calibri" w:hAnsi="Arial" w:cs="Times New Roman"/>
          <w:sz w:val="20"/>
          <w:szCs w:val="20"/>
        </w:rPr>
        <w:t xml:space="preserve"> </w:t>
      </w:r>
      <w:r>
        <w:rPr>
          <w:rFonts w:ascii="Arial" w:eastAsia="Calibri" w:hAnsi="Arial" w:cs="Times New Roman"/>
          <w:sz w:val="20"/>
          <w:szCs w:val="20"/>
        </w:rPr>
        <w:t>of</w:t>
      </w:r>
      <w:r w:rsidRPr="003514C8">
        <w:rPr>
          <w:rFonts w:ascii="Arial" w:eastAsia="Calibri" w:hAnsi="Arial" w:cs="Times New Roman"/>
          <w:sz w:val="20"/>
          <w:szCs w:val="20"/>
        </w:rPr>
        <w:t xml:space="preserve"> streamlined approvals process</w:t>
      </w:r>
      <w:r>
        <w:rPr>
          <w:rFonts w:ascii="Arial" w:eastAsia="Calibri" w:hAnsi="Arial" w:cs="Times New Roman"/>
          <w:sz w:val="20"/>
          <w:szCs w:val="20"/>
        </w:rPr>
        <w:t>es</w:t>
      </w:r>
      <w:r w:rsidRPr="003514C8">
        <w:rPr>
          <w:rFonts w:ascii="Arial" w:eastAsia="Calibri" w:hAnsi="Arial" w:cs="Times New Roman"/>
          <w:sz w:val="20"/>
          <w:szCs w:val="20"/>
        </w:rPr>
        <w:t xml:space="preserve"> for specific housing types that address local housing gaps such as aged-care accommodation, secondary dwellings and student housing</w:t>
      </w:r>
      <w:r>
        <w:rPr>
          <w:rFonts w:ascii="Arial" w:eastAsia="Calibri" w:hAnsi="Arial" w:cs="Times New Roman"/>
          <w:sz w:val="20"/>
          <w:szCs w:val="20"/>
        </w:rPr>
        <w:t xml:space="preserve"> in the short term</w:t>
      </w:r>
      <w:r w:rsidRPr="003514C8">
        <w:rPr>
          <w:rFonts w:ascii="Arial" w:eastAsia="Calibri" w:hAnsi="Arial" w:cs="Times New Roman"/>
          <w:sz w:val="20"/>
          <w:szCs w:val="20"/>
        </w:rPr>
        <w:t>.</w:t>
      </w:r>
    </w:p>
    <w:p w14:paraId="0F1640BA" w14:textId="63021A14" w:rsidR="00EA0A15" w:rsidRPr="00E26D38" w:rsidRDefault="00EA0A15" w:rsidP="00B30AF9">
      <w:pPr>
        <w:rPr>
          <w:rFonts w:ascii="Arial" w:hAnsi="Arial" w:cs="Arial"/>
          <w:b/>
          <w:sz w:val="20"/>
          <w:szCs w:val="20"/>
        </w:rPr>
      </w:pPr>
      <w:r w:rsidRPr="00E26D38">
        <w:rPr>
          <w:rFonts w:ascii="Arial" w:hAnsi="Arial" w:cs="Arial"/>
          <w:b/>
          <w:sz w:val="20"/>
          <w:szCs w:val="20"/>
        </w:rPr>
        <w:t xml:space="preserve">How does the new </w:t>
      </w:r>
      <w:proofErr w:type="gramStart"/>
      <w:r w:rsidR="0056200C">
        <w:rPr>
          <w:rFonts w:ascii="Arial" w:hAnsi="Arial" w:cs="Arial"/>
          <w:b/>
          <w:sz w:val="20"/>
          <w:szCs w:val="20"/>
        </w:rPr>
        <w:t xml:space="preserve">particular </w:t>
      </w:r>
      <w:r w:rsidRPr="00E26D38">
        <w:rPr>
          <w:rFonts w:ascii="Arial" w:hAnsi="Arial" w:cs="Arial"/>
          <w:b/>
          <w:sz w:val="20"/>
          <w:szCs w:val="20"/>
        </w:rPr>
        <w:t>provision</w:t>
      </w:r>
      <w:proofErr w:type="gramEnd"/>
      <w:r w:rsidRPr="00E26D38">
        <w:rPr>
          <w:rFonts w:ascii="Arial" w:hAnsi="Arial" w:cs="Arial"/>
          <w:b/>
          <w:sz w:val="20"/>
          <w:szCs w:val="20"/>
        </w:rPr>
        <w:t xml:space="preserve"> operate?</w:t>
      </w:r>
    </w:p>
    <w:p w14:paraId="475848A5" w14:textId="698E67A7" w:rsidR="00B30AF9" w:rsidRDefault="00B30AF9" w:rsidP="00B30AF9">
      <w:pPr>
        <w:rPr>
          <w:rFonts w:ascii="Arial" w:hAnsi="Arial" w:cs="Arial"/>
          <w:sz w:val="20"/>
          <w:szCs w:val="20"/>
        </w:rPr>
      </w:pPr>
      <w:r>
        <w:rPr>
          <w:rFonts w:ascii="Arial" w:hAnsi="Arial" w:cs="Arial"/>
          <w:sz w:val="20"/>
          <w:szCs w:val="20"/>
        </w:rPr>
        <w:t xml:space="preserve">The </w:t>
      </w:r>
      <w:r w:rsidR="004A06F8">
        <w:rPr>
          <w:rFonts w:ascii="Arial" w:hAnsi="Arial" w:cs="Arial"/>
          <w:sz w:val="20"/>
          <w:szCs w:val="20"/>
        </w:rPr>
        <w:t xml:space="preserve">new </w:t>
      </w:r>
      <w:proofErr w:type="gramStart"/>
      <w:r w:rsidR="004A06F8">
        <w:rPr>
          <w:rFonts w:ascii="Arial" w:hAnsi="Arial" w:cs="Arial"/>
          <w:sz w:val="20"/>
          <w:szCs w:val="20"/>
        </w:rPr>
        <w:t xml:space="preserve">particular </w:t>
      </w:r>
      <w:r>
        <w:rPr>
          <w:rFonts w:ascii="Arial" w:hAnsi="Arial" w:cs="Arial"/>
          <w:sz w:val="20"/>
          <w:szCs w:val="20"/>
        </w:rPr>
        <w:t>provision</w:t>
      </w:r>
      <w:proofErr w:type="gramEnd"/>
      <w:r>
        <w:rPr>
          <w:rFonts w:ascii="Arial" w:hAnsi="Arial" w:cs="Arial"/>
          <w:sz w:val="20"/>
          <w:szCs w:val="20"/>
        </w:rPr>
        <w:t xml:space="preserve"> applies to the development of land for a </w:t>
      </w:r>
      <w:r w:rsidR="004A06F8">
        <w:rPr>
          <w:rFonts w:ascii="Arial" w:hAnsi="Arial" w:cs="Arial"/>
          <w:sz w:val="20"/>
          <w:szCs w:val="20"/>
        </w:rPr>
        <w:t>residential aged care facility</w:t>
      </w:r>
      <w:r>
        <w:rPr>
          <w:rFonts w:ascii="Arial" w:hAnsi="Arial" w:cs="Arial"/>
          <w:sz w:val="20"/>
          <w:szCs w:val="20"/>
        </w:rPr>
        <w:t xml:space="preserve"> </w:t>
      </w:r>
      <w:r w:rsidR="004A06F8">
        <w:rPr>
          <w:rFonts w:ascii="Arial" w:hAnsi="Arial" w:cs="Arial"/>
          <w:sz w:val="20"/>
          <w:szCs w:val="20"/>
        </w:rPr>
        <w:t>in</w:t>
      </w:r>
      <w:r>
        <w:rPr>
          <w:rFonts w:ascii="Arial" w:hAnsi="Arial" w:cs="Arial"/>
          <w:sz w:val="20"/>
          <w:szCs w:val="20"/>
        </w:rPr>
        <w:t xml:space="preserve"> the NRZ, GRZ, RGZ, MUZ, and TZ.  The requirements of the provision override other requirements found in a planning scheme to provide </w:t>
      </w:r>
      <w:proofErr w:type="spellStart"/>
      <w:r w:rsidR="000B1D85">
        <w:rPr>
          <w:rFonts w:ascii="Arial" w:hAnsi="Arial" w:cs="Arial"/>
          <w:sz w:val="20"/>
          <w:szCs w:val="20"/>
        </w:rPr>
        <w:t>state</w:t>
      </w:r>
      <w:r w:rsidR="0073255A">
        <w:rPr>
          <w:rFonts w:ascii="Arial" w:hAnsi="Arial" w:cs="Arial"/>
          <w:sz w:val="20"/>
          <w:szCs w:val="20"/>
        </w:rPr>
        <w:t>wide</w:t>
      </w:r>
      <w:proofErr w:type="spellEnd"/>
      <w:r w:rsidR="0073255A">
        <w:rPr>
          <w:rFonts w:ascii="Arial" w:hAnsi="Arial" w:cs="Arial"/>
          <w:sz w:val="20"/>
          <w:szCs w:val="20"/>
        </w:rPr>
        <w:t xml:space="preserve"> </w:t>
      </w:r>
      <w:r>
        <w:rPr>
          <w:rFonts w:ascii="Arial" w:hAnsi="Arial" w:cs="Arial"/>
          <w:sz w:val="20"/>
          <w:szCs w:val="20"/>
        </w:rPr>
        <w:t>consistency and certainty</w:t>
      </w:r>
      <w:r w:rsidR="004A06F8">
        <w:rPr>
          <w:rFonts w:ascii="Arial" w:hAnsi="Arial" w:cs="Arial"/>
          <w:sz w:val="20"/>
          <w:szCs w:val="20"/>
        </w:rPr>
        <w:t xml:space="preserve"> about the development of residential aged care facilities</w:t>
      </w:r>
      <w:r w:rsidR="006D74FA">
        <w:rPr>
          <w:rFonts w:ascii="Arial" w:hAnsi="Arial" w:cs="Arial"/>
          <w:sz w:val="20"/>
          <w:szCs w:val="20"/>
        </w:rPr>
        <w:t xml:space="preserve"> in residential areas</w:t>
      </w:r>
      <w:r>
        <w:rPr>
          <w:rFonts w:ascii="Arial" w:hAnsi="Arial" w:cs="Arial"/>
          <w:sz w:val="20"/>
          <w:szCs w:val="20"/>
        </w:rPr>
        <w:t>.</w:t>
      </w:r>
    </w:p>
    <w:p w14:paraId="57B1A5F4" w14:textId="2F096816" w:rsidR="0073255A" w:rsidRDefault="0073255A" w:rsidP="00B30AF9">
      <w:pPr>
        <w:rPr>
          <w:rFonts w:ascii="Arial" w:hAnsi="Arial" w:cs="Arial"/>
          <w:sz w:val="20"/>
          <w:szCs w:val="20"/>
        </w:rPr>
      </w:pPr>
      <w:r>
        <w:rPr>
          <w:rFonts w:ascii="Arial" w:hAnsi="Arial" w:cs="Arial"/>
          <w:sz w:val="20"/>
          <w:szCs w:val="20"/>
        </w:rPr>
        <w:t>A residential aged care facility is no longer assessed as a residential building under Clause 55 of the VPP.</w:t>
      </w:r>
      <w:r w:rsidR="0056200C" w:rsidRPr="0056200C">
        <w:rPr>
          <w:rFonts w:ascii="Arial" w:hAnsi="Arial" w:cs="Arial"/>
          <w:sz w:val="20"/>
          <w:szCs w:val="20"/>
        </w:rPr>
        <w:t xml:space="preserve"> </w:t>
      </w:r>
      <w:r w:rsidR="0056200C">
        <w:rPr>
          <w:rFonts w:ascii="Arial" w:hAnsi="Arial" w:cs="Arial"/>
          <w:sz w:val="20"/>
          <w:szCs w:val="20"/>
        </w:rPr>
        <w:t xml:space="preserve"> Relevant C</w:t>
      </w:r>
      <w:r w:rsidR="006D74FA">
        <w:rPr>
          <w:rFonts w:ascii="Arial" w:hAnsi="Arial" w:cs="Arial"/>
          <w:sz w:val="20"/>
          <w:szCs w:val="20"/>
        </w:rPr>
        <w:t>lause 55 standards have been ada</w:t>
      </w:r>
      <w:r w:rsidR="0056200C">
        <w:rPr>
          <w:rFonts w:ascii="Arial" w:hAnsi="Arial" w:cs="Arial"/>
          <w:sz w:val="20"/>
          <w:szCs w:val="20"/>
        </w:rPr>
        <w:t xml:space="preserve">pted or modified to be ‘fit for purpose’ for application in the new </w:t>
      </w:r>
      <w:proofErr w:type="gramStart"/>
      <w:r w:rsidR="0056200C">
        <w:rPr>
          <w:rFonts w:ascii="Arial" w:hAnsi="Arial" w:cs="Arial"/>
          <w:sz w:val="20"/>
          <w:szCs w:val="20"/>
        </w:rPr>
        <w:t>particular provision</w:t>
      </w:r>
      <w:proofErr w:type="gramEnd"/>
      <w:r w:rsidR="0056200C">
        <w:rPr>
          <w:rFonts w:ascii="Arial" w:hAnsi="Arial" w:cs="Arial"/>
          <w:sz w:val="20"/>
          <w:szCs w:val="20"/>
        </w:rPr>
        <w:t xml:space="preserve">.  </w:t>
      </w:r>
    </w:p>
    <w:p w14:paraId="2BDF8C94" w14:textId="325FFD08" w:rsidR="0056200C" w:rsidRDefault="0073255A" w:rsidP="0073255A">
      <w:pPr>
        <w:rPr>
          <w:rFonts w:ascii="Arial" w:hAnsi="Arial" w:cs="Arial"/>
          <w:sz w:val="20"/>
          <w:szCs w:val="20"/>
        </w:rPr>
      </w:pPr>
      <w:r>
        <w:rPr>
          <w:rFonts w:ascii="Arial" w:hAnsi="Arial" w:cs="Arial"/>
          <w:sz w:val="20"/>
          <w:szCs w:val="20"/>
        </w:rPr>
        <w:t xml:space="preserve">Under the new </w:t>
      </w:r>
      <w:proofErr w:type="gramStart"/>
      <w:r>
        <w:rPr>
          <w:rFonts w:ascii="Arial" w:hAnsi="Arial" w:cs="Arial"/>
          <w:sz w:val="20"/>
          <w:szCs w:val="20"/>
        </w:rPr>
        <w:t>particular provision</w:t>
      </w:r>
      <w:proofErr w:type="gramEnd"/>
      <w:r>
        <w:rPr>
          <w:rFonts w:ascii="Arial" w:hAnsi="Arial" w:cs="Arial"/>
          <w:sz w:val="20"/>
          <w:szCs w:val="20"/>
        </w:rPr>
        <w:t>, a</w:t>
      </w:r>
      <w:r w:rsidR="00B30AF9">
        <w:rPr>
          <w:rFonts w:ascii="Arial" w:hAnsi="Arial" w:cs="Arial"/>
          <w:sz w:val="20"/>
          <w:szCs w:val="20"/>
        </w:rPr>
        <w:t xml:space="preserve"> planning permit is required </w:t>
      </w:r>
      <w:r w:rsidR="004A06F8">
        <w:rPr>
          <w:rFonts w:ascii="Arial" w:hAnsi="Arial" w:cs="Arial"/>
          <w:sz w:val="20"/>
          <w:szCs w:val="20"/>
        </w:rPr>
        <w:t>to construct a building, construct or carry out</w:t>
      </w:r>
      <w:r w:rsidR="00B30AF9">
        <w:rPr>
          <w:rFonts w:ascii="Arial" w:hAnsi="Arial" w:cs="Arial"/>
          <w:sz w:val="20"/>
          <w:szCs w:val="20"/>
        </w:rPr>
        <w:t xml:space="preserve"> works associated with a </w:t>
      </w:r>
      <w:r w:rsidR="004A06F8">
        <w:rPr>
          <w:rFonts w:ascii="Arial" w:hAnsi="Arial" w:cs="Arial"/>
          <w:sz w:val="20"/>
          <w:szCs w:val="20"/>
        </w:rPr>
        <w:t>residential aged care facility</w:t>
      </w:r>
      <w:r>
        <w:rPr>
          <w:rFonts w:ascii="Arial" w:hAnsi="Arial" w:cs="Arial"/>
          <w:sz w:val="20"/>
          <w:szCs w:val="20"/>
        </w:rPr>
        <w:t xml:space="preserve">. </w:t>
      </w:r>
      <w:r w:rsidR="006D74FA">
        <w:rPr>
          <w:rFonts w:ascii="Arial" w:hAnsi="Arial" w:cs="Arial"/>
          <w:sz w:val="20"/>
          <w:szCs w:val="20"/>
        </w:rPr>
        <w:t xml:space="preserve"> </w:t>
      </w:r>
      <w:r w:rsidR="0056200C">
        <w:rPr>
          <w:rFonts w:ascii="Arial" w:hAnsi="Arial" w:cs="Arial"/>
          <w:sz w:val="20"/>
          <w:szCs w:val="20"/>
        </w:rPr>
        <w:t>A permit application continues to be subject to the regular permit process including the requirement to form a view as to whether the proposed development is likely to cause material detriment</w:t>
      </w:r>
      <w:r w:rsidR="006D74FA">
        <w:rPr>
          <w:rFonts w:ascii="Arial" w:hAnsi="Arial" w:cs="Arial"/>
          <w:sz w:val="20"/>
          <w:szCs w:val="20"/>
        </w:rPr>
        <w:t xml:space="preserve"> and require </w:t>
      </w:r>
      <w:r w:rsidR="003C1E31">
        <w:rPr>
          <w:rFonts w:ascii="Arial" w:hAnsi="Arial" w:cs="Arial"/>
          <w:sz w:val="20"/>
          <w:szCs w:val="20"/>
        </w:rPr>
        <w:t>giving notice</w:t>
      </w:r>
      <w:r w:rsidR="0056200C">
        <w:rPr>
          <w:rFonts w:ascii="Arial" w:hAnsi="Arial" w:cs="Arial"/>
          <w:sz w:val="20"/>
          <w:szCs w:val="20"/>
        </w:rPr>
        <w:t>.</w:t>
      </w:r>
    </w:p>
    <w:p w14:paraId="773B00E2" w14:textId="277AF513" w:rsidR="00B30AF9" w:rsidRDefault="0073255A" w:rsidP="0073255A">
      <w:pPr>
        <w:rPr>
          <w:rFonts w:ascii="Arial" w:hAnsi="Arial" w:cs="Arial"/>
          <w:sz w:val="20"/>
          <w:szCs w:val="20"/>
        </w:rPr>
      </w:pPr>
      <w:r>
        <w:rPr>
          <w:rFonts w:ascii="Arial" w:hAnsi="Arial" w:cs="Arial"/>
          <w:sz w:val="20"/>
          <w:szCs w:val="20"/>
        </w:rPr>
        <w:t>The</w:t>
      </w:r>
      <w:r w:rsidR="00B30AF9">
        <w:rPr>
          <w:rFonts w:ascii="Arial" w:hAnsi="Arial" w:cs="Arial"/>
          <w:sz w:val="20"/>
          <w:szCs w:val="20"/>
        </w:rPr>
        <w:t xml:space="preserve"> maximum building height </w:t>
      </w:r>
      <w:r>
        <w:rPr>
          <w:rFonts w:ascii="Arial" w:hAnsi="Arial" w:cs="Arial"/>
          <w:sz w:val="20"/>
          <w:szCs w:val="20"/>
        </w:rPr>
        <w:t>of a residential aged care facility must not exceed 16 metres in</w:t>
      </w:r>
      <w:r w:rsidR="00B30AF9">
        <w:rPr>
          <w:rFonts w:ascii="Arial" w:hAnsi="Arial" w:cs="Arial"/>
          <w:sz w:val="20"/>
          <w:szCs w:val="20"/>
        </w:rPr>
        <w:t xml:space="preserve"> the NRZ, GRZ and TZ</w:t>
      </w:r>
      <w:r>
        <w:rPr>
          <w:rFonts w:ascii="Arial" w:hAnsi="Arial" w:cs="Arial"/>
          <w:sz w:val="20"/>
          <w:szCs w:val="20"/>
        </w:rPr>
        <w:t xml:space="preserve"> and should not exceed 16 metres in the </w:t>
      </w:r>
      <w:r w:rsidR="00B30AF9">
        <w:rPr>
          <w:rFonts w:ascii="Arial" w:hAnsi="Arial" w:cs="Arial"/>
          <w:sz w:val="20"/>
          <w:szCs w:val="20"/>
        </w:rPr>
        <w:t>MUZ and RGZ</w:t>
      </w:r>
      <w:r>
        <w:rPr>
          <w:rFonts w:ascii="Arial" w:hAnsi="Arial" w:cs="Arial"/>
          <w:sz w:val="20"/>
          <w:szCs w:val="20"/>
        </w:rPr>
        <w:t>.</w:t>
      </w:r>
    </w:p>
    <w:p w14:paraId="0E4F6E82" w14:textId="1A73770A" w:rsidR="003C1E31" w:rsidRDefault="003C1E31" w:rsidP="0073255A">
      <w:pPr>
        <w:rPr>
          <w:rFonts w:ascii="Arial" w:hAnsi="Arial" w:cs="Arial"/>
          <w:sz w:val="20"/>
          <w:szCs w:val="20"/>
        </w:rPr>
      </w:pPr>
      <w:r>
        <w:rPr>
          <w:rFonts w:ascii="Arial" w:hAnsi="Arial" w:cs="Arial"/>
          <w:sz w:val="20"/>
          <w:szCs w:val="20"/>
        </w:rPr>
        <w:t>All other development requirements should be met</w:t>
      </w:r>
      <w:r w:rsidR="000D435A">
        <w:rPr>
          <w:rFonts w:ascii="Arial" w:hAnsi="Arial" w:cs="Arial"/>
          <w:sz w:val="20"/>
          <w:szCs w:val="20"/>
        </w:rPr>
        <w:t>.  Where they are not met, t</w:t>
      </w:r>
      <w:r w:rsidR="009204C7">
        <w:rPr>
          <w:rFonts w:ascii="Arial" w:hAnsi="Arial" w:cs="Arial"/>
          <w:sz w:val="20"/>
          <w:szCs w:val="20"/>
        </w:rPr>
        <w:t xml:space="preserve">he </w:t>
      </w:r>
      <w:proofErr w:type="gramStart"/>
      <w:r w:rsidR="009204C7">
        <w:rPr>
          <w:rFonts w:ascii="Arial" w:hAnsi="Arial" w:cs="Arial"/>
          <w:sz w:val="20"/>
          <w:szCs w:val="20"/>
        </w:rPr>
        <w:t>particular provision</w:t>
      </w:r>
      <w:proofErr w:type="gramEnd"/>
      <w:r w:rsidR="009204C7">
        <w:rPr>
          <w:rFonts w:ascii="Arial" w:hAnsi="Arial" w:cs="Arial"/>
          <w:sz w:val="20"/>
          <w:szCs w:val="20"/>
        </w:rPr>
        <w:t xml:space="preserve"> provides</w:t>
      </w:r>
      <w:r w:rsidR="000D435A">
        <w:rPr>
          <w:rFonts w:ascii="Arial" w:hAnsi="Arial" w:cs="Arial"/>
          <w:sz w:val="20"/>
          <w:szCs w:val="20"/>
        </w:rPr>
        <w:t xml:space="preserve"> decision guidelines to assist a responsible authority when making a decision.</w:t>
      </w:r>
    </w:p>
    <w:p w14:paraId="7C33FD0A" w14:textId="77777777" w:rsidR="00B30AF9" w:rsidRPr="000D435A" w:rsidRDefault="00B30AF9" w:rsidP="00B30AF9">
      <w:pPr>
        <w:rPr>
          <w:rFonts w:ascii="Arial" w:hAnsi="Arial" w:cs="Arial"/>
          <w:b/>
          <w:sz w:val="20"/>
          <w:szCs w:val="20"/>
        </w:rPr>
      </w:pPr>
      <w:r w:rsidRPr="000D435A">
        <w:rPr>
          <w:rFonts w:ascii="Arial" w:hAnsi="Arial" w:cs="Arial"/>
          <w:b/>
          <w:sz w:val="20"/>
          <w:szCs w:val="20"/>
        </w:rPr>
        <w:t>Where can I get more information?</w:t>
      </w:r>
    </w:p>
    <w:p w14:paraId="717F696F" w14:textId="47483741" w:rsidR="00B30AF9" w:rsidRPr="00884B0B" w:rsidRDefault="00B30AF9" w:rsidP="00B30AF9">
      <w:pPr>
        <w:rPr>
          <w:rFonts w:ascii="Arial" w:hAnsi="Arial" w:cs="Arial"/>
          <w:b/>
          <w:sz w:val="20"/>
          <w:szCs w:val="20"/>
        </w:rPr>
      </w:pPr>
      <w:r>
        <w:rPr>
          <w:rFonts w:ascii="Arial" w:hAnsi="Arial" w:cs="Arial"/>
          <w:sz w:val="20"/>
          <w:szCs w:val="20"/>
        </w:rPr>
        <w:t>Further information about the provision and its development</w:t>
      </w:r>
      <w:r w:rsidR="004A06F8">
        <w:rPr>
          <w:rFonts w:ascii="Arial" w:hAnsi="Arial" w:cs="Arial"/>
          <w:sz w:val="20"/>
          <w:szCs w:val="20"/>
        </w:rPr>
        <w:t xml:space="preserve"> can be found at</w:t>
      </w:r>
      <w:r>
        <w:rPr>
          <w:rFonts w:ascii="Arial" w:hAnsi="Arial" w:cs="Arial"/>
          <w:sz w:val="20"/>
          <w:szCs w:val="20"/>
        </w:rPr>
        <w:t xml:space="preserve"> </w:t>
      </w:r>
      <w:r>
        <w:rPr>
          <w:rFonts w:ascii="Arial" w:hAnsi="Arial" w:cs="Arial"/>
          <w:b/>
          <w:sz w:val="20"/>
          <w:szCs w:val="20"/>
        </w:rPr>
        <w:t>www.planning.vic.gov.au/residential-aged-care-facilities</w:t>
      </w:r>
    </w:p>
    <w:p w14:paraId="3FFCAA74" w14:textId="77777777" w:rsidR="00B30AF9" w:rsidRPr="00C05B26" w:rsidRDefault="00B30AF9" w:rsidP="00B30AF9">
      <w:pPr>
        <w:keepNext/>
        <w:spacing w:before="120" w:after="240"/>
        <w:rPr>
          <w:rFonts w:ascii="Arial" w:hAnsi="Arial" w:cs="Arial"/>
          <w:b/>
          <w:sz w:val="28"/>
          <w:szCs w:val="24"/>
        </w:rPr>
      </w:pPr>
      <w:r>
        <w:rPr>
          <w:rFonts w:ascii="Arial" w:hAnsi="Arial" w:cs="Arial"/>
          <w:b/>
          <w:sz w:val="28"/>
          <w:szCs w:val="24"/>
        </w:rPr>
        <w:t>Shared and Public Housing</w:t>
      </w:r>
    </w:p>
    <w:p w14:paraId="5B2409F8" w14:textId="3DBE8782" w:rsidR="00B30AF9" w:rsidRDefault="00A62E1D" w:rsidP="00B30AF9">
      <w:pPr>
        <w:rPr>
          <w:rFonts w:ascii="Arial" w:hAnsi="Arial" w:cs="Arial"/>
          <w:sz w:val="20"/>
          <w:szCs w:val="20"/>
        </w:rPr>
      </w:pPr>
      <w:r>
        <w:rPr>
          <w:rFonts w:ascii="Arial" w:hAnsi="Arial" w:cs="Arial"/>
          <w:sz w:val="20"/>
          <w:szCs w:val="20"/>
        </w:rPr>
        <w:t>Amendment VC152 amends the VPP</w:t>
      </w:r>
      <w:r w:rsidR="00B30AF9">
        <w:rPr>
          <w:rFonts w:ascii="Arial" w:hAnsi="Arial" w:cs="Arial"/>
          <w:sz w:val="20"/>
          <w:szCs w:val="20"/>
        </w:rPr>
        <w:t xml:space="preserve"> and all planning schemes </w:t>
      </w:r>
      <w:r w:rsidR="004A06F8">
        <w:rPr>
          <w:rFonts w:ascii="Arial" w:hAnsi="Arial" w:cs="Arial"/>
          <w:sz w:val="20"/>
          <w:szCs w:val="20"/>
        </w:rPr>
        <w:t>by</w:t>
      </w:r>
      <w:r w:rsidR="00B30AF9">
        <w:rPr>
          <w:rFonts w:ascii="Arial" w:hAnsi="Arial" w:cs="Arial"/>
          <w:sz w:val="20"/>
          <w:szCs w:val="20"/>
        </w:rPr>
        <w:t>:</w:t>
      </w:r>
    </w:p>
    <w:p w14:paraId="109F432B" w14:textId="0FCD4D8C" w:rsidR="00B30AF9" w:rsidRPr="00E42258" w:rsidRDefault="004A06F8" w:rsidP="00B30AF9">
      <w:pPr>
        <w:pStyle w:val="ListParagraph"/>
        <w:numPr>
          <w:ilvl w:val="0"/>
          <w:numId w:val="2"/>
        </w:numPr>
        <w:spacing w:line="240" w:lineRule="auto"/>
        <w:ind w:left="357" w:hanging="357"/>
        <w:contextualSpacing w:val="0"/>
        <w:rPr>
          <w:rFonts w:ascii="Arial" w:hAnsi="Arial" w:cs="Arial"/>
          <w:sz w:val="20"/>
          <w:szCs w:val="20"/>
        </w:rPr>
      </w:pPr>
      <w:r>
        <w:rPr>
          <w:rFonts w:ascii="Arial" w:hAnsi="Arial" w:cs="Arial"/>
          <w:sz w:val="20"/>
          <w:szCs w:val="20"/>
        </w:rPr>
        <w:t>Amending</w:t>
      </w:r>
      <w:r w:rsidR="00B30AF9" w:rsidRPr="00E42258">
        <w:rPr>
          <w:rFonts w:ascii="Arial" w:hAnsi="Arial" w:cs="Arial"/>
          <w:sz w:val="20"/>
          <w:szCs w:val="20"/>
        </w:rPr>
        <w:t xml:space="preserve"> Clause 16.01-6S (Crisis accommodation and community care units) to reflect the new land use terminology and policy support for community care accommodation and rooming houses</w:t>
      </w:r>
    </w:p>
    <w:p w14:paraId="48E07474" w14:textId="5553EEB7" w:rsidR="00B30AF9" w:rsidRPr="004A06F8" w:rsidRDefault="004A06F8" w:rsidP="004A06F8">
      <w:pPr>
        <w:pStyle w:val="ListParagraph"/>
        <w:numPr>
          <w:ilvl w:val="0"/>
          <w:numId w:val="2"/>
        </w:numPr>
        <w:spacing w:line="240" w:lineRule="auto"/>
        <w:ind w:left="357" w:hanging="357"/>
        <w:contextualSpacing w:val="0"/>
        <w:rPr>
          <w:rFonts w:ascii="Arial" w:hAnsi="Arial" w:cs="Arial"/>
          <w:sz w:val="20"/>
          <w:szCs w:val="20"/>
        </w:rPr>
      </w:pPr>
      <w:r>
        <w:rPr>
          <w:rFonts w:ascii="Arial" w:hAnsi="Arial" w:cs="Arial"/>
          <w:sz w:val="20"/>
          <w:szCs w:val="20"/>
        </w:rPr>
        <w:t>Deleting</w:t>
      </w:r>
      <w:r w:rsidR="00B30AF9" w:rsidRPr="00E42258">
        <w:rPr>
          <w:rFonts w:ascii="Arial" w:hAnsi="Arial" w:cs="Arial"/>
          <w:sz w:val="20"/>
          <w:szCs w:val="20"/>
        </w:rPr>
        <w:t xml:space="preserve"> Clause 52.22 (Crisis accommodation)</w:t>
      </w:r>
      <w:r w:rsidR="00B831D5">
        <w:rPr>
          <w:rFonts w:ascii="Arial" w:hAnsi="Arial" w:cs="Arial"/>
          <w:sz w:val="20"/>
          <w:szCs w:val="20"/>
        </w:rPr>
        <w:t xml:space="preserve">, </w:t>
      </w:r>
      <w:r w:rsidR="00B30AF9" w:rsidRPr="00E42258">
        <w:rPr>
          <w:rFonts w:ascii="Arial" w:hAnsi="Arial" w:cs="Arial"/>
          <w:sz w:val="20"/>
          <w:szCs w:val="20"/>
        </w:rPr>
        <w:t xml:space="preserve">Clause 52.23 (Shared housing) </w:t>
      </w:r>
      <w:r>
        <w:rPr>
          <w:rFonts w:ascii="Arial" w:hAnsi="Arial" w:cs="Arial"/>
          <w:sz w:val="20"/>
          <w:szCs w:val="20"/>
        </w:rPr>
        <w:t xml:space="preserve">and </w:t>
      </w:r>
      <w:r w:rsidRPr="00E42258">
        <w:rPr>
          <w:rFonts w:ascii="Arial" w:hAnsi="Arial" w:cs="Arial"/>
          <w:sz w:val="20"/>
          <w:szCs w:val="20"/>
        </w:rPr>
        <w:t>Clause 52.24 (Community care unit)</w:t>
      </w:r>
      <w:r>
        <w:rPr>
          <w:rFonts w:ascii="Arial" w:hAnsi="Arial" w:cs="Arial"/>
          <w:sz w:val="20"/>
          <w:szCs w:val="20"/>
        </w:rPr>
        <w:t xml:space="preserve"> and replacing</w:t>
      </w:r>
      <w:r w:rsidR="00B30AF9" w:rsidRPr="004A06F8">
        <w:rPr>
          <w:rFonts w:ascii="Arial" w:hAnsi="Arial" w:cs="Arial"/>
          <w:sz w:val="20"/>
          <w:szCs w:val="20"/>
        </w:rPr>
        <w:t xml:space="preserve"> them with a new Clause 52.22 (Community care accommodation) and Clause 52.23 (Rooming house) </w:t>
      </w:r>
    </w:p>
    <w:p w14:paraId="6D4D40A7" w14:textId="4615F03E" w:rsidR="00B30AF9" w:rsidRPr="00E42258" w:rsidRDefault="00673975" w:rsidP="00B30AF9">
      <w:pPr>
        <w:pStyle w:val="ListParagraph"/>
        <w:numPr>
          <w:ilvl w:val="0"/>
          <w:numId w:val="2"/>
        </w:numPr>
        <w:spacing w:line="240" w:lineRule="auto"/>
        <w:ind w:left="357" w:hanging="357"/>
        <w:contextualSpacing w:val="0"/>
        <w:rPr>
          <w:rFonts w:ascii="Arial" w:hAnsi="Arial" w:cs="Arial"/>
          <w:sz w:val="20"/>
          <w:szCs w:val="20"/>
        </w:rPr>
      </w:pPr>
      <w:r>
        <w:rPr>
          <w:rFonts w:ascii="Arial" w:hAnsi="Arial" w:cs="Arial"/>
          <w:sz w:val="20"/>
          <w:szCs w:val="20"/>
        </w:rPr>
        <w:t>Amending</w:t>
      </w:r>
      <w:r w:rsidR="00B30AF9" w:rsidRPr="00E42258">
        <w:rPr>
          <w:rFonts w:ascii="Arial" w:hAnsi="Arial" w:cs="Arial"/>
          <w:sz w:val="20"/>
          <w:szCs w:val="20"/>
        </w:rPr>
        <w:t xml:space="preserve"> </w:t>
      </w:r>
      <w:r>
        <w:rPr>
          <w:rFonts w:ascii="Arial" w:hAnsi="Arial" w:cs="Arial"/>
          <w:sz w:val="20"/>
          <w:szCs w:val="20"/>
        </w:rPr>
        <w:t>relevant zones to specify Rooming house</w:t>
      </w:r>
      <w:r w:rsidR="00B30AF9" w:rsidRPr="00E42258">
        <w:rPr>
          <w:rFonts w:ascii="Arial" w:hAnsi="Arial" w:cs="Arial"/>
          <w:sz w:val="20"/>
          <w:szCs w:val="20"/>
        </w:rPr>
        <w:t xml:space="preserve"> and Community care accommodation in the Table of uses and delete </w:t>
      </w:r>
      <w:r>
        <w:rPr>
          <w:rFonts w:ascii="Arial" w:hAnsi="Arial" w:cs="Arial"/>
          <w:sz w:val="20"/>
          <w:szCs w:val="20"/>
        </w:rPr>
        <w:t>redundant nested accommodation land use</w:t>
      </w:r>
      <w:r w:rsidR="00B30AF9" w:rsidRPr="00E42258">
        <w:rPr>
          <w:rFonts w:ascii="Arial" w:hAnsi="Arial" w:cs="Arial"/>
          <w:sz w:val="20"/>
          <w:szCs w:val="20"/>
        </w:rPr>
        <w:t xml:space="preserve"> </w:t>
      </w:r>
      <w:r>
        <w:rPr>
          <w:rFonts w:ascii="Arial" w:hAnsi="Arial" w:cs="Arial"/>
          <w:sz w:val="20"/>
          <w:szCs w:val="20"/>
        </w:rPr>
        <w:t>terms</w:t>
      </w:r>
    </w:p>
    <w:p w14:paraId="47B63B68" w14:textId="67123D0C" w:rsidR="00B30AF9" w:rsidRPr="00E42258" w:rsidRDefault="00673975" w:rsidP="00B30AF9">
      <w:pPr>
        <w:pStyle w:val="ListParagraph"/>
        <w:numPr>
          <w:ilvl w:val="0"/>
          <w:numId w:val="2"/>
        </w:numPr>
        <w:spacing w:line="240" w:lineRule="auto"/>
        <w:ind w:left="357" w:hanging="357"/>
        <w:contextualSpacing w:val="0"/>
        <w:rPr>
          <w:rFonts w:ascii="Arial" w:hAnsi="Arial" w:cs="Arial"/>
          <w:sz w:val="20"/>
          <w:szCs w:val="20"/>
        </w:rPr>
      </w:pPr>
      <w:r>
        <w:rPr>
          <w:rStyle w:val="normaltextrun1"/>
          <w:rFonts w:ascii="Arial" w:hAnsi="Arial" w:cs="Arial"/>
          <w:sz w:val="20"/>
          <w:szCs w:val="20"/>
        </w:rPr>
        <w:t>Amending</w:t>
      </w:r>
      <w:r w:rsidR="00B30AF9" w:rsidRPr="00E42258">
        <w:rPr>
          <w:rStyle w:val="normaltextrun1"/>
          <w:rFonts w:ascii="Arial" w:hAnsi="Arial" w:cs="Arial"/>
          <w:sz w:val="20"/>
          <w:szCs w:val="20"/>
        </w:rPr>
        <w:t xml:space="preserve"> Clause 52.06 (Car parking) to specify a car parki</w:t>
      </w:r>
      <w:r>
        <w:rPr>
          <w:rStyle w:val="normaltextrun1"/>
          <w:rFonts w:ascii="Arial" w:hAnsi="Arial" w:cs="Arial"/>
          <w:sz w:val="20"/>
          <w:szCs w:val="20"/>
        </w:rPr>
        <w:t>ng rate for a ‘Rooming house’</w:t>
      </w:r>
    </w:p>
    <w:p w14:paraId="3511DE9F" w14:textId="61E796C5" w:rsidR="00B30AF9" w:rsidRPr="00E42258" w:rsidRDefault="00673975" w:rsidP="00B30AF9">
      <w:pPr>
        <w:pStyle w:val="ListParagraph"/>
        <w:numPr>
          <w:ilvl w:val="0"/>
          <w:numId w:val="2"/>
        </w:numPr>
        <w:spacing w:line="240" w:lineRule="auto"/>
        <w:ind w:left="357" w:hanging="357"/>
        <w:contextualSpacing w:val="0"/>
        <w:rPr>
          <w:rFonts w:ascii="Arial" w:hAnsi="Arial" w:cs="Arial"/>
          <w:sz w:val="20"/>
          <w:szCs w:val="20"/>
        </w:rPr>
      </w:pPr>
      <w:r>
        <w:rPr>
          <w:rStyle w:val="normaltextrun1"/>
          <w:rFonts w:ascii="Arial" w:hAnsi="Arial" w:cs="Arial"/>
          <w:sz w:val="20"/>
          <w:szCs w:val="20"/>
        </w:rPr>
        <w:t>Amending</w:t>
      </w:r>
      <w:r w:rsidR="00B30AF9" w:rsidRPr="00E42258">
        <w:rPr>
          <w:rStyle w:val="normaltextrun1"/>
          <w:rFonts w:ascii="Arial" w:hAnsi="Arial" w:cs="Arial"/>
          <w:sz w:val="20"/>
          <w:szCs w:val="20"/>
        </w:rPr>
        <w:t xml:space="preserve"> Clause 53.06 (Live music and entertainment noise)</w:t>
      </w:r>
      <w:r w:rsidR="00B30AF9" w:rsidRPr="00E42258">
        <w:rPr>
          <w:rStyle w:val="normaltextrun1"/>
          <w:rFonts w:ascii="Arial" w:hAnsi="Arial" w:cs="Arial"/>
          <w:i/>
          <w:iCs/>
          <w:sz w:val="20"/>
          <w:szCs w:val="20"/>
        </w:rPr>
        <w:t xml:space="preserve"> </w:t>
      </w:r>
      <w:r w:rsidR="00B30AF9" w:rsidRPr="00E42258">
        <w:rPr>
          <w:rStyle w:val="normaltextrun1"/>
          <w:rFonts w:ascii="Arial" w:hAnsi="Arial" w:cs="Arial"/>
          <w:sz w:val="20"/>
          <w:szCs w:val="20"/>
        </w:rPr>
        <w:t>to include ‘Community care accommodation’ and ‘Rooming house’ in the definition of noise sensitive residential uses</w:t>
      </w:r>
    </w:p>
    <w:p w14:paraId="09964B70" w14:textId="18F9826B" w:rsidR="00B30AF9" w:rsidRPr="00EB61F8" w:rsidRDefault="00673975" w:rsidP="00B30AF9">
      <w:pPr>
        <w:pStyle w:val="ListParagraph"/>
        <w:numPr>
          <w:ilvl w:val="0"/>
          <w:numId w:val="2"/>
        </w:numPr>
        <w:spacing w:line="240" w:lineRule="auto"/>
        <w:ind w:left="357" w:hanging="357"/>
        <w:contextualSpacing w:val="0"/>
        <w:rPr>
          <w:rFonts w:ascii="Arial" w:hAnsi="Arial" w:cs="Arial"/>
          <w:sz w:val="20"/>
          <w:szCs w:val="20"/>
        </w:rPr>
      </w:pPr>
      <w:r>
        <w:rPr>
          <w:rStyle w:val="normaltextrun1"/>
          <w:rFonts w:ascii="Arial" w:hAnsi="Arial" w:cs="Arial"/>
          <w:sz w:val="20"/>
          <w:szCs w:val="20"/>
        </w:rPr>
        <w:t>Amending</w:t>
      </w:r>
      <w:r w:rsidR="00B30AF9" w:rsidRPr="00E42258">
        <w:rPr>
          <w:rStyle w:val="normaltextrun1"/>
          <w:rFonts w:ascii="Arial" w:hAnsi="Arial" w:cs="Arial"/>
          <w:sz w:val="20"/>
          <w:szCs w:val="20"/>
        </w:rPr>
        <w:t xml:space="preserve"> Clause 73.03 (Land use terms) and Clause 73.04 (Nesting diagrams) to introduce ‘Community care accommodatio</w:t>
      </w:r>
      <w:r>
        <w:rPr>
          <w:rStyle w:val="normaltextrun1"/>
          <w:rFonts w:ascii="Arial" w:hAnsi="Arial" w:cs="Arial"/>
          <w:sz w:val="20"/>
          <w:szCs w:val="20"/>
        </w:rPr>
        <w:t>n’ and ‘Rooming house’ land use terms and</w:t>
      </w:r>
      <w:r w:rsidR="00B30AF9" w:rsidRPr="00E42258">
        <w:rPr>
          <w:rStyle w:val="normaltextrun1"/>
          <w:rFonts w:ascii="Arial" w:hAnsi="Arial" w:cs="Arial"/>
          <w:sz w:val="20"/>
          <w:szCs w:val="20"/>
        </w:rPr>
        <w:t xml:space="preserve"> </w:t>
      </w:r>
      <w:r w:rsidR="00B30AF9" w:rsidRPr="00E42258">
        <w:rPr>
          <w:rFonts w:ascii="Arial" w:hAnsi="Arial" w:cs="Arial"/>
          <w:sz w:val="20"/>
          <w:szCs w:val="20"/>
        </w:rPr>
        <w:t xml:space="preserve">delete </w:t>
      </w:r>
      <w:r>
        <w:rPr>
          <w:rFonts w:ascii="Arial" w:hAnsi="Arial" w:cs="Arial"/>
          <w:sz w:val="20"/>
          <w:szCs w:val="20"/>
        </w:rPr>
        <w:t>redundant</w:t>
      </w:r>
      <w:r w:rsidR="00B30AF9" w:rsidRPr="00E42258">
        <w:rPr>
          <w:rFonts w:ascii="Arial" w:hAnsi="Arial" w:cs="Arial"/>
          <w:sz w:val="20"/>
          <w:szCs w:val="20"/>
        </w:rPr>
        <w:t xml:space="preserve"> </w:t>
      </w:r>
      <w:r>
        <w:rPr>
          <w:rFonts w:ascii="Arial" w:hAnsi="Arial" w:cs="Arial"/>
          <w:sz w:val="20"/>
          <w:szCs w:val="20"/>
        </w:rPr>
        <w:t>nest</w:t>
      </w:r>
      <w:r w:rsidR="0010729D">
        <w:rPr>
          <w:rFonts w:ascii="Arial" w:hAnsi="Arial" w:cs="Arial"/>
          <w:sz w:val="20"/>
          <w:szCs w:val="20"/>
        </w:rPr>
        <w:t>ed</w:t>
      </w:r>
      <w:r>
        <w:rPr>
          <w:rFonts w:ascii="Arial" w:hAnsi="Arial" w:cs="Arial"/>
          <w:sz w:val="20"/>
          <w:szCs w:val="20"/>
        </w:rPr>
        <w:t xml:space="preserve"> </w:t>
      </w:r>
      <w:r w:rsidR="00B30AF9" w:rsidRPr="00E42258">
        <w:rPr>
          <w:rFonts w:ascii="Arial" w:hAnsi="Arial" w:cs="Arial"/>
          <w:sz w:val="20"/>
          <w:szCs w:val="20"/>
        </w:rPr>
        <w:t xml:space="preserve">accommodation </w:t>
      </w:r>
      <w:r>
        <w:rPr>
          <w:rFonts w:ascii="Arial" w:hAnsi="Arial" w:cs="Arial"/>
          <w:sz w:val="20"/>
          <w:szCs w:val="20"/>
        </w:rPr>
        <w:t>land use terms</w:t>
      </w:r>
      <w:r w:rsidR="00B30AF9" w:rsidRPr="00E42258">
        <w:rPr>
          <w:rFonts w:ascii="Arial" w:hAnsi="Arial" w:cs="Arial"/>
          <w:sz w:val="20"/>
          <w:szCs w:val="20"/>
        </w:rPr>
        <w:t>.</w:t>
      </w:r>
      <w:r w:rsidR="00B30AF9" w:rsidRPr="00353E37">
        <w:rPr>
          <w:rFonts w:ascii="Arial" w:hAnsi="Arial" w:cs="Arial"/>
          <w:sz w:val="20"/>
          <w:szCs w:val="20"/>
        </w:rPr>
        <w:t xml:space="preserve">    </w:t>
      </w:r>
    </w:p>
    <w:p w14:paraId="65D8BAB6" w14:textId="77777777" w:rsidR="00B30AF9" w:rsidRPr="00B831D5" w:rsidRDefault="00B30AF9" w:rsidP="00B30AF9">
      <w:pPr>
        <w:rPr>
          <w:rFonts w:ascii="Arial" w:hAnsi="Arial" w:cs="Arial"/>
          <w:b/>
          <w:sz w:val="20"/>
          <w:szCs w:val="20"/>
        </w:rPr>
      </w:pPr>
      <w:r w:rsidRPr="00B831D5">
        <w:rPr>
          <w:rFonts w:ascii="Arial" w:hAnsi="Arial" w:cs="Arial"/>
          <w:b/>
          <w:sz w:val="20"/>
          <w:szCs w:val="20"/>
        </w:rPr>
        <w:t>What are the new provisions?</w:t>
      </w:r>
    </w:p>
    <w:p w14:paraId="467FCCB5" w14:textId="77777777" w:rsidR="00B30AF9" w:rsidRPr="00EA3BA2" w:rsidRDefault="00B30AF9" w:rsidP="00B30AF9">
      <w:pPr>
        <w:pStyle w:val="ReplyLet"/>
        <w:spacing w:after="120"/>
        <w:rPr>
          <w:sz w:val="20"/>
        </w:rPr>
      </w:pPr>
      <w:r w:rsidRPr="00EA3BA2">
        <w:rPr>
          <w:sz w:val="20"/>
        </w:rPr>
        <w:t xml:space="preserve">Clause 52.22 - </w:t>
      </w:r>
      <w:r>
        <w:rPr>
          <w:sz w:val="20"/>
        </w:rPr>
        <w:t>Community Care Accommodation:</w:t>
      </w:r>
    </w:p>
    <w:p w14:paraId="2FDD0782" w14:textId="77777777" w:rsidR="00B30AF9" w:rsidRPr="00EA3BA2" w:rsidRDefault="00B30AF9" w:rsidP="00B30AF9">
      <w:pPr>
        <w:pStyle w:val="ReplyLet"/>
        <w:numPr>
          <w:ilvl w:val="0"/>
          <w:numId w:val="3"/>
        </w:numPr>
        <w:spacing w:after="120"/>
        <w:jc w:val="left"/>
        <w:rPr>
          <w:sz w:val="20"/>
        </w:rPr>
      </w:pPr>
      <w:r w:rsidRPr="00EA3BA2">
        <w:rPr>
          <w:sz w:val="20"/>
        </w:rPr>
        <w:t>Combines and replaces existing provisions for ‘crisis accommodation’ and ‘community care units’.</w:t>
      </w:r>
    </w:p>
    <w:p w14:paraId="4D75D234" w14:textId="6EF9FCC6" w:rsidR="00B30AF9" w:rsidRPr="00EA3BA2" w:rsidRDefault="00B30AF9" w:rsidP="00B30AF9">
      <w:pPr>
        <w:pStyle w:val="ReplyLet"/>
        <w:numPr>
          <w:ilvl w:val="0"/>
          <w:numId w:val="3"/>
        </w:numPr>
        <w:spacing w:after="120"/>
        <w:jc w:val="left"/>
        <w:rPr>
          <w:sz w:val="20"/>
        </w:rPr>
      </w:pPr>
      <w:r w:rsidRPr="00EA3BA2">
        <w:rPr>
          <w:sz w:val="20"/>
        </w:rPr>
        <w:t xml:space="preserve">Exempts the use and development of land for community care accommodation </w:t>
      </w:r>
      <w:r w:rsidRPr="00823C0B">
        <w:rPr>
          <w:sz w:val="20"/>
        </w:rPr>
        <w:t xml:space="preserve">by, or on behalf of, a </w:t>
      </w:r>
      <w:r w:rsidR="00673975">
        <w:rPr>
          <w:sz w:val="20"/>
        </w:rPr>
        <w:t>government department or</w:t>
      </w:r>
      <w:r>
        <w:rPr>
          <w:sz w:val="20"/>
        </w:rPr>
        <w:t xml:space="preserve"> </w:t>
      </w:r>
      <w:r w:rsidRPr="00823C0B">
        <w:rPr>
          <w:sz w:val="20"/>
        </w:rPr>
        <w:t>public authority</w:t>
      </w:r>
      <w:r w:rsidRPr="00EA3BA2">
        <w:rPr>
          <w:sz w:val="20"/>
        </w:rPr>
        <w:t xml:space="preserve"> wher</w:t>
      </w:r>
      <w:r>
        <w:rPr>
          <w:sz w:val="20"/>
        </w:rPr>
        <w:t>e it accommodates no more than 2</w:t>
      </w:r>
      <w:r w:rsidRPr="00EA3BA2">
        <w:rPr>
          <w:sz w:val="20"/>
        </w:rPr>
        <w:t xml:space="preserve">0 </w:t>
      </w:r>
      <w:r>
        <w:rPr>
          <w:sz w:val="20"/>
        </w:rPr>
        <w:t>clients</w:t>
      </w:r>
      <w:r w:rsidRPr="00EA3BA2">
        <w:rPr>
          <w:sz w:val="20"/>
        </w:rPr>
        <w:t xml:space="preserve"> and prov</w:t>
      </w:r>
      <w:r>
        <w:rPr>
          <w:sz w:val="20"/>
        </w:rPr>
        <w:t>ides services to no more than 5</w:t>
      </w:r>
      <w:r w:rsidRPr="00EA3BA2">
        <w:rPr>
          <w:sz w:val="20"/>
        </w:rPr>
        <w:t xml:space="preserve"> non-residents.</w:t>
      </w:r>
    </w:p>
    <w:p w14:paraId="3C0DF5C6" w14:textId="77777777" w:rsidR="00B30AF9" w:rsidRPr="00EA3BA2" w:rsidRDefault="00B30AF9" w:rsidP="00B30AF9">
      <w:pPr>
        <w:pStyle w:val="ReplyLet"/>
        <w:numPr>
          <w:ilvl w:val="0"/>
          <w:numId w:val="3"/>
        </w:numPr>
        <w:spacing w:after="120"/>
        <w:jc w:val="left"/>
        <w:rPr>
          <w:sz w:val="20"/>
        </w:rPr>
      </w:pPr>
      <w:r w:rsidRPr="00EA3BA2">
        <w:rPr>
          <w:sz w:val="20"/>
        </w:rPr>
        <w:t xml:space="preserve">Exempts public authorities from the </w:t>
      </w:r>
      <w:r w:rsidRPr="00823C0B">
        <w:rPr>
          <w:sz w:val="20"/>
        </w:rPr>
        <w:t>notice and review requirements of the Act</w:t>
      </w:r>
      <w:r>
        <w:rPr>
          <w:sz w:val="20"/>
        </w:rPr>
        <w:t>.</w:t>
      </w:r>
      <w:r w:rsidRPr="00823C0B">
        <w:rPr>
          <w:sz w:val="20"/>
        </w:rPr>
        <w:t xml:space="preserve">  </w:t>
      </w:r>
    </w:p>
    <w:p w14:paraId="7E9A8172" w14:textId="77777777" w:rsidR="00B30AF9" w:rsidRPr="00EA3BA2" w:rsidRDefault="00B30AF9" w:rsidP="00B30AF9">
      <w:pPr>
        <w:pStyle w:val="ReplyLet"/>
        <w:numPr>
          <w:ilvl w:val="0"/>
          <w:numId w:val="3"/>
        </w:numPr>
        <w:spacing w:after="120"/>
        <w:jc w:val="left"/>
        <w:rPr>
          <w:sz w:val="20"/>
        </w:rPr>
      </w:pPr>
      <w:r>
        <w:rPr>
          <w:sz w:val="20"/>
        </w:rPr>
        <w:t>Specifies</w:t>
      </w:r>
      <w:r w:rsidRPr="00823C0B">
        <w:rPr>
          <w:sz w:val="20"/>
        </w:rPr>
        <w:t xml:space="preserve"> no car parking </w:t>
      </w:r>
      <w:r>
        <w:rPr>
          <w:sz w:val="20"/>
        </w:rPr>
        <w:t>requirement for C</w:t>
      </w:r>
      <w:r w:rsidRPr="00823C0B">
        <w:rPr>
          <w:sz w:val="20"/>
        </w:rPr>
        <w:t>ommunity care accommodation.</w:t>
      </w:r>
    </w:p>
    <w:p w14:paraId="0864EE6D" w14:textId="77777777" w:rsidR="00B30AF9" w:rsidRPr="00EA3BA2" w:rsidRDefault="00B30AF9" w:rsidP="00B30AF9">
      <w:pPr>
        <w:pStyle w:val="ReplyLet"/>
        <w:spacing w:after="120"/>
        <w:rPr>
          <w:sz w:val="20"/>
        </w:rPr>
      </w:pPr>
      <w:r w:rsidRPr="00EA3BA2">
        <w:rPr>
          <w:sz w:val="20"/>
        </w:rPr>
        <w:t xml:space="preserve">Clause 52.23 - </w:t>
      </w:r>
      <w:r>
        <w:rPr>
          <w:sz w:val="20"/>
        </w:rPr>
        <w:t>Rooming House:</w:t>
      </w:r>
    </w:p>
    <w:p w14:paraId="231B7064" w14:textId="77777777" w:rsidR="00B30AF9" w:rsidRPr="00EA3BA2" w:rsidRDefault="00B30AF9" w:rsidP="00B30AF9">
      <w:pPr>
        <w:pStyle w:val="ReplyLet"/>
        <w:numPr>
          <w:ilvl w:val="0"/>
          <w:numId w:val="4"/>
        </w:numPr>
        <w:spacing w:after="120"/>
        <w:jc w:val="left"/>
        <w:rPr>
          <w:sz w:val="20"/>
        </w:rPr>
      </w:pPr>
      <w:r w:rsidRPr="00EA3BA2">
        <w:rPr>
          <w:sz w:val="20"/>
        </w:rPr>
        <w:t>Replaces the existing ‘shared housing’ provision.</w:t>
      </w:r>
    </w:p>
    <w:p w14:paraId="6EB366EB" w14:textId="77777777" w:rsidR="00B30AF9" w:rsidRPr="00EA3BA2" w:rsidRDefault="00B30AF9" w:rsidP="00B30AF9">
      <w:pPr>
        <w:pStyle w:val="ReplyLet"/>
        <w:numPr>
          <w:ilvl w:val="0"/>
          <w:numId w:val="4"/>
        </w:numPr>
        <w:spacing w:after="120"/>
        <w:jc w:val="left"/>
        <w:rPr>
          <w:sz w:val="20"/>
        </w:rPr>
      </w:pPr>
      <w:r w:rsidRPr="00EA3BA2">
        <w:rPr>
          <w:sz w:val="20"/>
        </w:rPr>
        <w:t xml:space="preserve">Exempts the use and development of land for a rooming house where no more than 12 persons </w:t>
      </w:r>
      <w:r>
        <w:rPr>
          <w:sz w:val="20"/>
        </w:rPr>
        <w:t>are accommodated, no more than 9</w:t>
      </w:r>
      <w:r w:rsidRPr="00EA3BA2">
        <w:rPr>
          <w:sz w:val="20"/>
        </w:rPr>
        <w:t xml:space="preserve"> bedrooms are provided, and the </w:t>
      </w:r>
      <w:r>
        <w:rPr>
          <w:sz w:val="20"/>
        </w:rPr>
        <w:t>total</w:t>
      </w:r>
      <w:r w:rsidRPr="00EA3BA2">
        <w:rPr>
          <w:sz w:val="20"/>
        </w:rPr>
        <w:t xml:space="preserve"> floor area of all buildings on the land is not more 300 square metres.</w:t>
      </w:r>
    </w:p>
    <w:p w14:paraId="73804738" w14:textId="77777777" w:rsidR="00B30AF9" w:rsidRPr="00642E62" w:rsidRDefault="00B30AF9" w:rsidP="00B30AF9">
      <w:pPr>
        <w:pStyle w:val="ReplyLet"/>
        <w:numPr>
          <w:ilvl w:val="0"/>
          <w:numId w:val="4"/>
        </w:numPr>
        <w:spacing w:after="120"/>
        <w:jc w:val="left"/>
        <w:rPr>
          <w:sz w:val="20"/>
        </w:rPr>
      </w:pPr>
      <w:r w:rsidRPr="00EA3BA2">
        <w:rPr>
          <w:sz w:val="20"/>
        </w:rPr>
        <w:t xml:space="preserve">Includes a car parking rate in Clause 52.06 </w:t>
      </w:r>
      <w:r>
        <w:rPr>
          <w:sz w:val="20"/>
        </w:rPr>
        <w:t xml:space="preserve">– Car parking </w:t>
      </w:r>
      <w:r w:rsidRPr="00EA3BA2">
        <w:rPr>
          <w:sz w:val="20"/>
        </w:rPr>
        <w:t>of 1 car space to each 4 bedrooms.</w:t>
      </w:r>
    </w:p>
    <w:p w14:paraId="1B39274E" w14:textId="0D6214D6" w:rsidR="00B30AF9" w:rsidRPr="00B831D5" w:rsidRDefault="00B30AF9" w:rsidP="00B30AF9">
      <w:pPr>
        <w:rPr>
          <w:rFonts w:ascii="Arial" w:hAnsi="Arial" w:cs="Arial"/>
          <w:b/>
          <w:sz w:val="20"/>
          <w:szCs w:val="20"/>
        </w:rPr>
      </w:pPr>
      <w:r w:rsidRPr="00B831D5">
        <w:rPr>
          <w:rFonts w:ascii="Arial" w:hAnsi="Arial" w:cs="Arial"/>
          <w:b/>
          <w:sz w:val="20"/>
          <w:szCs w:val="20"/>
        </w:rPr>
        <w:t xml:space="preserve">Why have the new provisions been </w:t>
      </w:r>
      <w:r w:rsidR="00B831D5">
        <w:rPr>
          <w:rFonts w:ascii="Arial" w:hAnsi="Arial" w:cs="Arial"/>
          <w:b/>
          <w:sz w:val="20"/>
          <w:szCs w:val="20"/>
        </w:rPr>
        <w:t>introduced</w:t>
      </w:r>
      <w:r w:rsidRPr="00B831D5">
        <w:rPr>
          <w:rFonts w:ascii="Arial" w:hAnsi="Arial" w:cs="Arial"/>
          <w:b/>
          <w:sz w:val="20"/>
          <w:szCs w:val="20"/>
        </w:rPr>
        <w:t>?</w:t>
      </w:r>
    </w:p>
    <w:p w14:paraId="7AA5ADD4" w14:textId="06C604CD" w:rsidR="00B30AF9" w:rsidRPr="00642E62" w:rsidRDefault="00B30AF9" w:rsidP="00B30AF9">
      <w:pPr>
        <w:rPr>
          <w:rFonts w:ascii="Arial" w:hAnsi="Arial" w:cs="Arial"/>
          <w:sz w:val="20"/>
          <w:szCs w:val="20"/>
        </w:rPr>
      </w:pPr>
      <w:r w:rsidRPr="00642E62">
        <w:rPr>
          <w:rFonts w:ascii="Arial" w:hAnsi="Arial" w:cs="Arial"/>
          <w:sz w:val="20"/>
          <w:szCs w:val="20"/>
        </w:rPr>
        <w:t>There is strong policy support for the planning system to facilitate social housing.  The PPF supports the provision of diverse, affordable and social housing. Strategies under Clause</w:t>
      </w:r>
      <w:r>
        <w:rPr>
          <w:rFonts w:ascii="Arial" w:hAnsi="Arial" w:cs="Arial"/>
          <w:sz w:val="20"/>
          <w:szCs w:val="20"/>
        </w:rPr>
        <w:t xml:space="preserve"> 16.01-1S Integrated Housing seek to ensure an appropriate quantity, quality and type of housing is provided including supported accommodation, and 16.01-3S</w:t>
      </w:r>
      <w:r w:rsidRPr="00642E62">
        <w:rPr>
          <w:rFonts w:ascii="Arial" w:hAnsi="Arial" w:cs="Arial"/>
          <w:sz w:val="20"/>
          <w:szCs w:val="20"/>
        </w:rPr>
        <w:t xml:space="preserve"> Housing </w:t>
      </w:r>
      <w:r>
        <w:rPr>
          <w:rFonts w:ascii="Arial" w:hAnsi="Arial" w:cs="Arial"/>
          <w:sz w:val="20"/>
          <w:szCs w:val="20"/>
        </w:rPr>
        <w:t>diversity</w:t>
      </w:r>
      <w:r w:rsidRPr="00642E62">
        <w:rPr>
          <w:rFonts w:ascii="Arial" w:hAnsi="Arial" w:cs="Arial"/>
          <w:sz w:val="20"/>
          <w:szCs w:val="20"/>
        </w:rPr>
        <w:t xml:space="preserve"> seek</w:t>
      </w:r>
      <w:r w:rsidR="00B831D5">
        <w:rPr>
          <w:rFonts w:ascii="Arial" w:hAnsi="Arial" w:cs="Arial"/>
          <w:sz w:val="20"/>
          <w:szCs w:val="20"/>
        </w:rPr>
        <w:t>s</w:t>
      </w:r>
      <w:r w:rsidRPr="00642E62">
        <w:rPr>
          <w:rFonts w:ascii="Arial" w:hAnsi="Arial" w:cs="Arial"/>
          <w:sz w:val="20"/>
          <w:szCs w:val="20"/>
        </w:rPr>
        <w:t xml:space="preserve"> to provide diverse housing that offers choice through a greater mix of housing types. </w:t>
      </w:r>
    </w:p>
    <w:p w14:paraId="410A9DB2" w14:textId="75B2E2A5" w:rsidR="00B30AF9" w:rsidRPr="00642E62" w:rsidRDefault="00B30AF9" w:rsidP="00B30AF9">
      <w:pPr>
        <w:rPr>
          <w:rFonts w:ascii="Arial" w:hAnsi="Arial" w:cs="Arial"/>
          <w:sz w:val="20"/>
          <w:szCs w:val="20"/>
        </w:rPr>
      </w:pPr>
      <w:r w:rsidRPr="00CA1619">
        <w:rPr>
          <w:rFonts w:ascii="Arial" w:hAnsi="Arial" w:cs="Arial"/>
          <w:i/>
          <w:sz w:val="20"/>
          <w:szCs w:val="20"/>
        </w:rPr>
        <w:t>Plan Melbourne 2017-</w:t>
      </w:r>
      <w:r w:rsidR="00CA1619" w:rsidRPr="00CA1619">
        <w:rPr>
          <w:rFonts w:ascii="Arial" w:hAnsi="Arial" w:cs="Arial"/>
          <w:i/>
          <w:sz w:val="20"/>
          <w:szCs w:val="20"/>
        </w:rPr>
        <w:t>2050</w:t>
      </w:r>
      <w:r w:rsidR="00CA1619">
        <w:rPr>
          <w:rFonts w:ascii="Arial" w:hAnsi="Arial" w:cs="Arial"/>
          <w:sz w:val="20"/>
          <w:szCs w:val="20"/>
        </w:rPr>
        <w:t xml:space="preserve"> (</w:t>
      </w:r>
      <w:r w:rsidRPr="00642E62">
        <w:rPr>
          <w:rFonts w:ascii="Arial" w:hAnsi="Arial" w:cs="Arial"/>
          <w:sz w:val="20"/>
          <w:szCs w:val="20"/>
        </w:rPr>
        <w:t>Direction 2.5</w:t>
      </w:r>
      <w:r>
        <w:rPr>
          <w:rFonts w:ascii="Arial" w:hAnsi="Arial" w:cs="Arial"/>
          <w:sz w:val="20"/>
          <w:szCs w:val="20"/>
        </w:rPr>
        <w:t>)</w:t>
      </w:r>
      <w:r w:rsidRPr="00642E62">
        <w:rPr>
          <w:rFonts w:ascii="Arial" w:hAnsi="Arial" w:cs="Arial"/>
          <w:sz w:val="20"/>
          <w:szCs w:val="20"/>
        </w:rPr>
        <w:t xml:space="preserve"> aims to achieve greater choice and diversity of housing, including by providing a greater range of housing sizes and types and alternate forms of housing.  These reforms are key deliverables under Action 32 – Planning for shared housing, community care units and crisis accommodation, in the Plan Melbourne Implementation Plan.  </w:t>
      </w:r>
    </w:p>
    <w:p w14:paraId="0FF4CC8A" w14:textId="572C7B65" w:rsidR="00B30AF9" w:rsidRPr="00380C33" w:rsidRDefault="00B30AF9" w:rsidP="00B30AF9">
      <w:pPr>
        <w:rPr>
          <w:rFonts w:ascii="Arial" w:hAnsi="Arial" w:cs="Arial"/>
          <w:sz w:val="20"/>
          <w:szCs w:val="20"/>
        </w:rPr>
      </w:pPr>
      <w:r w:rsidRPr="00CA1619">
        <w:rPr>
          <w:rFonts w:ascii="Arial" w:hAnsi="Arial" w:cs="Arial"/>
          <w:i/>
          <w:sz w:val="20"/>
          <w:szCs w:val="20"/>
        </w:rPr>
        <w:t>Homes for Victorians</w:t>
      </w:r>
      <w:r w:rsidRPr="00642E62">
        <w:rPr>
          <w:rFonts w:ascii="Arial" w:hAnsi="Arial" w:cs="Arial"/>
          <w:sz w:val="20"/>
          <w:szCs w:val="20"/>
        </w:rPr>
        <w:t xml:space="preserve"> 2017 contains initiatives complementary to Plan Melbourne which dem</w:t>
      </w:r>
      <w:r w:rsidR="009204C7">
        <w:rPr>
          <w:rFonts w:ascii="Arial" w:hAnsi="Arial" w:cs="Arial"/>
          <w:sz w:val="20"/>
          <w:szCs w:val="20"/>
        </w:rPr>
        <w:t xml:space="preserve">onstrate the Government’s </w:t>
      </w:r>
      <w:proofErr w:type="spellStart"/>
      <w:r w:rsidR="009204C7">
        <w:rPr>
          <w:rFonts w:ascii="Arial" w:hAnsi="Arial" w:cs="Arial"/>
          <w:sz w:val="20"/>
          <w:szCs w:val="20"/>
        </w:rPr>
        <w:t>state</w:t>
      </w:r>
      <w:r w:rsidRPr="00642E62">
        <w:rPr>
          <w:rFonts w:ascii="Arial" w:hAnsi="Arial" w:cs="Arial"/>
          <w:sz w:val="20"/>
          <w:szCs w:val="20"/>
        </w:rPr>
        <w:t>wide</w:t>
      </w:r>
      <w:proofErr w:type="spellEnd"/>
      <w:r w:rsidRPr="00642E62">
        <w:rPr>
          <w:rFonts w:ascii="Arial" w:hAnsi="Arial" w:cs="Arial"/>
          <w:sz w:val="20"/>
          <w:szCs w:val="20"/>
        </w:rPr>
        <w:t xml:space="preserve"> commitment to increasing and renewing social housing stock. </w:t>
      </w:r>
    </w:p>
    <w:p w14:paraId="3D577EA8" w14:textId="77777777" w:rsidR="00B30AF9" w:rsidRPr="00107FE6" w:rsidRDefault="00B30AF9" w:rsidP="00B30AF9">
      <w:pPr>
        <w:rPr>
          <w:rFonts w:ascii="Arial" w:hAnsi="Arial" w:cs="Arial"/>
          <w:sz w:val="20"/>
          <w:szCs w:val="20"/>
        </w:rPr>
      </w:pPr>
      <w:r w:rsidRPr="00107FE6">
        <w:rPr>
          <w:rFonts w:ascii="Arial" w:hAnsi="Arial" w:cs="Arial"/>
          <w:sz w:val="20"/>
          <w:szCs w:val="20"/>
        </w:rPr>
        <w:t>© The State of Victoria Department of Environment, Land, Water &amp; Planning 2018</w:t>
      </w:r>
    </w:p>
    <w:p w14:paraId="60A2D988" w14:textId="77777777" w:rsidR="00B30AF9" w:rsidRPr="00107FE6" w:rsidRDefault="00B30AF9" w:rsidP="00B30AF9">
      <w:pPr>
        <w:rPr>
          <w:rFonts w:ascii="Arial" w:hAnsi="Arial" w:cs="Arial"/>
          <w:sz w:val="20"/>
          <w:szCs w:val="20"/>
        </w:rPr>
      </w:pPr>
      <w:r w:rsidRPr="00107FE6">
        <w:rPr>
          <w:rFonts w:ascii="Arial" w:hAnsi="Arial" w:cs="Arial"/>
          <w:sz w:val="20"/>
          <w:szCs w:val="20"/>
        </w:rP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w:t>
      </w:r>
    </w:p>
    <w:p w14:paraId="628022D3" w14:textId="77777777" w:rsidR="00B30AF9" w:rsidRPr="00107FE6" w:rsidRDefault="00B30AF9" w:rsidP="00B30AF9">
      <w:pPr>
        <w:rPr>
          <w:rFonts w:ascii="Arial" w:hAnsi="Arial" w:cs="Arial"/>
          <w:b/>
          <w:bCs/>
          <w:sz w:val="20"/>
          <w:szCs w:val="20"/>
        </w:rPr>
      </w:pPr>
      <w:r w:rsidRPr="00107FE6">
        <w:rPr>
          <w:rFonts w:ascii="Arial" w:hAnsi="Arial" w:cs="Arial"/>
          <w:b/>
          <w:bCs/>
          <w:sz w:val="20"/>
          <w:szCs w:val="20"/>
        </w:rPr>
        <w:t>Disclaimer</w:t>
      </w:r>
    </w:p>
    <w:p w14:paraId="68C4F27C" w14:textId="77777777" w:rsidR="00B30AF9" w:rsidRPr="00107FE6" w:rsidRDefault="00B30AF9" w:rsidP="00B30AF9">
      <w:pPr>
        <w:rPr>
          <w:rFonts w:ascii="Arial" w:hAnsi="Arial" w:cs="Arial"/>
          <w:sz w:val="20"/>
          <w:szCs w:val="20"/>
        </w:rPr>
      </w:pPr>
      <w:r w:rsidRPr="00107FE6">
        <w:rPr>
          <w:rFonts w:ascii="Arial" w:hAnsi="Arial" w:cs="Arial"/>
          <w:sz w:val="20"/>
          <w:szCs w:val="20"/>
        </w:rPr>
        <w:t xml:space="preserve">This publication may be of assistance to </w:t>
      </w:r>
      <w:proofErr w:type="gramStart"/>
      <w:r w:rsidRPr="00107FE6">
        <w:rPr>
          <w:rFonts w:ascii="Arial" w:hAnsi="Arial" w:cs="Arial"/>
          <w:sz w:val="20"/>
          <w:szCs w:val="20"/>
        </w:rPr>
        <w:t>you</w:t>
      </w:r>
      <w:proofErr w:type="gramEnd"/>
      <w:r w:rsidRPr="00107FE6">
        <w:rPr>
          <w:rFonts w:ascii="Arial" w:hAnsi="Arial" w:cs="Arial"/>
          <w:sz w:val="20"/>
          <w:szCs w:val="20"/>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66976639" w14:textId="77777777" w:rsidR="00B30AF9" w:rsidRPr="00107FE6" w:rsidRDefault="00B30AF9" w:rsidP="00B30AF9">
      <w:pPr>
        <w:rPr>
          <w:rFonts w:ascii="Arial" w:hAnsi="Arial" w:cs="Arial"/>
          <w:b/>
          <w:bCs/>
          <w:sz w:val="20"/>
          <w:szCs w:val="20"/>
        </w:rPr>
      </w:pPr>
      <w:r w:rsidRPr="00107FE6">
        <w:rPr>
          <w:rFonts w:ascii="Arial" w:hAnsi="Arial" w:cs="Arial"/>
          <w:b/>
          <w:bCs/>
          <w:sz w:val="20"/>
          <w:szCs w:val="20"/>
        </w:rPr>
        <w:t xml:space="preserve">Accessibility </w:t>
      </w:r>
    </w:p>
    <w:p w14:paraId="5939771E" w14:textId="77777777" w:rsidR="00B30AF9" w:rsidRPr="00107FE6" w:rsidRDefault="00B30AF9" w:rsidP="00B30AF9">
      <w:pPr>
        <w:rPr>
          <w:rFonts w:ascii="Arial" w:hAnsi="Arial" w:cs="Arial"/>
          <w:sz w:val="20"/>
          <w:szCs w:val="20"/>
        </w:rPr>
      </w:pPr>
      <w:r w:rsidRPr="00107FE6">
        <w:rPr>
          <w:rFonts w:ascii="Arial" w:hAnsi="Arial" w:cs="Arial"/>
          <w:sz w:val="20"/>
          <w:szCs w:val="20"/>
        </w:rPr>
        <w:t xml:space="preserve">If you would like to receive this publication in an alternative format, please telephone the DELWP Customer Service Centre on 136186, email </w:t>
      </w:r>
      <w:hyperlink r:id="rId9" w:history="1">
        <w:r w:rsidRPr="00107FE6">
          <w:rPr>
            <w:rStyle w:val="Hyperlink"/>
            <w:rFonts w:ascii="Arial" w:hAnsi="Arial" w:cs="Arial"/>
            <w:sz w:val="20"/>
            <w:szCs w:val="20"/>
          </w:rPr>
          <w:t>customer.service@delwp.vic.gov.au</w:t>
        </w:r>
      </w:hyperlink>
      <w:r w:rsidRPr="00107FE6">
        <w:rPr>
          <w:rFonts w:ascii="Arial" w:hAnsi="Arial" w:cs="Arial"/>
          <w:sz w:val="20"/>
          <w:szCs w:val="20"/>
        </w:rPr>
        <w:t xml:space="preserve"> (or relevant address), or via the National Relay Service on 133 677 </w:t>
      </w:r>
      <w:hyperlink r:id="rId10" w:history="1">
        <w:r w:rsidRPr="00107FE6">
          <w:rPr>
            <w:rStyle w:val="Hyperlink"/>
            <w:rFonts w:ascii="Arial" w:hAnsi="Arial" w:cs="Arial"/>
            <w:sz w:val="20"/>
            <w:szCs w:val="20"/>
          </w:rPr>
          <w:t>www.relayservice.com.au</w:t>
        </w:r>
      </w:hyperlink>
      <w:r w:rsidRPr="00107FE6">
        <w:rPr>
          <w:rFonts w:ascii="Arial" w:hAnsi="Arial" w:cs="Arial"/>
          <w:sz w:val="20"/>
          <w:szCs w:val="20"/>
        </w:rPr>
        <w:t xml:space="preserve"> This document is also available on the internet at </w:t>
      </w:r>
      <w:hyperlink r:id="rId11" w:history="1">
        <w:r w:rsidRPr="00107FE6">
          <w:rPr>
            <w:rStyle w:val="Hyperlink"/>
            <w:rFonts w:ascii="Arial" w:hAnsi="Arial" w:cs="Arial"/>
            <w:sz w:val="20"/>
            <w:szCs w:val="20"/>
          </w:rPr>
          <w:t>www.planning.vic.gov.au</w:t>
        </w:r>
      </w:hyperlink>
    </w:p>
    <w:p w14:paraId="0C9B8EA5" w14:textId="77777777" w:rsidR="00B30AF9" w:rsidRPr="00BE620E" w:rsidRDefault="00B30AF9" w:rsidP="00B30AF9">
      <w:pPr>
        <w:rPr>
          <w:rFonts w:cs="Arial"/>
          <w:szCs w:val="20"/>
        </w:rPr>
      </w:pPr>
      <w:r w:rsidRPr="00107FE6">
        <w:rPr>
          <w:rFonts w:ascii="Arial" w:hAnsi="Arial" w:cs="Arial"/>
          <w:sz w:val="20"/>
          <w:szCs w:val="20"/>
        </w:rPr>
        <w:t>DOCUMENT ENDS</w:t>
      </w:r>
    </w:p>
    <w:p w14:paraId="46BC1420" w14:textId="77777777" w:rsidR="00177693" w:rsidRDefault="00177693"/>
    <w:sectPr w:rsidR="001776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652"/>
    <w:multiLevelType w:val="hybridMultilevel"/>
    <w:tmpl w:val="BE06A0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F8129F"/>
    <w:multiLevelType w:val="hybridMultilevel"/>
    <w:tmpl w:val="306C1AF8"/>
    <w:lvl w:ilvl="0" w:tplc="0C090001">
      <w:start w:val="1"/>
      <w:numFmt w:val="bullet"/>
      <w:lvlText w:val=""/>
      <w:lvlJc w:val="left"/>
      <w:pPr>
        <w:ind w:left="360" w:hanging="360"/>
      </w:pPr>
      <w:rPr>
        <w:rFonts w:ascii="Symbol" w:hAnsi="Symbol" w:hint="default"/>
        <w:b/>
        <w:i w:val="0"/>
        <w:color w:val="auto"/>
        <w:sz w:val="20"/>
        <w:szCs w:val="20"/>
      </w:rPr>
    </w:lvl>
    <w:lvl w:ilvl="1" w:tplc="0C090017">
      <w:start w:val="1"/>
      <w:numFmt w:val="lowerLetter"/>
      <w:lvlText w:val="%2)"/>
      <w:lvlJc w:val="left"/>
      <w:pPr>
        <w:ind w:left="1440" w:hanging="360"/>
      </w:pPr>
      <w:rPr>
        <w:b w:val="0"/>
        <w:strike w:val="0"/>
      </w:r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4E46EC"/>
    <w:multiLevelType w:val="hybridMultilevel"/>
    <w:tmpl w:val="42120E2A"/>
    <w:lvl w:ilvl="0" w:tplc="0C090001">
      <w:start w:val="1"/>
      <w:numFmt w:val="bullet"/>
      <w:lvlText w:val=""/>
      <w:lvlJc w:val="left"/>
      <w:pPr>
        <w:ind w:left="360" w:hanging="360"/>
      </w:pPr>
      <w:rPr>
        <w:rFonts w:ascii="Symbol" w:hAnsi="Symbol" w:hint="default"/>
        <w:b/>
        <w:i w:val="0"/>
        <w:color w:val="auto"/>
        <w:sz w:val="20"/>
        <w:szCs w:val="20"/>
      </w:rPr>
    </w:lvl>
    <w:lvl w:ilvl="1" w:tplc="0C090017">
      <w:start w:val="1"/>
      <w:numFmt w:val="lowerLetter"/>
      <w:lvlText w:val="%2)"/>
      <w:lvlJc w:val="left"/>
      <w:pPr>
        <w:ind w:left="1440" w:hanging="360"/>
      </w:pPr>
      <w:rPr>
        <w:b w:val="0"/>
        <w:strike w:val="0"/>
      </w:r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6143305"/>
    <w:multiLevelType w:val="hybridMultilevel"/>
    <w:tmpl w:val="FA2C1D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F9"/>
    <w:rsid w:val="00027307"/>
    <w:rsid w:val="000B1D85"/>
    <w:rsid w:val="000D435A"/>
    <w:rsid w:val="0010420A"/>
    <w:rsid w:val="0010729D"/>
    <w:rsid w:val="00107FE6"/>
    <w:rsid w:val="00177693"/>
    <w:rsid w:val="00241668"/>
    <w:rsid w:val="0025214D"/>
    <w:rsid w:val="00326D74"/>
    <w:rsid w:val="003514C8"/>
    <w:rsid w:val="00380C33"/>
    <w:rsid w:val="003C1E31"/>
    <w:rsid w:val="004A06F8"/>
    <w:rsid w:val="0056200C"/>
    <w:rsid w:val="005C6123"/>
    <w:rsid w:val="00673975"/>
    <w:rsid w:val="006D74FA"/>
    <w:rsid w:val="0073255A"/>
    <w:rsid w:val="009204C7"/>
    <w:rsid w:val="009B6D1F"/>
    <w:rsid w:val="00A62E1D"/>
    <w:rsid w:val="00B30AF9"/>
    <w:rsid w:val="00B422DD"/>
    <w:rsid w:val="00B831D5"/>
    <w:rsid w:val="00BA043D"/>
    <w:rsid w:val="00CA1619"/>
    <w:rsid w:val="00E26D38"/>
    <w:rsid w:val="00EA0A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BA2E"/>
  <w15:chartTrackingRefBased/>
  <w15:docId w15:val="{AD0926D8-7F56-4741-A1D1-CEE9CF9D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A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0AF9"/>
    <w:pPr>
      <w:ind w:left="720"/>
      <w:contextualSpacing/>
    </w:pPr>
  </w:style>
  <w:style w:type="character" w:styleId="Hyperlink">
    <w:name w:val="Hyperlink"/>
    <w:basedOn w:val="DefaultParagraphFont"/>
    <w:uiPriority w:val="99"/>
    <w:unhideWhenUsed/>
    <w:rsid w:val="00B30AF9"/>
    <w:rPr>
      <w:color w:val="0000FF"/>
      <w:u w:val="single"/>
    </w:rPr>
  </w:style>
  <w:style w:type="paragraph" w:customStyle="1" w:styleId="BodyText1">
    <w:name w:val="Body Text1"/>
    <w:basedOn w:val="Normal"/>
    <w:link w:val="BodytextChar"/>
    <w:rsid w:val="00B30AF9"/>
    <w:pPr>
      <w:spacing w:line="240" w:lineRule="auto"/>
    </w:pPr>
    <w:rPr>
      <w:rFonts w:ascii="Arial" w:eastAsia="Times New Roman" w:hAnsi="Arial" w:cs="Times New Roman"/>
      <w:sz w:val="20"/>
      <w:szCs w:val="24"/>
      <w:lang w:eastAsia="en-AU"/>
    </w:rPr>
  </w:style>
  <w:style w:type="character" w:customStyle="1" w:styleId="BodytextChar">
    <w:name w:val="Body text Char"/>
    <w:link w:val="BodyText1"/>
    <w:rsid w:val="00B30AF9"/>
    <w:rPr>
      <w:rFonts w:ascii="Arial" w:eastAsia="Times New Roman" w:hAnsi="Arial" w:cs="Times New Roman"/>
      <w:sz w:val="20"/>
      <w:szCs w:val="24"/>
      <w:lang w:eastAsia="en-AU"/>
    </w:rPr>
  </w:style>
  <w:style w:type="character" w:customStyle="1" w:styleId="ListParagraphChar">
    <w:name w:val="List Paragraph Char"/>
    <w:basedOn w:val="DefaultParagraphFont"/>
    <w:link w:val="ListParagraph"/>
    <w:uiPriority w:val="34"/>
    <w:locked/>
    <w:rsid w:val="00B30AF9"/>
  </w:style>
  <w:style w:type="paragraph" w:customStyle="1" w:styleId="ReplyLet">
    <w:name w:val="ReplyLet"/>
    <w:basedOn w:val="Normal"/>
    <w:link w:val="ReplyLetChar"/>
    <w:qFormat/>
    <w:rsid w:val="00B30AF9"/>
    <w:pPr>
      <w:spacing w:after="0" w:line="240" w:lineRule="auto"/>
      <w:jc w:val="both"/>
    </w:pPr>
    <w:rPr>
      <w:rFonts w:ascii="Arial" w:eastAsia="Times New Roman" w:hAnsi="Arial" w:cs="Arial"/>
      <w:sz w:val="23"/>
      <w:szCs w:val="20"/>
    </w:rPr>
  </w:style>
  <w:style w:type="character" w:customStyle="1" w:styleId="ReplyLetChar">
    <w:name w:val="ReplyLet Char"/>
    <w:link w:val="ReplyLet"/>
    <w:rsid w:val="00B30AF9"/>
    <w:rPr>
      <w:rFonts w:ascii="Arial" w:eastAsia="Times New Roman" w:hAnsi="Arial" w:cs="Arial"/>
      <w:sz w:val="23"/>
      <w:szCs w:val="20"/>
    </w:rPr>
  </w:style>
  <w:style w:type="character" w:customStyle="1" w:styleId="normaltextrun1">
    <w:name w:val="normaltextrun1"/>
    <w:basedOn w:val="DefaultParagraphFont"/>
    <w:rsid w:val="00B30AF9"/>
  </w:style>
  <w:style w:type="character" w:styleId="UnresolvedMention">
    <w:name w:val="Unresolved Mention"/>
    <w:basedOn w:val="DefaultParagraphFont"/>
    <w:uiPriority w:val="99"/>
    <w:semiHidden/>
    <w:unhideWhenUsed/>
    <w:rsid w:val="00EA0A15"/>
    <w:rPr>
      <w:color w:val="808080"/>
      <w:shd w:val="clear" w:color="auto" w:fill="E6E6E6"/>
    </w:rPr>
  </w:style>
  <w:style w:type="paragraph" w:styleId="BalloonText">
    <w:name w:val="Balloon Text"/>
    <w:basedOn w:val="Normal"/>
    <w:link w:val="BalloonTextChar"/>
    <w:uiPriority w:val="99"/>
    <w:semiHidden/>
    <w:unhideWhenUsed/>
    <w:rsid w:val="00380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C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88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nning.vic.gov.au/__data/assets/word_doc/0019/110458/Major-Hazard-Facilities_Government-Response.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ning.vic.gov.au/__data/assets/pdf_file/0018/110457/Major-hazard-facilities_Government-response-to-Final-Report.pdf" TargetMode="External"/><Relationship Id="rId11" Type="http://schemas.openxmlformats.org/officeDocument/2006/relationships/hyperlink" Target="http://www.planning.vic.gov.au" TargetMode="External"/><Relationship Id="rId5" Type="http://schemas.openxmlformats.org/officeDocument/2006/relationships/hyperlink" Target="http://www.planning.vic.gov.au" TargetMode="External"/><Relationship Id="rId10" Type="http://schemas.openxmlformats.org/officeDocument/2006/relationships/hyperlink" Target="http://www.relayservice.com.au" TargetMode="External"/><Relationship Id="rId4" Type="http://schemas.openxmlformats.org/officeDocument/2006/relationships/webSettings" Target="webSettings.xml"/><Relationship Id="rId9" Type="http://schemas.openxmlformats.org/officeDocument/2006/relationships/hyperlink" Target="mailto:customer.service@delwp.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Shirani L De Saram (DELWP)</dc:creator>
  <cp:keywords/>
  <dc:description/>
  <cp:lastModifiedBy>Shirani L De Saram (DELWP)</cp:lastModifiedBy>
  <cp:revision>3</cp:revision>
  <cp:lastPrinted>2018-10-25T03:27:00Z</cp:lastPrinted>
  <dcterms:created xsi:type="dcterms:W3CDTF">2018-10-25T06:34:00Z</dcterms:created>
  <dcterms:modified xsi:type="dcterms:W3CDTF">2018-10-25T06:35:00Z</dcterms:modified>
</cp:coreProperties>
</file>