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9C7" w:rsidRPr="003A58CF" w:rsidRDefault="00A349C7" w:rsidP="00FF4191">
      <w:pPr>
        <w:pStyle w:val="bt"/>
        <w:tabs>
          <w:tab w:val="left" w:pos="5000"/>
        </w:tabs>
      </w:pPr>
      <w:bookmarkStart w:id="0" w:name="_GoBack"/>
      <w:bookmarkEnd w:id="0"/>
    </w:p>
    <w:p w:rsidR="00A349C7" w:rsidRPr="00FD14F5" w:rsidRDefault="00A349C7" w:rsidP="00854F5E">
      <w:pPr>
        <w:pStyle w:val="bt"/>
        <w:rPr>
          <w:sz w:val="22"/>
          <w:szCs w:val="22"/>
        </w:rPr>
      </w:pPr>
      <w:r w:rsidRPr="00FD14F5">
        <w:rPr>
          <w:sz w:val="22"/>
          <w:szCs w:val="22"/>
        </w:rPr>
        <w:t xml:space="preserve">This version of the </w:t>
      </w:r>
      <w:r w:rsidRPr="00FD14F5">
        <w:rPr>
          <w:b/>
          <w:i/>
          <w:sz w:val="22"/>
          <w:szCs w:val="22"/>
        </w:rPr>
        <w:t>Loddon Mallee South Regional Growth Plan</w:t>
      </w:r>
      <w:r w:rsidRPr="00FD14F5">
        <w:rPr>
          <w:b/>
          <w:i/>
          <w:iCs/>
          <w:sz w:val="22"/>
          <w:szCs w:val="22"/>
        </w:rPr>
        <w:t xml:space="preserve"> </w:t>
      </w:r>
      <w:r w:rsidRPr="00FD14F5">
        <w:rPr>
          <w:sz w:val="22"/>
          <w:szCs w:val="22"/>
        </w:rPr>
        <w:t>has been prepared for use with screen reader software. The printed publication may contain photographs, captions and design features that have been necessarily omitted from this version. In other respects this document contains identical text to that in the PDF version of the document which is available at</w:t>
      </w:r>
      <w:r w:rsidR="00066DE6">
        <w:rPr>
          <w:sz w:val="22"/>
          <w:szCs w:val="22"/>
        </w:rPr>
        <w:t>:</w:t>
      </w:r>
      <w:r w:rsidRPr="00FD14F5">
        <w:rPr>
          <w:sz w:val="22"/>
          <w:szCs w:val="22"/>
        </w:rPr>
        <w:t xml:space="preserve"> </w:t>
      </w:r>
      <w:hyperlink r:id="rId8" w:history="1">
        <w:r w:rsidRPr="00FD14F5">
          <w:rPr>
            <w:rStyle w:val="Hyperlink"/>
            <w:rFonts w:asciiTheme="minorHAnsi" w:hAnsiTheme="minorHAnsi" w:cstheme="minorHAnsi"/>
            <w:sz w:val="22"/>
            <w:szCs w:val="22"/>
          </w:rPr>
          <w:t>www.</w:t>
        </w:r>
        <w:r w:rsidR="007E5DCA" w:rsidRPr="00FD14F5">
          <w:rPr>
            <w:rStyle w:val="Hyperlink"/>
            <w:rFonts w:asciiTheme="minorHAnsi" w:hAnsiTheme="minorHAnsi" w:cstheme="minorHAnsi"/>
            <w:sz w:val="22"/>
            <w:szCs w:val="22"/>
          </w:rPr>
          <w:t>dtpli</w:t>
        </w:r>
        <w:r w:rsidRPr="00FD14F5">
          <w:rPr>
            <w:rStyle w:val="Hyperlink"/>
            <w:rFonts w:asciiTheme="minorHAnsi" w:hAnsiTheme="minorHAnsi" w:cstheme="minorHAnsi"/>
            <w:sz w:val="22"/>
            <w:szCs w:val="22"/>
          </w:rPr>
          <w:t>.vic.gov.au/regionalgrowthplans</w:t>
        </w:r>
      </w:hyperlink>
    </w:p>
    <w:p w:rsidR="00A349C7" w:rsidRPr="003A58CF" w:rsidRDefault="00A349C7" w:rsidP="00854F5E">
      <w:pPr>
        <w:pStyle w:val="bt"/>
      </w:pPr>
    </w:p>
    <w:p w:rsidR="00A349C7" w:rsidRPr="003A58CF" w:rsidRDefault="00A349C7" w:rsidP="00B94638">
      <w:pPr>
        <w:pStyle w:val="Title"/>
      </w:pPr>
      <w:r w:rsidRPr="003A58CF">
        <w:t>Regional Growth Plan</w:t>
      </w:r>
    </w:p>
    <w:p w:rsidR="00E36E5F" w:rsidRPr="00E36E5F" w:rsidRDefault="00E36E5F" w:rsidP="00E36E5F">
      <w:pPr>
        <w:pStyle w:val="Subtitle"/>
      </w:pPr>
    </w:p>
    <w:p w:rsidR="006B720F" w:rsidRPr="00FD14F5" w:rsidRDefault="006B720F" w:rsidP="00854F5E">
      <w:pPr>
        <w:pStyle w:val="bt"/>
        <w:rPr>
          <w:sz w:val="24"/>
          <w:szCs w:val="24"/>
        </w:rPr>
        <w:sectPr w:rsidR="006B720F" w:rsidRPr="00FD14F5" w:rsidSect="003D7F8F">
          <w:headerReference w:type="first" r:id="rId9"/>
          <w:pgSz w:w="11906" w:h="16838"/>
          <w:pgMar w:top="2634" w:right="1440" w:bottom="851" w:left="1440" w:header="709" w:footer="708" w:gutter="0"/>
          <w:pgNumType w:start="1"/>
          <w:cols w:space="708"/>
          <w:titlePg/>
          <w:docGrid w:linePitch="360"/>
        </w:sectPr>
      </w:pPr>
    </w:p>
    <w:p w:rsidR="00F35728" w:rsidRDefault="00F35728" w:rsidP="00F35728">
      <w:pPr>
        <w:pStyle w:val="bt"/>
      </w:pPr>
      <w:r>
        <w:lastRenderedPageBreak/>
        <w:t>Authorised and published by the Victorian Government, 1 Treasury Place, Melbourne</w:t>
      </w:r>
    </w:p>
    <w:p w:rsidR="00F35728" w:rsidRDefault="00F35728" w:rsidP="00F35728">
      <w:pPr>
        <w:pStyle w:val="bt"/>
      </w:pPr>
      <w:r>
        <w:t>Printed by Finsbury Green, Melbourne</w:t>
      </w:r>
    </w:p>
    <w:p w:rsidR="00F35728" w:rsidRPr="00116E6E" w:rsidRDefault="00F35728" w:rsidP="00F35728">
      <w:pPr>
        <w:pStyle w:val="bt"/>
        <w:rPr>
          <w:sz w:val="28"/>
          <w:szCs w:val="28"/>
        </w:rPr>
      </w:pPr>
      <w:r w:rsidRPr="00116E6E">
        <w:rPr>
          <w:sz w:val="28"/>
          <w:szCs w:val="28"/>
        </w:rPr>
        <w:t>If you would like to receive this publication in an accessible format, please telephone 1300 366 356.</w:t>
      </w:r>
    </w:p>
    <w:p w:rsidR="00F35728" w:rsidRDefault="00F35728" w:rsidP="00F35728">
      <w:pPr>
        <w:pStyle w:val="bt"/>
      </w:pPr>
      <w:r>
        <w:t xml:space="preserve">This document is also available in Word format at </w:t>
      </w:r>
      <w:hyperlink r:id="rId10" w:history="1">
        <w:r>
          <w:rPr>
            <w:color w:val="0000FF"/>
            <w:u w:val="single"/>
          </w:rPr>
          <w:t>www.dtpli.vic.gov.au/regionalgrowthplans</w:t>
        </w:r>
      </w:hyperlink>
    </w:p>
    <w:p w:rsidR="00F35728" w:rsidRDefault="00F35728" w:rsidP="00F35728">
      <w:pPr>
        <w:pStyle w:val="bt"/>
      </w:pPr>
      <w:r>
        <w:t>Unless indicated otherwise, this work is made available under the terms of the Creative Commons Attribution 3.0 Australia licence.</w:t>
      </w:r>
    </w:p>
    <w:p w:rsidR="00F35728" w:rsidRDefault="00F35728" w:rsidP="00F35728">
      <w:pPr>
        <w:pStyle w:val="bt"/>
      </w:pPr>
      <w:r>
        <w:t>To view a copy of the licence, visit creativecommons.org/licences/by/3.0/au</w:t>
      </w:r>
    </w:p>
    <w:p w:rsidR="00F35728" w:rsidRDefault="00F35728" w:rsidP="00F35728">
      <w:pPr>
        <w:pStyle w:val="bt"/>
      </w:pPr>
      <w:r>
        <w:t>It is a condition of this Creative Commons Attribution 3.0 Licence that you must give credit to the original author who is the State of Victoria.</w:t>
      </w:r>
    </w:p>
    <w:p w:rsidR="00F35728" w:rsidRDefault="00F35728" w:rsidP="00F35728">
      <w:pPr>
        <w:pStyle w:val="bt"/>
        <w:rPr>
          <w:b/>
          <w:bCs/>
        </w:rPr>
      </w:pPr>
      <w:r>
        <w:rPr>
          <w:b/>
          <w:bCs/>
        </w:rPr>
        <w:t>Disclaimer</w:t>
      </w:r>
    </w:p>
    <w:p w:rsidR="00F35728" w:rsidRDefault="00F35728" w:rsidP="00F35728">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35728" w:rsidRPr="006707B1" w:rsidRDefault="00BC5773" w:rsidP="00F35728">
      <w:pPr>
        <w:pStyle w:val="bt"/>
        <w:rPr>
          <w:b/>
          <w:bCs/>
        </w:rPr>
      </w:pPr>
      <w:r>
        <w:rPr>
          <w:b/>
          <w:bCs/>
        </w:rPr>
        <w:t xml:space="preserve">May </w:t>
      </w:r>
      <w:r w:rsidR="006707B1" w:rsidRPr="006707B1">
        <w:rPr>
          <w:b/>
          <w:bCs/>
        </w:rPr>
        <w:t>2014</w:t>
      </w:r>
    </w:p>
    <w:p w:rsidR="006B720F" w:rsidRPr="006707B1" w:rsidRDefault="006B720F" w:rsidP="00854F5E">
      <w:pPr>
        <w:pStyle w:val="bt"/>
        <w:rPr>
          <w:bCs/>
          <w:i/>
        </w:rPr>
        <w:sectPr w:rsidR="006B720F" w:rsidRPr="006707B1" w:rsidSect="00F35728">
          <w:headerReference w:type="even" r:id="rId11"/>
          <w:headerReference w:type="default" r:id="rId12"/>
          <w:headerReference w:type="first" r:id="rId13"/>
          <w:pgSz w:w="11906" w:h="16838"/>
          <w:pgMar w:top="9073" w:right="1440" w:bottom="851" w:left="1440" w:header="709" w:footer="708" w:gutter="0"/>
          <w:pgNumType w:start="1"/>
          <w:cols w:space="708"/>
          <w:titlePg/>
          <w:docGrid w:linePitch="360"/>
        </w:sectPr>
      </w:pPr>
    </w:p>
    <w:p w:rsidR="00140276" w:rsidRDefault="00DE58DB" w:rsidP="005C3684">
      <w:pPr>
        <w:pStyle w:val="TOCHeading"/>
        <w:tabs>
          <w:tab w:val="left" w:pos="5100"/>
        </w:tabs>
        <w:rPr>
          <w:noProof/>
        </w:rPr>
      </w:pPr>
      <w:bookmarkStart w:id="1" w:name="_Toc352687580"/>
      <w:bookmarkStart w:id="2" w:name="_Toc365300517"/>
      <w:r w:rsidRPr="003A58CF">
        <w:lastRenderedPageBreak/>
        <w:t>Contents</w:t>
      </w:r>
      <w:bookmarkEnd w:id="1"/>
      <w:bookmarkEnd w:id="2"/>
      <w:r w:rsidR="00F06CD8" w:rsidRPr="00F06CD8">
        <w:rPr>
          <w:rFonts w:eastAsia="Times New Roman"/>
          <w:noProof/>
          <w:lang w:eastAsia="en-US"/>
        </w:rPr>
        <w:fldChar w:fldCharType="begin"/>
      </w:r>
      <w:r w:rsidR="0018666D" w:rsidRPr="003A58CF">
        <w:instrText xml:space="preserve"> TOC \o "1-3" \h \z \u </w:instrText>
      </w:r>
      <w:r w:rsidR="00F06CD8" w:rsidRPr="00F06CD8">
        <w:rPr>
          <w:rFonts w:eastAsia="Times New Roman"/>
          <w:noProof/>
          <w:lang w:eastAsia="en-US"/>
        </w:rPr>
        <w:fldChar w:fldCharType="separate"/>
      </w:r>
    </w:p>
    <w:p w:rsidR="00140276" w:rsidRDefault="00F06CD8">
      <w:pPr>
        <w:pStyle w:val="TOC1"/>
        <w:rPr>
          <w:rFonts w:asciiTheme="minorHAnsi" w:eastAsiaTheme="minorEastAsia" w:hAnsiTheme="minorHAnsi" w:cstheme="minorBidi"/>
        </w:rPr>
      </w:pPr>
      <w:hyperlink w:anchor="_Toc377026318" w:history="1">
        <w:r w:rsidR="00140276" w:rsidRPr="00B73C18">
          <w:rPr>
            <w:rStyle w:val="Hyperlink"/>
          </w:rPr>
          <w:t>EXECUTIVE SUMMARY</w:t>
        </w:r>
        <w:r w:rsidR="00140276">
          <w:rPr>
            <w:webHidden/>
          </w:rPr>
          <w:tab/>
        </w:r>
        <w:r>
          <w:rPr>
            <w:webHidden/>
          </w:rPr>
          <w:fldChar w:fldCharType="begin"/>
        </w:r>
        <w:r w:rsidR="00140276">
          <w:rPr>
            <w:webHidden/>
          </w:rPr>
          <w:instrText xml:space="preserve"> PAGEREF _Toc377026318 \h </w:instrText>
        </w:r>
        <w:r>
          <w:rPr>
            <w:webHidden/>
          </w:rPr>
        </w:r>
        <w:r>
          <w:rPr>
            <w:webHidden/>
          </w:rPr>
          <w:fldChar w:fldCharType="separate"/>
        </w:r>
        <w:r w:rsidR="00285800">
          <w:rPr>
            <w:webHidden/>
          </w:rPr>
          <w:t>i</w:t>
        </w:r>
        <w:r>
          <w:rPr>
            <w:webHidden/>
          </w:rPr>
          <w:fldChar w:fldCharType="end"/>
        </w:r>
      </w:hyperlink>
    </w:p>
    <w:p w:rsidR="00140276" w:rsidRDefault="00F06CD8">
      <w:pPr>
        <w:pStyle w:val="TOC1"/>
        <w:rPr>
          <w:rFonts w:asciiTheme="minorHAnsi" w:eastAsiaTheme="minorEastAsia" w:hAnsiTheme="minorHAnsi" w:cstheme="minorBidi"/>
        </w:rPr>
      </w:pPr>
      <w:hyperlink w:anchor="_Toc377026319" w:history="1">
        <w:r w:rsidR="00140276" w:rsidRPr="00B73C18">
          <w:rPr>
            <w:rStyle w:val="Hyperlink"/>
            <w:rFonts w:cs="Calibri"/>
          </w:rPr>
          <w:t>PART A:</w:t>
        </w:r>
        <w:r w:rsidR="00140276">
          <w:rPr>
            <w:rFonts w:asciiTheme="minorHAnsi" w:eastAsiaTheme="minorEastAsia" w:hAnsiTheme="minorHAnsi" w:cstheme="minorBidi"/>
          </w:rPr>
          <w:tab/>
        </w:r>
        <w:r w:rsidR="00140276" w:rsidRPr="00B73C18">
          <w:rPr>
            <w:rStyle w:val="Hyperlink"/>
            <w:rFonts w:cs="Calibri"/>
            <w:caps/>
          </w:rPr>
          <w:t>Introduction</w:t>
        </w:r>
        <w:r w:rsidR="00140276">
          <w:rPr>
            <w:webHidden/>
          </w:rPr>
          <w:tab/>
        </w:r>
        <w:r>
          <w:rPr>
            <w:webHidden/>
          </w:rPr>
          <w:fldChar w:fldCharType="begin"/>
        </w:r>
        <w:r w:rsidR="00140276">
          <w:rPr>
            <w:webHidden/>
          </w:rPr>
          <w:instrText xml:space="preserve"> PAGEREF _Toc377026319 \h </w:instrText>
        </w:r>
        <w:r>
          <w:rPr>
            <w:webHidden/>
          </w:rPr>
        </w:r>
        <w:r>
          <w:rPr>
            <w:webHidden/>
          </w:rPr>
          <w:fldChar w:fldCharType="separate"/>
        </w:r>
        <w:r w:rsidR="00285800">
          <w:rPr>
            <w:webHidden/>
          </w:rPr>
          <w:t>1</w:t>
        </w:r>
        <w:r>
          <w:rPr>
            <w:webHidden/>
          </w:rPr>
          <w:fldChar w:fldCharType="end"/>
        </w:r>
      </w:hyperlink>
    </w:p>
    <w:p w:rsidR="00140276" w:rsidRDefault="00F06CD8">
      <w:pPr>
        <w:pStyle w:val="TOC1"/>
        <w:rPr>
          <w:rFonts w:asciiTheme="minorHAnsi" w:eastAsiaTheme="minorEastAsia" w:hAnsiTheme="minorHAnsi" w:cstheme="minorBidi"/>
        </w:rPr>
      </w:pPr>
      <w:hyperlink w:anchor="_Toc377026320" w:history="1">
        <w:r w:rsidR="00140276" w:rsidRPr="00B73C18">
          <w:rPr>
            <w:rStyle w:val="Hyperlink"/>
          </w:rPr>
          <w:t>1.</w:t>
        </w:r>
        <w:r w:rsidR="00140276">
          <w:rPr>
            <w:rFonts w:asciiTheme="minorHAnsi" w:eastAsiaTheme="minorEastAsia" w:hAnsiTheme="minorHAnsi" w:cstheme="minorBidi"/>
          </w:rPr>
          <w:tab/>
        </w:r>
        <w:r w:rsidR="00140276" w:rsidRPr="00B73C18">
          <w:rPr>
            <w:rStyle w:val="Hyperlink"/>
          </w:rPr>
          <w:t>What is a regional growth plan?</w:t>
        </w:r>
        <w:r w:rsidR="00140276">
          <w:rPr>
            <w:webHidden/>
          </w:rPr>
          <w:tab/>
        </w:r>
        <w:r>
          <w:rPr>
            <w:webHidden/>
          </w:rPr>
          <w:fldChar w:fldCharType="begin"/>
        </w:r>
        <w:r w:rsidR="00140276">
          <w:rPr>
            <w:webHidden/>
          </w:rPr>
          <w:instrText xml:space="preserve"> PAGEREF _Toc377026320 \h </w:instrText>
        </w:r>
        <w:r>
          <w:rPr>
            <w:webHidden/>
          </w:rPr>
        </w:r>
        <w:r>
          <w:rPr>
            <w:webHidden/>
          </w:rPr>
          <w:fldChar w:fldCharType="separate"/>
        </w:r>
        <w:r w:rsidR="00285800">
          <w:rPr>
            <w:webHidden/>
          </w:rPr>
          <w:t>1</w:t>
        </w:r>
        <w:r>
          <w:rPr>
            <w:webHidden/>
          </w:rPr>
          <w:fldChar w:fldCharType="end"/>
        </w:r>
      </w:hyperlink>
    </w:p>
    <w:p w:rsidR="00140276" w:rsidRDefault="00F06CD8">
      <w:pPr>
        <w:pStyle w:val="TOC1"/>
        <w:rPr>
          <w:rFonts w:asciiTheme="minorHAnsi" w:eastAsiaTheme="minorEastAsia" w:hAnsiTheme="minorHAnsi" w:cstheme="minorBidi"/>
        </w:rPr>
      </w:pPr>
      <w:hyperlink w:anchor="_Toc377026321" w:history="1">
        <w:r w:rsidR="00140276" w:rsidRPr="00B73C18">
          <w:rPr>
            <w:rStyle w:val="Hyperlink"/>
          </w:rPr>
          <w:t>2.</w:t>
        </w:r>
        <w:r w:rsidR="00140276">
          <w:rPr>
            <w:rFonts w:asciiTheme="minorHAnsi" w:eastAsiaTheme="minorEastAsia" w:hAnsiTheme="minorHAnsi" w:cstheme="minorBidi"/>
          </w:rPr>
          <w:tab/>
        </w:r>
        <w:r w:rsidR="00140276" w:rsidRPr="00B73C18">
          <w:rPr>
            <w:rStyle w:val="Hyperlink"/>
          </w:rPr>
          <w:t>Why we need this plan</w:t>
        </w:r>
        <w:r w:rsidR="00140276">
          <w:rPr>
            <w:webHidden/>
          </w:rPr>
          <w:tab/>
        </w:r>
        <w:r>
          <w:rPr>
            <w:webHidden/>
          </w:rPr>
          <w:fldChar w:fldCharType="begin"/>
        </w:r>
        <w:r w:rsidR="00140276">
          <w:rPr>
            <w:webHidden/>
          </w:rPr>
          <w:instrText xml:space="preserve"> PAGEREF _Toc377026321 \h </w:instrText>
        </w:r>
        <w:r>
          <w:rPr>
            <w:webHidden/>
          </w:rPr>
        </w:r>
        <w:r>
          <w:rPr>
            <w:webHidden/>
          </w:rPr>
          <w:fldChar w:fldCharType="separate"/>
        </w:r>
        <w:r w:rsidR="00285800">
          <w:rPr>
            <w:webHidden/>
          </w:rPr>
          <w:t>2</w:t>
        </w:r>
        <w:r>
          <w:rPr>
            <w:webHidden/>
          </w:rPr>
          <w:fldChar w:fldCharType="end"/>
        </w:r>
      </w:hyperlink>
    </w:p>
    <w:p w:rsidR="00140276" w:rsidRDefault="00F06CD8">
      <w:pPr>
        <w:pStyle w:val="TOC1"/>
        <w:rPr>
          <w:rFonts w:asciiTheme="minorHAnsi" w:eastAsiaTheme="minorEastAsia" w:hAnsiTheme="minorHAnsi" w:cstheme="minorBidi"/>
        </w:rPr>
      </w:pPr>
      <w:hyperlink w:anchor="_Toc377026322" w:history="1">
        <w:r w:rsidR="00140276" w:rsidRPr="00B73C18">
          <w:rPr>
            <w:rStyle w:val="Hyperlink"/>
          </w:rPr>
          <w:t>3.</w:t>
        </w:r>
        <w:r w:rsidR="00140276">
          <w:rPr>
            <w:rFonts w:asciiTheme="minorHAnsi" w:eastAsiaTheme="minorEastAsia" w:hAnsiTheme="minorHAnsi" w:cstheme="minorBidi"/>
          </w:rPr>
          <w:tab/>
        </w:r>
        <w:r w:rsidR="00140276" w:rsidRPr="00B73C18">
          <w:rPr>
            <w:rStyle w:val="Hyperlink"/>
          </w:rPr>
          <w:t>How this plan will be used</w:t>
        </w:r>
        <w:r w:rsidR="00140276">
          <w:rPr>
            <w:webHidden/>
          </w:rPr>
          <w:tab/>
        </w:r>
        <w:r>
          <w:rPr>
            <w:webHidden/>
          </w:rPr>
          <w:fldChar w:fldCharType="begin"/>
        </w:r>
        <w:r w:rsidR="00140276">
          <w:rPr>
            <w:webHidden/>
          </w:rPr>
          <w:instrText xml:space="preserve"> PAGEREF _Toc377026322 \h </w:instrText>
        </w:r>
        <w:r>
          <w:rPr>
            <w:webHidden/>
          </w:rPr>
        </w:r>
        <w:r>
          <w:rPr>
            <w:webHidden/>
          </w:rPr>
          <w:fldChar w:fldCharType="separate"/>
        </w:r>
        <w:r w:rsidR="00285800">
          <w:rPr>
            <w:webHidden/>
          </w:rPr>
          <w:t>2</w:t>
        </w:r>
        <w:r>
          <w:rPr>
            <w:webHidden/>
          </w:rPr>
          <w:fldChar w:fldCharType="end"/>
        </w:r>
      </w:hyperlink>
    </w:p>
    <w:p w:rsidR="00140276" w:rsidRDefault="00F06CD8">
      <w:pPr>
        <w:pStyle w:val="TOC1"/>
        <w:rPr>
          <w:rFonts w:asciiTheme="minorHAnsi" w:eastAsiaTheme="minorEastAsia" w:hAnsiTheme="minorHAnsi" w:cstheme="minorBidi"/>
        </w:rPr>
      </w:pPr>
      <w:hyperlink w:anchor="_Toc377026323" w:history="1">
        <w:r w:rsidR="00140276" w:rsidRPr="00B73C18">
          <w:rPr>
            <w:rStyle w:val="Hyperlink"/>
          </w:rPr>
          <w:t>4.</w:t>
        </w:r>
        <w:r w:rsidR="00140276">
          <w:rPr>
            <w:rFonts w:asciiTheme="minorHAnsi" w:eastAsiaTheme="minorEastAsia" w:hAnsiTheme="minorHAnsi" w:cstheme="minorBidi"/>
          </w:rPr>
          <w:tab/>
        </w:r>
        <w:r w:rsidR="00140276" w:rsidRPr="00B73C18">
          <w:rPr>
            <w:rStyle w:val="Hyperlink"/>
          </w:rPr>
          <w:t>How the plan was prepared</w:t>
        </w:r>
        <w:r w:rsidR="00140276">
          <w:rPr>
            <w:webHidden/>
          </w:rPr>
          <w:tab/>
        </w:r>
        <w:r>
          <w:rPr>
            <w:webHidden/>
          </w:rPr>
          <w:fldChar w:fldCharType="begin"/>
        </w:r>
        <w:r w:rsidR="00140276">
          <w:rPr>
            <w:webHidden/>
          </w:rPr>
          <w:instrText xml:space="preserve"> PAGEREF _Toc377026323 \h </w:instrText>
        </w:r>
        <w:r>
          <w:rPr>
            <w:webHidden/>
          </w:rPr>
        </w:r>
        <w:r>
          <w:rPr>
            <w:webHidden/>
          </w:rPr>
          <w:fldChar w:fldCharType="separate"/>
        </w:r>
        <w:r w:rsidR="00285800">
          <w:rPr>
            <w:webHidden/>
          </w:rPr>
          <w:t>3</w:t>
        </w:r>
        <w:r>
          <w:rPr>
            <w:webHidden/>
          </w:rPr>
          <w:fldChar w:fldCharType="end"/>
        </w:r>
      </w:hyperlink>
    </w:p>
    <w:p w:rsidR="00140276" w:rsidRDefault="00F06CD8">
      <w:pPr>
        <w:pStyle w:val="TOC1"/>
        <w:rPr>
          <w:rFonts w:asciiTheme="minorHAnsi" w:eastAsiaTheme="minorEastAsia" w:hAnsiTheme="minorHAnsi" w:cstheme="minorBidi"/>
        </w:rPr>
      </w:pPr>
      <w:hyperlink w:anchor="_Toc377026324" w:history="1">
        <w:r w:rsidR="00140276" w:rsidRPr="00B73C18">
          <w:rPr>
            <w:rStyle w:val="Hyperlink"/>
          </w:rPr>
          <w:t>5.</w:t>
        </w:r>
        <w:r w:rsidR="00140276">
          <w:rPr>
            <w:rFonts w:asciiTheme="minorHAnsi" w:eastAsiaTheme="minorEastAsia" w:hAnsiTheme="minorHAnsi" w:cstheme="minorBidi"/>
          </w:rPr>
          <w:tab/>
        </w:r>
        <w:r w:rsidR="00140276" w:rsidRPr="00B73C18">
          <w:rPr>
            <w:rStyle w:val="Hyperlink"/>
          </w:rPr>
          <w:t>Components of this plan</w:t>
        </w:r>
        <w:r w:rsidR="00140276">
          <w:rPr>
            <w:webHidden/>
          </w:rPr>
          <w:tab/>
        </w:r>
        <w:r>
          <w:rPr>
            <w:webHidden/>
          </w:rPr>
          <w:fldChar w:fldCharType="begin"/>
        </w:r>
        <w:r w:rsidR="00140276">
          <w:rPr>
            <w:webHidden/>
          </w:rPr>
          <w:instrText xml:space="preserve"> PAGEREF _Toc377026324 \h </w:instrText>
        </w:r>
        <w:r>
          <w:rPr>
            <w:webHidden/>
          </w:rPr>
        </w:r>
        <w:r>
          <w:rPr>
            <w:webHidden/>
          </w:rPr>
          <w:fldChar w:fldCharType="separate"/>
        </w:r>
        <w:r w:rsidR="00285800">
          <w:rPr>
            <w:webHidden/>
          </w:rPr>
          <w:t>3</w:t>
        </w:r>
        <w:r>
          <w:rPr>
            <w:webHidden/>
          </w:rPr>
          <w:fldChar w:fldCharType="end"/>
        </w:r>
      </w:hyperlink>
    </w:p>
    <w:p w:rsidR="00140276" w:rsidRDefault="00F06CD8">
      <w:pPr>
        <w:pStyle w:val="TOC1"/>
        <w:rPr>
          <w:rFonts w:asciiTheme="minorHAnsi" w:eastAsiaTheme="minorEastAsia" w:hAnsiTheme="minorHAnsi" w:cstheme="minorBidi"/>
        </w:rPr>
      </w:pPr>
      <w:hyperlink w:anchor="_Toc377026325" w:history="1">
        <w:r w:rsidR="00140276" w:rsidRPr="00B73C18">
          <w:rPr>
            <w:rStyle w:val="Hyperlink"/>
          </w:rPr>
          <w:t>PART B REGIONAL OVERVIEW</w:t>
        </w:r>
        <w:r w:rsidR="00140276">
          <w:rPr>
            <w:webHidden/>
          </w:rPr>
          <w:tab/>
        </w:r>
        <w:r>
          <w:rPr>
            <w:webHidden/>
          </w:rPr>
          <w:fldChar w:fldCharType="begin"/>
        </w:r>
        <w:r w:rsidR="00140276">
          <w:rPr>
            <w:webHidden/>
          </w:rPr>
          <w:instrText xml:space="preserve"> PAGEREF _Toc377026325 \h </w:instrText>
        </w:r>
        <w:r>
          <w:rPr>
            <w:webHidden/>
          </w:rPr>
        </w:r>
        <w:r>
          <w:rPr>
            <w:webHidden/>
          </w:rPr>
          <w:fldChar w:fldCharType="separate"/>
        </w:r>
        <w:r w:rsidR="00285800">
          <w:rPr>
            <w:webHidden/>
          </w:rPr>
          <w:t>5</w:t>
        </w:r>
        <w:r>
          <w:rPr>
            <w:webHidden/>
          </w:rPr>
          <w:fldChar w:fldCharType="end"/>
        </w:r>
      </w:hyperlink>
    </w:p>
    <w:p w:rsidR="00140276" w:rsidRDefault="00F06CD8">
      <w:pPr>
        <w:pStyle w:val="TOC1"/>
        <w:rPr>
          <w:rFonts w:asciiTheme="minorHAnsi" w:eastAsiaTheme="minorEastAsia" w:hAnsiTheme="minorHAnsi" w:cstheme="minorBidi"/>
        </w:rPr>
      </w:pPr>
      <w:hyperlink w:anchor="_Toc377026326" w:history="1">
        <w:r w:rsidR="00140276" w:rsidRPr="00B73C18">
          <w:rPr>
            <w:rStyle w:val="Hyperlink"/>
          </w:rPr>
          <w:t>6.</w:t>
        </w:r>
        <w:r w:rsidR="00140276">
          <w:rPr>
            <w:rFonts w:asciiTheme="minorHAnsi" w:eastAsiaTheme="minorEastAsia" w:hAnsiTheme="minorHAnsi" w:cstheme="minorBidi"/>
          </w:rPr>
          <w:tab/>
        </w:r>
        <w:r w:rsidR="00140276" w:rsidRPr="00B73C18">
          <w:rPr>
            <w:rStyle w:val="Hyperlink"/>
          </w:rPr>
          <w:t>Snapshot of the region</w:t>
        </w:r>
        <w:r w:rsidR="00140276">
          <w:rPr>
            <w:webHidden/>
          </w:rPr>
          <w:tab/>
        </w:r>
        <w:r>
          <w:rPr>
            <w:webHidden/>
          </w:rPr>
          <w:fldChar w:fldCharType="begin"/>
        </w:r>
        <w:r w:rsidR="00140276">
          <w:rPr>
            <w:webHidden/>
          </w:rPr>
          <w:instrText xml:space="preserve"> PAGEREF _Toc377026326 \h </w:instrText>
        </w:r>
        <w:r>
          <w:rPr>
            <w:webHidden/>
          </w:rPr>
        </w:r>
        <w:r>
          <w:rPr>
            <w:webHidden/>
          </w:rPr>
          <w:fldChar w:fldCharType="separate"/>
        </w:r>
        <w:r w:rsidR="00285800">
          <w:rPr>
            <w:webHidden/>
          </w:rPr>
          <w:t>5</w:t>
        </w:r>
        <w:r>
          <w:rPr>
            <w:webHidden/>
          </w:rPr>
          <w:fldChar w:fldCharType="end"/>
        </w:r>
      </w:hyperlink>
    </w:p>
    <w:p w:rsidR="00140276" w:rsidRDefault="00F06CD8">
      <w:pPr>
        <w:pStyle w:val="TOC1"/>
        <w:rPr>
          <w:rFonts w:asciiTheme="minorHAnsi" w:eastAsiaTheme="minorEastAsia" w:hAnsiTheme="minorHAnsi" w:cstheme="minorBidi"/>
        </w:rPr>
      </w:pPr>
      <w:hyperlink w:anchor="_Toc377026328" w:history="1">
        <w:r w:rsidR="00140276" w:rsidRPr="00B73C18">
          <w:rPr>
            <w:rStyle w:val="Hyperlink"/>
          </w:rPr>
          <w:t>7.</w:t>
        </w:r>
        <w:r w:rsidR="00140276">
          <w:rPr>
            <w:rFonts w:asciiTheme="minorHAnsi" w:eastAsiaTheme="minorEastAsia" w:hAnsiTheme="minorHAnsi" w:cstheme="minorBidi"/>
          </w:rPr>
          <w:tab/>
        </w:r>
        <w:r w:rsidR="00140276" w:rsidRPr="00B73C18">
          <w:rPr>
            <w:rStyle w:val="Hyperlink"/>
          </w:rPr>
          <w:t>Drivers of change</w:t>
        </w:r>
        <w:r w:rsidR="00140276">
          <w:rPr>
            <w:webHidden/>
          </w:rPr>
          <w:tab/>
        </w:r>
        <w:r>
          <w:rPr>
            <w:webHidden/>
          </w:rPr>
          <w:fldChar w:fldCharType="begin"/>
        </w:r>
        <w:r w:rsidR="00140276">
          <w:rPr>
            <w:webHidden/>
          </w:rPr>
          <w:instrText xml:space="preserve"> PAGEREF _Toc377026328 \h </w:instrText>
        </w:r>
        <w:r>
          <w:rPr>
            <w:webHidden/>
          </w:rPr>
        </w:r>
        <w:r>
          <w:rPr>
            <w:webHidden/>
          </w:rPr>
          <w:fldChar w:fldCharType="separate"/>
        </w:r>
        <w:r w:rsidR="00285800">
          <w:rPr>
            <w:webHidden/>
          </w:rPr>
          <w:t>12</w:t>
        </w:r>
        <w:r>
          <w:rPr>
            <w:webHidden/>
          </w:rPr>
          <w:fldChar w:fldCharType="end"/>
        </w:r>
      </w:hyperlink>
    </w:p>
    <w:p w:rsidR="00140276" w:rsidRDefault="00F06CD8">
      <w:pPr>
        <w:pStyle w:val="TOC1"/>
        <w:rPr>
          <w:rFonts w:asciiTheme="minorHAnsi" w:eastAsiaTheme="minorEastAsia" w:hAnsiTheme="minorHAnsi" w:cstheme="minorBidi"/>
        </w:rPr>
      </w:pPr>
      <w:hyperlink w:anchor="_Toc377026329" w:history="1">
        <w:r w:rsidR="00140276" w:rsidRPr="00B73C18">
          <w:rPr>
            <w:rStyle w:val="Hyperlink"/>
          </w:rPr>
          <w:t>8.</w:t>
        </w:r>
        <w:r w:rsidR="00140276">
          <w:rPr>
            <w:rFonts w:asciiTheme="minorHAnsi" w:eastAsiaTheme="minorEastAsia" w:hAnsiTheme="minorHAnsi" w:cstheme="minorBidi"/>
          </w:rPr>
          <w:tab/>
        </w:r>
        <w:r w:rsidR="00140276" w:rsidRPr="00B73C18">
          <w:rPr>
            <w:rStyle w:val="Hyperlink"/>
          </w:rPr>
          <w:t>Challenges for growth</w:t>
        </w:r>
        <w:r w:rsidR="00140276">
          <w:rPr>
            <w:webHidden/>
          </w:rPr>
          <w:tab/>
        </w:r>
        <w:r>
          <w:rPr>
            <w:webHidden/>
          </w:rPr>
          <w:fldChar w:fldCharType="begin"/>
        </w:r>
        <w:r w:rsidR="00140276">
          <w:rPr>
            <w:webHidden/>
          </w:rPr>
          <w:instrText xml:space="preserve"> PAGEREF _Toc377026329 \h </w:instrText>
        </w:r>
        <w:r>
          <w:rPr>
            <w:webHidden/>
          </w:rPr>
        </w:r>
        <w:r>
          <w:rPr>
            <w:webHidden/>
          </w:rPr>
          <w:fldChar w:fldCharType="separate"/>
        </w:r>
        <w:r w:rsidR="00285800">
          <w:rPr>
            <w:webHidden/>
          </w:rPr>
          <w:t>13</w:t>
        </w:r>
        <w:r>
          <w:rPr>
            <w:webHidden/>
          </w:rPr>
          <w:fldChar w:fldCharType="end"/>
        </w:r>
      </w:hyperlink>
    </w:p>
    <w:p w:rsidR="00140276" w:rsidRDefault="00F06CD8">
      <w:pPr>
        <w:pStyle w:val="TOC1"/>
        <w:rPr>
          <w:rFonts w:asciiTheme="minorHAnsi" w:eastAsiaTheme="minorEastAsia" w:hAnsiTheme="minorHAnsi" w:cstheme="minorBidi"/>
        </w:rPr>
      </w:pPr>
      <w:hyperlink w:anchor="_Toc377026330" w:history="1">
        <w:r w:rsidR="00140276" w:rsidRPr="00B73C18">
          <w:rPr>
            <w:rStyle w:val="Hyperlink"/>
          </w:rPr>
          <w:t>9.</w:t>
        </w:r>
        <w:r w:rsidR="00140276">
          <w:rPr>
            <w:rFonts w:asciiTheme="minorHAnsi" w:eastAsiaTheme="minorEastAsia" w:hAnsiTheme="minorHAnsi" w:cstheme="minorBidi"/>
          </w:rPr>
          <w:tab/>
        </w:r>
        <w:r w:rsidR="00140276" w:rsidRPr="00B73C18">
          <w:rPr>
            <w:rStyle w:val="Hyperlink"/>
          </w:rPr>
          <w:t>Vision for the region</w:t>
        </w:r>
        <w:r w:rsidR="00140276">
          <w:rPr>
            <w:webHidden/>
          </w:rPr>
          <w:tab/>
        </w:r>
        <w:r>
          <w:rPr>
            <w:webHidden/>
          </w:rPr>
          <w:fldChar w:fldCharType="begin"/>
        </w:r>
        <w:r w:rsidR="00140276">
          <w:rPr>
            <w:webHidden/>
          </w:rPr>
          <w:instrText xml:space="preserve"> PAGEREF _Toc377026330 \h </w:instrText>
        </w:r>
        <w:r>
          <w:rPr>
            <w:webHidden/>
          </w:rPr>
        </w:r>
        <w:r>
          <w:rPr>
            <w:webHidden/>
          </w:rPr>
          <w:fldChar w:fldCharType="separate"/>
        </w:r>
        <w:r w:rsidR="00285800">
          <w:rPr>
            <w:webHidden/>
          </w:rPr>
          <w:t>13</w:t>
        </w:r>
        <w:r>
          <w:rPr>
            <w:webHidden/>
          </w:rPr>
          <w:fldChar w:fldCharType="end"/>
        </w:r>
      </w:hyperlink>
    </w:p>
    <w:p w:rsidR="00140276" w:rsidRDefault="00F06CD8">
      <w:pPr>
        <w:pStyle w:val="TOC1"/>
        <w:rPr>
          <w:rFonts w:asciiTheme="minorHAnsi" w:eastAsiaTheme="minorEastAsia" w:hAnsiTheme="minorHAnsi" w:cstheme="minorBidi"/>
        </w:rPr>
      </w:pPr>
      <w:hyperlink w:anchor="_Toc377026331" w:history="1">
        <w:r w:rsidR="00140276" w:rsidRPr="00B73C18">
          <w:rPr>
            <w:rStyle w:val="Hyperlink"/>
          </w:rPr>
          <w:t>10.</w:t>
        </w:r>
        <w:r w:rsidR="00140276">
          <w:rPr>
            <w:rFonts w:asciiTheme="minorHAnsi" w:eastAsiaTheme="minorEastAsia" w:hAnsiTheme="minorHAnsi" w:cstheme="minorBidi"/>
          </w:rPr>
          <w:tab/>
        </w:r>
        <w:r w:rsidR="00140276" w:rsidRPr="00B73C18">
          <w:rPr>
            <w:rStyle w:val="Hyperlink"/>
          </w:rPr>
          <w:t>Principles to achieve the vision</w:t>
        </w:r>
        <w:r w:rsidR="00140276">
          <w:rPr>
            <w:webHidden/>
          </w:rPr>
          <w:tab/>
        </w:r>
        <w:r>
          <w:rPr>
            <w:webHidden/>
          </w:rPr>
          <w:fldChar w:fldCharType="begin"/>
        </w:r>
        <w:r w:rsidR="00140276">
          <w:rPr>
            <w:webHidden/>
          </w:rPr>
          <w:instrText xml:space="preserve"> PAGEREF _Toc377026331 \h </w:instrText>
        </w:r>
        <w:r>
          <w:rPr>
            <w:webHidden/>
          </w:rPr>
        </w:r>
        <w:r>
          <w:rPr>
            <w:webHidden/>
          </w:rPr>
          <w:fldChar w:fldCharType="separate"/>
        </w:r>
        <w:r w:rsidR="00285800">
          <w:rPr>
            <w:webHidden/>
          </w:rPr>
          <w:t>13</w:t>
        </w:r>
        <w:r>
          <w:rPr>
            <w:webHidden/>
          </w:rPr>
          <w:fldChar w:fldCharType="end"/>
        </w:r>
      </w:hyperlink>
    </w:p>
    <w:p w:rsidR="00140276" w:rsidRDefault="00F06CD8">
      <w:pPr>
        <w:pStyle w:val="TOC1"/>
        <w:rPr>
          <w:rFonts w:asciiTheme="minorHAnsi" w:eastAsiaTheme="minorEastAsia" w:hAnsiTheme="minorHAnsi" w:cstheme="minorBidi"/>
        </w:rPr>
      </w:pPr>
      <w:hyperlink w:anchor="_Toc377026332" w:history="1">
        <w:r w:rsidR="00140276" w:rsidRPr="00B73C18">
          <w:rPr>
            <w:rStyle w:val="Hyperlink"/>
          </w:rPr>
          <w:t xml:space="preserve">PART C </w:t>
        </w:r>
        <w:r w:rsidR="00140276">
          <w:rPr>
            <w:rFonts w:asciiTheme="minorHAnsi" w:eastAsiaTheme="minorEastAsia" w:hAnsiTheme="minorHAnsi" w:cstheme="minorBidi"/>
          </w:rPr>
          <w:tab/>
        </w:r>
        <w:r w:rsidR="00140276" w:rsidRPr="00B73C18">
          <w:rPr>
            <w:rStyle w:val="Hyperlink"/>
          </w:rPr>
          <w:t>TOWARDS THE REGIONAL GROWTH PLAN – REGIONAL LAND USE FRAMEWORK</w:t>
        </w:r>
        <w:r w:rsidR="00140276">
          <w:rPr>
            <w:webHidden/>
          </w:rPr>
          <w:tab/>
        </w:r>
        <w:r>
          <w:rPr>
            <w:webHidden/>
          </w:rPr>
          <w:fldChar w:fldCharType="begin"/>
        </w:r>
        <w:r w:rsidR="00140276">
          <w:rPr>
            <w:webHidden/>
          </w:rPr>
          <w:instrText xml:space="preserve"> PAGEREF _Toc377026332 \h </w:instrText>
        </w:r>
        <w:r>
          <w:rPr>
            <w:webHidden/>
          </w:rPr>
        </w:r>
        <w:r>
          <w:rPr>
            <w:webHidden/>
          </w:rPr>
          <w:fldChar w:fldCharType="separate"/>
        </w:r>
        <w:r w:rsidR="00285800">
          <w:rPr>
            <w:webHidden/>
          </w:rPr>
          <w:t>17</w:t>
        </w:r>
        <w:r>
          <w:rPr>
            <w:webHidden/>
          </w:rPr>
          <w:fldChar w:fldCharType="end"/>
        </w:r>
      </w:hyperlink>
    </w:p>
    <w:p w:rsidR="00140276" w:rsidRDefault="00F06CD8">
      <w:pPr>
        <w:pStyle w:val="TOC1"/>
        <w:rPr>
          <w:rFonts w:asciiTheme="minorHAnsi" w:eastAsiaTheme="minorEastAsia" w:hAnsiTheme="minorHAnsi" w:cstheme="minorBidi"/>
        </w:rPr>
      </w:pPr>
      <w:hyperlink w:anchor="_Toc377026333" w:history="1">
        <w:r w:rsidR="00140276" w:rsidRPr="00B73C18">
          <w:rPr>
            <w:rStyle w:val="Hyperlink"/>
          </w:rPr>
          <w:t>11.</w:t>
        </w:r>
        <w:r w:rsidR="00140276">
          <w:rPr>
            <w:rFonts w:asciiTheme="minorHAnsi" w:eastAsiaTheme="minorEastAsia" w:hAnsiTheme="minorHAnsi" w:cstheme="minorBidi"/>
          </w:rPr>
          <w:tab/>
        </w:r>
        <w:r w:rsidR="00140276" w:rsidRPr="00B73C18">
          <w:rPr>
            <w:rStyle w:val="Hyperlink"/>
          </w:rPr>
          <w:t>Regional economy</w:t>
        </w:r>
        <w:r w:rsidR="00140276">
          <w:rPr>
            <w:webHidden/>
          </w:rPr>
          <w:tab/>
        </w:r>
        <w:r>
          <w:rPr>
            <w:webHidden/>
          </w:rPr>
          <w:fldChar w:fldCharType="begin"/>
        </w:r>
        <w:r w:rsidR="00140276">
          <w:rPr>
            <w:webHidden/>
          </w:rPr>
          <w:instrText xml:space="preserve"> PAGEREF _Toc377026333 \h </w:instrText>
        </w:r>
        <w:r>
          <w:rPr>
            <w:webHidden/>
          </w:rPr>
        </w:r>
        <w:r>
          <w:rPr>
            <w:webHidden/>
          </w:rPr>
          <w:fldChar w:fldCharType="separate"/>
        </w:r>
        <w:r w:rsidR="00285800">
          <w:rPr>
            <w:webHidden/>
          </w:rPr>
          <w:t>17</w:t>
        </w:r>
        <w:r>
          <w:rPr>
            <w:webHidden/>
          </w:rPr>
          <w:fldChar w:fldCharType="end"/>
        </w:r>
      </w:hyperlink>
    </w:p>
    <w:p w:rsidR="00140276" w:rsidRDefault="00F06CD8" w:rsidP="000F4A3C">
      <w:pPr>
        <w:pStyle w:val="TOC2"/>
        <w:rPr>
          <w:rFonts w:eastAsiaTheme="minorEastAsia" w:cstheme="minorBidi"/>
          <w:szCs w:val="22"/>
          <w:lang w:val="en-AU"/>
        </w:rPr>
      </w:pPr>
      <w:hyperlink w:anchor="_Toc377026334" w:history="1">
        <w:r w:rsidR="00140276" w:rsidRPr="00B73C18">
          <w:rPr>
            <w:rStyle w:val="Hyperlink"/>
          </w:rPr>
          <w:t>11.1</w:t>
        </w:r>
        <w:r w:rsidR="00140276">
          <w:rPr>
            <w:rFonts w:eastAsiaTheme="minorEastAsia" w:cstheme="minorBidi"/>
            <w:szCs w:val="22"/>
            <w:lang w:val="en-AU"/>
          </w:rPr>
          <w:tab/>
        </w:r>
        <w:r w:rsidR="00140276" w:rsidRPr="00B73C18">
          <w:rPr>
            <w:rStyle w:val="Hyperlink"/>
          </w:rPr>
          <w:t>Building on economic strengths</w:t>
        </w:r>
        <w:r w:rsidR="00140276">
          <w:rPr>
            <w:webHidden/>
          </w:rPr>
          <w:tab/>
        </w:r>
        <w:r>
          <w:rPr>
            <w:webHidden/>
          </w:rPr>
          <w:fldChar w:fldCharType="begin"/>
        </w:r>
        <w:r w:rsidR="00140276">
          <w:rPr>
            <w:webHidden/>
          </w:rPr>
          <w:instrText xml:space="preserve"> PAGEREF _Toc377026334 \h </w:instrText>
        </w:r>
        <w:r>
          <w:rPr>
            <w:webHidden/>
          </w:rPr>
        </w:r>
        <w:r>
          <w:rPr>
            <w:webHidden/>
          </w:rPr>
          <w:fldChar w:fldCharType="separate"/>
        </w:r>
        <w:r w:rsidR="00285800">
          <w:rPr>
            <w:webHidden/>
          </w:rPr>
          <w:t>18</w:t>
        </w:r>
        <w:r>
          <w:rPr>
            <w:webHidden/>
          </w:rPr>
          <w:fldChar w:fldCharType="end"/>
        </w:r>
      </w:hyperlink>
    </w:p>
    <w:p w:rsidR="00140276" w:rsidRDefault="00F06CD8" w:rsidP="000F4A3C">
      <w:pPr>
        <w:pStyle w:val="TOC2"/>
        <w:rPr>
          <w:rFonts w:eastAsiaTheme="minorEastAsia" w:cstheme="minorBidi"/>
          <w:szCs w:val="22"/>
          <w:lang w:val="en-AU"/>
        </w:rPr>
      </w:pPr>
      <w:hyperlink w:anchor="_Toc377026335" w:history="1">
        <w:r w:rsidR="00140276" w:rsidRPr="00B73C18">
          <w:rPr>
            <w:rStyle w:val="Hyperlink"/>
          </w:rPr>
          <w:t>11.2</w:t>
        </w:r>
        <w:r w:rsidR="00140276">
          <w:rPr>
            <w:rFonts w:eastAsiaTheme="minorEastAsia" w:cstheme="minorBidi"/>
            <w:szCs w:val="22"/>
            <w:lang w:val="en-AU"/>
          </w:rPr>
          <w:tab/>
        </w:r>
        <w:r w:rsidR="00140276" w:rsidRPr="00B73C18">
          <w:rPr>
            <w:rStyle w:val="Hyperlink"/>
          </w:rPr>
          <w:t>Working in the Loddon Mallee South region</w:t>
        </w:r>
        <w:r w:rsidR="00140276">
          <w:rPr>
            <w:webHidden/>
          </w:rPr>
          <w:tab/>
        </w:r>
        <w:r>
          <w:rPr>
            <w:webHidden/>
          </w:rPr>
          <w:fldChar w:fldCharType="begin"/>
        </w:r>
        <w:r w:rsidR="00140276">
          <w:rPr>
            <w:webHidden/>
          </w:rPr>
          <w:instrText xml:space="preserve"> PAGEREF _Toc377026335 \h </w:instrText>
        </w:r>
        <w:r>
          <w:rPr>
            <w:webHidden/>
          </w:rPr>
        </w:r>
        <w:r>
          <w:rPr>
            <w:webHidden/>
          </w:rPr>
          <w:fldChar w:fldCharType="separate"/>
        </w:r>
        <w:r w:rsidR="00285800">
          <w:rPr>
            <w:webHidden/>
          </w:rPr>
          <w:t>19</w:t>
        </w:r>
        <w:r>
          <w:rPr>
            <w:webHidden/>
          </w:rPr>
          <w:fldChar w:fldCharType="end"/>
        </w:r>
      </w:hyperlink>
    </w:p>
    <w:p w:rsidR="00140276" w:rsidRDefault="00F06CD8" w:rsidP="000F4A3C">
      <w:pPr>
        <w:pStyle w:val="TOC2"/>
        <w:rPr>
          <w:rFonts w:eastAsiaTheme="minorEastAsia" w:cstheme="minorBidi"/>
          <w:szCs w:val="22"/>
          <w:lang w:val="en-AU"/>
        </w:rPr>
      </w:pPr>
      <w:hyperlink w:anchor="_Toc377026336" w:history="1">
        <w:r w:rsidR="00140276" w:rsidRPr="00B73C18">
          <w:rPr>
            <w:rStyle w:val="Hyperlink"/>
          </w:rPr>
          <w:t>11.3</w:t>
        </w:r>
        <w:r w:rsidR="00140276">
          <w:rPr>
            <w:rFonts w:eastAsiaTheme="minorEastAsia" w:cstheme="minorBidi"/>
            <w:szCs w:val="22"/>
            <w:lang w:val="en-AU"/>
          </w:rPr>
          <w:tab/>
        </w:r>
        <w:r w:rsidR="00140276" w:rsidRPr="00B73C18">
          <w:rPr>
            <w:rStyle w:val="Hyperlink"/>
          </w:rPr>
          <w:t>Agriculture</w:t>
        </w:r>
        <w:r w:rsidR="00140276">
          <w:rPr>
            <w:webHidden/>
          </w:rPr>
          <w:tab/>
        </w:r>
        <w:r>
          <w:rPr>
            <w:webHidden/>
          </w:rPr>
          <w:fldChar w:fldCharType="begin"/>
        </w:r>
        <w:r w:rsidR="00140276">
          <w:rPr>
            <w:webHidden/>
          </w:rPr>
          <w:instrText xml:space="preserve"> PAGEREF _Toc377026336 \h </w:instrText>
        </w:r>
        <w:r>
          <w:rPr>
            <w:webHidden/>
          </w:rPr>
        </w:r>
        <w:r>
          <w:rPr>
            <w:webHidden/>
          </w:rPr>
          <w:fldChar w:fldCharType="separate"/>
        </w:r>
        <w:r w:rsidR="00285800">
          <w:rPr>
            <w:webHidden/>
          </w:rPr>
          <w:t>21</w:t>
        </w:r>
        <w:r>
          <w:rPr>
            <w:webHidden/>
          </w:rPr>
          <w:fldChar w:fldCharType="end"/>
        </w:r>
      </w:hyperlink>
    </w:p>
    <w:p w:rsidR="00140276" w:rsidRDefault="00F06CD8">
      <w:pPr>
        <w:pStyle w:val="TOC1"/>
        <w:rPr>
          <w:rFonts w:asciiTheme="minorHAnsi" w:eastAsiaTheme="minorEastAsia" w:hAnsiTheme="minorHAnsi" w:cstheme="minorBidi"/>
        </w:rPr>
      </w:pPr>
      <w:hyperlink w:anchor="_Toc377026337" w:history="1">
        <w:r w:rsidR="00140276" w:rsidRPr="00B73C18">
          <w:rPr>
            <w:rStyle w:val="Hyperlink"/>
          </w:rPr>
          <w:t>12.</w:t>
        </w:r>
        <w:r w:rsidR="00140276">
          <w:rPr>
            <w:rFonts w:asciiTheme="minorHAnsi" w:eastAsiaTheme="minorEastAsia" w:hAnsiTheme="minorHAnsi" w:cstheme="minorBidi"/>
          </w:rPr>
          <w:tab/>
        </w:r>
        <w:r w:rsidR="00140276" w:rsidRPr="00B73C18">
          <w:rPr>
            <w:rStyle w:val="Hyperlink"/>
          </w:rPr>
          <w:t>Environment and heritage</w:t>
        </w:r>
        <w:r w:rsidR="00140276">
          <w:rPr>
            <w:webHidden/>
          </w:rPr>
          <w:tab/>
        </w:r>
        <w:r>
          <w:rPr>
            <w:webHidden/>
          </w:rPr>
          <w:fldChar w:fldCharType="begin"/>
        </w:r>
        <w:r w:rsidR="00140276">
          <w:rPr>
            <w:webHidden/>
          </w:rPr>
          <w:instrText xml:space="preserve"> PAGEREF _Toc377026337 \h </w:instrText>
        </w:r>
        <w:r>
          <w:rPr>
            <w:webHidden/>
          </w:rPr>
        </w:r>
        <w:r>
          <w:rPr>
            <w:webHidden/>
          </w:rPr>
          <w:fldChar w:fldCharType="separate"/>
        </w:r>
        <w:r w:rsidR="00285800">
          <w:rPr>
            <w:webHidden/>
          </w:rPr>
          <w:t>24</w:t>
        </w:r>
        <w:r>
          <w:rPr>
            <w:webHidden/>
          </w:rPr>
          <w:fldChar w:fldCharType="end"/>
        </w:r>
      </w:hyperlink>
    </w:p>
    <w:p w:rsidR="00140276" w:rsidRDefault="00F06CD8" w:rsidP="000F4A3C">
      <w:pPr>
        <w:pStyle w:val="TOC2"/>
        <w:rPr>
          <w:rFonts w:eastAsiaTheme="minorEastAsia" w:cstheme="minorBidi"/>
          <w:szCs w:val="22"/>
          <w:lang w:val="en-AU"/>
        </w:rPr>
      </w:pPr>
      <w:hyperlink w:anchor="_Toc377026338" w:history="1">
        <w:r w:rsidR="00140276" w:rsidRPr="00B73C18">
          <w:rPr>
            <w:rStyle w:val="Hyperlink"/>
          </w:rPr>
          <w:t>12.1</w:t>
        </w:r>
        <w:r w:rsidR="00140276">
          <w:rPr>
            <w:rFonts w:eastAsiaTheme="minorEastAsia" w:cstheme="minorBidi"/>
            <w:szCs w:val="22"/>
            <w:lang w:val="en-AU"/>
          </w:rPr>
          <w:tab/>
        </w:r>
        <w:r w:rsidR="00140276" w:rsidRPr="00B73C18">
          <w:rPr>
            <w:rStyle w:val="Hyperlink"/>
          </w:rPr>
          <w:t>Environment and heritage assets</w:t>
        </w:r>
        <w:r w:rsidR="00140276">
          <w:rPr>
            <w:webHidden/>
          </w:rPr>
          <w:tab/>
        </w:r>
        <w:r>
          <w:rPr>
            <w:webHidden/>
          </w:rPr>
          <w:fldChar w:fldCharType="begin"/>
        </w:r>
        <w:r w:rsidR="00140276">
          <w:rPr>
            <w:webHidden/>
          </w:rPr>
          <w:instrText xml:space="preserve"> PAGEREF _Toc377026338 \h </w:instrText>
        </w:r>
        <w:r>
          <w:rPr>
            <w:webHidden/>
          </w:rPr>
        </w:r>
        <w:r>
          <w:rPr>
            <w:webHidden/>
          </w:rPr>
          <w:fldChar w:fldCharType="separate"/>
        </w:r>
        <w:r w:rsidR="00285800">
          <w:rPr>
            <w:webHidden/>
          </w:rPr>
          <w:t>25</w:t>
        </w:r>
        <w:r>
          <w:rPr>
            <w:webHidden/>
          </w:rPr>
          <w:fldChar w:fldCharType="end"/>
        </w:r>
      </w:hyperlink>
    </w:p>
    <w:p w:rsidR="00140276" w:rsidRDefault="00F06CD8" w:rsidP="000F4A3C">
      <w:pPr>
        <w:pStyle w:val="TOC2"/>
        <w:rPr>
          <w:rFonts w:eastAsiaTheme="minorEastAsia" w:cstheme="minorBidi"/>
          <w:szCs w:val="22"/>
          <w:lang w:val="en-AU"/>
        </w:rPr>
      </w:pPr>
      <w:hyperlink w:anchor="_Toc377026339" w:history="1">
        <w:r w:rsidR="00140276" w:rsidRPr="00B73C18">
          <w:rPr>
            <w:rStyle w:val="Hyperlink"/>
          </w:rPr>
          <w:t>12.2</w:t>
        </w:r>
        <w:r w:rsidR="00140276">
          <w:rPr>
            <w:rFonts w:eastAsiaTheme="minorEastAsia" w:cstheme="minorBidi"/>
            <w:szCs w:val="22"/>
            <w:lang w:val="en-AU"/>
          </w:rPr>
          <w:tab/>
        </w:r>
        <w:r w:rsidR="00140276" w:rsidRPr="00B73C18">
          <w:rPr>
            <w:rStyle w:val="Hyperlink"/>
          </w:rPr>
          <w:t>Natural hazards and risks</w:t>
        </w:r>
        <w:r w:rsidR="00140276">
          <w:rPr>
            <w:webHidden/>
          </w:rPr>
          <w:tab/>
        </w:r>
        <w:r>
          <w:rPr>
            <w:webHidden/>
          </w:rPr>
          <w:fldChar w:fldCharType="begin"/>
        </w:r>
        <w:r w:rsidR="00140276">
          <w:rPr>
            <w:webHidden/>
          </w:rPr>
          <w:instrText xml:space="preserve"> PAGEREF _Toc377026339 \h </w:instrText>
        </w:r>
        <w:r>
          <w:rPr>
            <w:webHidden/>
          </w:rPr>
        </w:r>
        <w:r>
          <w:rPr>
            <w:webHidden/>
          </w:rPr>
          <w:fldChar w:fldCharType="separate"/>
        </w:r>
        <w:r w:rsidR="00285800">
          <w:rPr>
            <w:webHidden/>
          </w:rPr>
          <w:t>27</w:t>
        </w:r>
        <w:r>
          <w:rPr>
            <w:webHidden/>
          </w:rPr>
          <w:fldChar w:fldCharType="end"/>
        </w:r>
      </w:hyperlink>
    </w:p>
    <w:p w:rsidR="00140276" w:rsidRDefault="00F06CD8" w:rsidP="000F4A3C">
      <w:pPr>
        <w:pStyle w:val="TOC2"/>
        <w:rPr>
          <w:rFonts w:eastAsiaTheme="minorEastAsia" w:cstheme="minorBidi"/>
          <w:szCs w:val="22"/>
          <w:lang w:val="en-AU"/>
        </w:rPr>
      </w:pPr>
      <w:hyperlink w:anchor="_Toc377026340" w:history="1">
        <w:r w:rsidR="00140276" w:rsidRPr="00B73C18">
          <w:rPr>
            <w:rStyle w:val="Hyperlink"/>
          </w:rPr>
          <w:t>12.3</w:t>
        </w:r>
        <w:r w:rsidR="00140276">
          <w:rPr>
            <w:rFonts w:eastAsiaTheme="minorEastAsia" w:cstheme="minorBidi"/>
            <w:szCs w:val="22"/>
            <w:lang w:val="en-AU"/>
          </w:rPr>
          <w:tab/>
        </w:r>
        <w:r w:rsidR="00140276" w:rsidRPr="00B73C18">
          <w:rPr>
            <w:rStyle w:val="Hyperlink"/>
          </w:rPr>
          <w:t>Approach to our settlement planning and environmental management</w:t>
        </w:r>
        <w:r w:rsidR="00140276">
          <w:rPr>
            <w:webHidden/>
          </w:rPr>
          <w:tab/>
        </w:r>
        <w:r>
          <w:rPr>
            <w:webHidden/>
          </w:rPr>
          <w:fldChar w:fldCharType="begin"/>
        </w:r>
        <w:r w:rsidR="00140276">
          <w:rPr>
            <w:webHidden/>
          </w:rPr>
          <w:instrText xml:space="preserve"> PAGEREF _Toc377026340 \h </w:instrText>
        </w:r>
        <w:r>
          <w:rPr>
            <w:webHidden/>
          </w:rPr>
        </w:r>
        <w:r>
          <w:rPr>
            <w:webHidden/>
          </w:rPr>
          <w:fldChar w:fldCharType="separate"/>
        </w:r>
        <w:r w:rsidR="00285800">
          <w:rPr>
            <w:webHidden/>
          </w:rPr>
          <w:t>29</w:t>
        </w:r>
        <w:r>
          <w:rPr>
            <w:webHidden/>
          </w:rPr>
          <w:fldChar w:fldCharType="end"/>
        </w:r>
      </w:hyperlink>
    </w:p>
    <w:p w:rsidR="00140276" w:rsidRDefault="00F06CD8">
      <w:pPr>
        <w:pStyle w:val="TOC1"/>
        <w:rPr>
          <w:rFonts w:asciiTheme="minorHAnsi" w:eastAsiaTheme="minorEastAsia" w:hAnsiTheme="minorHAnsi" w:cstheme="minorBidi"/>
        </w:rPr>
      </w:pPr>
      <w:hyperlink w:anchor="_Toc377026341" w:history="1">
        <w:r w:rsidR="00140276" w:rsidRPr="00B73C18">
          <w:rPr>
            <w:rStyle w:val="Hyperlink"/>
          </w:rPr>
          <w:t>13.</w:t>
        </w:r>
        <w:r w:rsidR="00140276">
          <w:rPr>
            <w:rFonts w:asciiTheme="minorHAnsi" w:eastAsiaTheme="minorEastAsia" w:hAnsiTheme="minorHAnsi" w:cstheme="minorBidi"/>
          </w:rPr>
          <w:tab/>
        </w:r>
        <w:r w:rsidR="00140276" w:rsidRPr="00B73C18">
          <w:rPr>
            <w:rStyle w:val="Hyperlink"/>
          </w:rPr>
          <w:t>Living in the region</w:t>
        </w:r>
        <w:r w:rsidR="00140276">
          <w:rPr>
            <w:webHidden/>
          </w:rPr>
          <w:tab/>
        </w:r>
        <w:r>
          <w:rPr>
            <w:webHidden/>
          </w:rPr>
          <w:fldChar w:fldCharType="begin"/>
        </w:r>
        <w:r w:rsidR="00140276">
          <w:rPr>
            <w:webHidden/>
          </w:rPr>
          <w:instrText xml:space="preserve"> PAGEREF _Toc377026341 \h </w:instrText>
        </w:r>
        <w:r>
          <w:rPr>
            <w:webHidden/>
          </w:rPr>
        </w:r>
        <w:r>
          <w:rPr>
            <w:webHidden/>
          </w:rPr>
          <w:fldChar w:fldCharType="separate"/>
        </w:r>
        <w:r w:rsidR="00285800">
          <w:rPr>
            <w:webHidden/>
          </w:rPr>
          <w:t>30</w:t>
        </w:r>
        <w:r>
          <w:rPr>
            <w:webHidden/>
          </w:rPr>
          <w:fldChar w:fldCharType="end"/>
        </w:r>
      </w:hyperlink>
    </w:p>
    <w:p w:rsidR="00140276" w:rsidRDefault="00F06CD8" w:rsidP="000F4A3C">
      <w:pPr>
        <w:pStyle w:val="TOC2"/>
        <w:rPr>
          <w:rFonts w:eastAsiaTheme="minorEastAsia" w:cstheme="minorBidi"/>
          <w:szCs w:val="22"/>
          <w:lang w:val="en-AU"/>
        </w:rPr>
      </w:pPr>
      <w:hyperlink w:anchor="_Toc377026342" w:history="1">
        <w:r w:rsidR="00140276" w:rsidRPr="00B73C18">
          <w:rPr>
            <w:rStyle w:val="Hyperlink"/>
          </w:rPr>
          <w:t>13.1</w:t>
        </w:r>
        <w:r w:rsidR="00140276">
          <w:rPr>
            <w:rFonts w:eastAsiaTheme="minorEastAsia" w:cstheme="minorBidi"/>
            <w:szCs w:val="22"/>
            <w:lang w:val="en-AU"/>
          </w:rPr>
          <w:tab/>
        </w:r>
        <w:r w:rsidR="00140276" w:rsidRPr="00B73C18">
          <w:rPr>
            <w:rStyle w:val="Hyperlink"/>
          </w:rPr>
          <w:t>Loddon Mallee South urban settlement</w:t>
        </w:r>
        <w:r w:rsidR="00140276">
          <w:rPr>
            <w:webHidden/>
          </w:rPr>
          <w:tab/>
        </w:r>
        <w:r>
          <w:rPr>
            <w:webHidden/>
          </w:rPr>
          <w:fldChar w:fldCharType="begin"/>
        </w:r>
        <w:r w:rsidR="00140276">
          <w:rPr>
            <w:webHidden/>
          </w:rPr>
          <w:instrText xml:space="preserve"> PAGEREF _Toc377026342 \h </w:instrText>
        </w:r>
        <w:r>
          <w:rPr>
            <w:webHidden/>
          </w:rPr>
        </w:r>
        <w:r>
          <w:rPr>
            <w:webHidden/>
          </w:rPr>
          <w:fldChar w:fldCharType="separate"/>
        </w:r>
        <w:r w:rsidR="00285800">
          <w:rPr>
            <w:webHidden/>
          </w:rPr>
          <w:t>31</w:t>
        </w:r>
        <w:r>
          <w:rPr>
            <w:webHidden/>
          </w:rPr>
          <w:fldChar w:fldCharType="end"/>
        </w:r>
      </w:hyperlink>
    </w:p>
    <w:p w:rsidR="00140276" w:rsidRDefault="00F06CD8" w:rsidP="000F4A3C">
      <w:pPr>
        <w:pStyle w:val="TOC2"/>
        <w:rPr>
          <w:rFonts w:eastAsiaTheme="minorEastAsia" w:cstheme="minorBidi"/>
          <w:szCs w:val="22"/>
          <w:lang w:val="en-AU"/>
        </w:rPr>
      </w:pPr>
      <w:hyperlink w:anchor="_Toc377026343" w:history="1">
        <w:r w:rsidR="00140276" w:rsidRPr="00B73C18">
          <w:rPr>
            <w:rStyle w:val="Hyperlink"/>
          </w:rPr>
          <w:t>13.2</w:t>
        </w:r>
        <w:r w:rsidR="00140276">
          <w:rPr>
            <w:rFonts w:eastAsiaTheme="minorEastAsia" w:cstheme="minorBidi"/>
            <w:szCs w:val="22"/>
            <w:lang w:val="en-AU"/>
          </w:rPr>
          <w:tab/>
        </w:r>
        <w:r w:rsidR="00140276" w:rsidRPr="00B73C18">
          <w:rPr>
            <w:rStyle w:val="Hyperlink"/>
          </w:rPr>
          <w:t>Bendigo – the regional city</w:t>
        </w:r>
        <w:r w:rsidR="00140276">
          <w:rPr>
            <w:webHidden/>
          </w:rPr>
          <w:tab/>
        </w:r>
        <w:r>
          <w:rPr>
            <w:webHidden/>
          </w:rPr>
          <w:fldChar w:fldCharType="begin"/>
        </w:r>
        <w:r w:rsidR="00140276">
          <w:rPr>
            <w:webHidden/>
          </w:rPr>
          <w:instrText xml:space="preserve"> PAGEREF _Toc377026343 \h </w:instrText>
        </w:r>
        <w:r>
          <w:rPr>
            <w:webHidden/>
          </w:rPr>
        </w:r>
        <w:r>
          <w:rPr>
            <w:webHidden/>
          </w:rPr>
          <w:fldChar w:fldCharType="separate"/>
        </w:r>
        <w:r w:rsidR="00285800">
          <w:rPr>
            <w:webHidden/>
          </w:rPr>
          <w:t>32</w:t>
        </w:r>
        <w:r>
          <w:rPr>
            <w:webHidden/>
          </w:rPr>
          <w:fldChar w:fldCharType="end"/>
        </w:r>
      </w:hyperlink>
    </w:p>
    <w:p w:rsidR="00140276" w:rsidRDefault="00F06CD8" w:rsidP="000F4A3C">
      <w:pPr>
        <w:pStyle w:val="TOC2"/>
        <w:rPr>
          <w:rFonts w:eastAsiaTheme="minorEastAsia" w:cstheme="minorBidi"/>
          <w:szCs w:val="22"/>
          <w:lang w:val="en-AU"/>
        </w:rPr>
      </w:pPr>
      <w:hyperlink w:anchor="_Toc377026344" w:history="1">
        <w:r w:rsidR="00140276" w:rsidRPr="00B73C18">
          <w:rPr>
            <w:rStyle w:val="Hyperlink"/>
          </w:rPr>
          <w:t>13.3</w:t>
        </w:r>
        <w:r w:rsidR="00140276">
          <w:rPr>
            <w:rFonts w:eastAsiaTheme="minorEastAsia" w:cstheme="minorBidi"/>
            <w:szCs w:val="22"/>
            <w:lang w:val="en-AU"/>
          </w:rPr>
          <w:tab/>
        </w:r>
        <w:r w:rsidR="00140276" w:rsidRPr="00B73C18">
          <w:rPr>
            <w:rStyle w:val="Hyperlink"/>
          </w:rPr>
          <w:t>Growth of regional centres and towns</w:t>
        </w:r>
        <w:r w:rsidR="00140276">
          <w:rPr>
            <w:webHidden/>
          </w:rPr>
          <w:tab/>
        </w:r>
        <w:r>
          <w:rPr>
            <w:webHidden/>
          </w:rPr>
          <w:fldChar w:fldCharType="begin"/>
        </w:r>
        <w:r w:rsidR="00140276">
          <w:rPr>
            <w:webHidden/>
          </w:rPr>
          <w:instrText xml:space="preserve"> PAGEREF _Toc377026344 \h </w:instrText>
        </w:r>
        <w:r>
          <w:rPr>
            <w:webHidden/>
          </w:rPr>
        </w:r>
        <w:r>
          <w:rPr>
            <w:webHidden/>
          </w:rPr>
          <w:fldChar w:fldCharType="separate"/>
        </w:r>
        <w:r w:rsidR="00285800">
          <w:rPr>
            <w:webHidden/>
          </w:rPr>
          <w:t>35</w:t>
        </w:r>
        <w:r>
          <w:rPr>
            <w:webHidden/>
          </w:rPr>
          <w:fldChar w:fldCharType="end"/>
        </w:r>
      </w:hyperlink>
    </w:p>
    <w:p w:rsidR="00140276" w:rsidRDefault="00F06CD8" w:rsidP="000F4A3C">
      <w:pPr>
        <w:pStyle w:val="TOC2"/>
        <w:rPr>
          <w:rFonts w:eastAsiaTheme="minorEastAsia" w:cstheme="minorBidi"/>
          <w:szCs w:val="22"/>
          <w:lang w:val="en-AU"/>
        </w:rPr>
      </w:pPr>
      <w:hyperlink w:anchor="_Toc377026345" w:history="1">
        <w:r w:rsidR="00140276" w:rsidRPr="00B73C18">
          <w:rPr>
            <w:rStyle w:val="Hyperlink"/>
          </w:rPr>
          <w:t>13.4</w:t>
        </w:r>
        <w:r w:rsidR="00140276">
          <w:rPr>
            <w:rFonts w:eastAsiaTheme="minorEastAsia" w:cstheme="minorBidi"/>
            <w:szCs w:val="22"/>
            <w:lang w:val="en-AU"/>
          </w:rPr>
          <w:tab/>
        </w:r>
        <w:r w:rsidR="00140276" w:rsidRPr="00B73C18">
          <w:rPr>
            <w:rStyle w:val="Hyperlink"/>
          </w:rPr>
          <w:t>Growth of Bendigo’s hinterland towns</w:t>
        </w:r>
        <w:r w:rsidR="00140276">
          <w:rPr>
            <w:webHidden/>
          </w:rPr>
          <w:tab/>
        </w:r>
        <w:r>
          <w:rPr>
            <w:webHidden/>
          </w:rPr>
          <w:fldChar w:fldCharType="begin"/>
        </w:r>
        <w:r w:rsidR="00140276">
          <w:rPr>
            <w:webHidden/>
          </w:rPr>
          <w:instrText xml:space="preserve"> PAGEREF _Toc377026345 \h </w:instrText>
        </w:r>
        <w:r>
          <w:rPr>
            <w:webHidden/>
          </w:rPr>
        </w:r>
        <w:r>
          <w:rPr>
            <w:webHidden/>
          </w:rPr>
          <w:fldChar w:fldCharType="separate"/>
        </w:r>
        <w:r w:rsidR="00285800">
          <w:rPr>
            <w:webHidden/>
          </w:rPr>
          <w:t>37</w:t>
        </w:r>
        <w:r>
          <w:rPr>
            <w:webHidden/>
          </w:rPr>
          <w:fldChar w:fldCharType="end"/>
        </w:r>
      </w:hyperlink>
    </w:p>
    <w:p w:rsidR="00140276" w:rsidRDefault="00F06CD8" w:rsidP="000F4A3C">
      <w:pPr>
        <w:pStyle w:val="TOC2"/>
        <w:rPr>
          <w:rFonts w:eastAsiaTheme="minorEastAsia" w:cstheme="minorBidi"/>
          <w:szCs w:val="22"/>
          <w:lang w:val="en-AU"/>
        </w:rPr>
      </w:pPr>
      <w:hyperlink w:anchor="_Toc377026346" w:history="1">
        <w:r w:rsidR="00140276" w:rsidRPr="00B73C18">
          <w:rPr>
            <w:rStyle w:val="Hyperlink"/>
          </w:rPr>
          <w:t>13.5</w:t>
        </w:r>
        <w:r w:rsidR="00140276">
          <w:rPr>
            <w:rFonts w:eastAsiaTheme="minorEastAsia" w:cstheme="minorBidi"/>
            <w:szCs w:val="22"/>
            <w:lang w:val="en-AU"/>
          </w:rPr>
          <w:tab/>
        </w:r>
        <w:r w:rsidR="00140276" w:rsidRPr="00B73C18">
          <w:rPr>
            <w:rStyle w:val="Hyperlink"/>
          </w:rPr>
          <w:t>Social inclusion</w:t>
        </w:r>
        <w:r w:rsidR="00140276">
          <w:rPr>
            <w:webHidden/>
          </w:rPr>
          <w:tab/>
        </w:r>
        <w:r>
          <w:rPr>
            <w:webHidden/>
          </w:rPr>
          <w:fldChar w:fldCharType="begin"/>
        </w:r>
        <w:r w:rsidR="00140276">
          <w:rPr>
            <w:webHidden/>
          </w:rPr>
          <w:instrText xml:space="preserve"> PAGEREF _Toc377026346 \h </w:instrText>
        </w:r>
        <w:r>
          <w:rPr>
            <w:webHidden/>
          </w:rPr>
        </w:r>
        <w:r>
          <w:rPr>
            <w:webHidden/>
          </w:rPr>
          <w:fldChar w:fldCharType="separate"/>
        </w:r>
        <w:r w:rsidR="00285800">
          <w:rPr>
            <w:webHidden/>
          </w:rPr>
          <w:t>39</w:t>
        </w:r>
        <w:r>
          <w:rPr>
            <w:webHidden/>
          </w:rPr>
          <w:fldChar w:fldCharType="end"/>
        </w:r>
      </w:hyperlink>
    </w:p>
    <w:p w:rsidR="00140276" w:rsidRDefault="00F06CD8">
      <w:pPr>
        <w:pStyle w:val="TOC1"/>
        <w:rPr>
          <w:rFonts w:asciiTheme="minorHAnsi" w:eastAsiaTheme="minorEastAsia" w:hAnsiTheme="minorHAnsi" w:cstheme="minorBidi"/>
        </w:rPr>
      </w:pPr>
      <w:hyperlink w:anchor="_Toc377026347" w:history="1">
        <w:r w:rsidR="00140276" w:rsidRPr="00B73C18">
          <w:rPr>
            <w:rStyle w:val="Hyperlink"/>
          </w:rPr>
          <w:t>14.</w:t>
        </w:r>
        <w:r w:rsidR="00140276">
          <w:rPr>
            <w:rFonts w:asciiTheme="minorHAnsi" w:eastAsiaTheme="minorEastAsia" w:hAnsiTheme="minorHAnsi" w:cstheme="minorBidi"/>
          </w:rPr>
          <w:tab/>
        </w:r>
        <w:r w:rsidR="00140276" w:rsidRPr="00B73C18">
          <w:rPr>
            <w:rStyle w:val="Hyperlink"/>
          </w:rPr>
          <w:t>Regional infrastructure</w:t>
        </w:r>
        <w:r w:rsidR="00140276">
          <w:rPr>
            <w:webHidden/>
          </w:rPr>
          <w:tab/>
        </w:r>
        <w:r>
          <w:rPr>
            <w:webHidden/>
          </w:rPr>
          <w:fldChar w:fldCharType="begin"/>
        </w:r>
        <w:r w:rsidR="00140276">
          <w:rPr>
            <w:webHidden/>
          </w:rPr>
          <w:instrText xml:space="preserve"> PAGEREF _Toc377026347 \h </w:instrText>
        </w:r>
        <w:r>
          <w:rPr>
            <w:webHidden/>
          </w:rPr>
        </w:r>
        <w:r>
          <w:rPr>
            <w:webHidden/>
          </w:rPr>
          <w:fldChar w:fldCharType="separate"/>
        </w:r>
        <w:r w:rsidR="00285800">
          <w:rPr>
            <w:webHidden/>
          </w:rPr>
          <w:t>40</w:t>
        </w:r>
        <w:r>
          <w:rPr>
            <w:webHidden/>
          </w:rPr>
          <w:fldChar w:fldCharType="end"/>
        </w:r>
      </w:hyperlink>
    </w:p>
    <w:p w:rsidR="00140276" w:rsidRDefault="00F06CD8" w:rsidP="000F4A3C">
      <w:pPr>
        <w:pStyle w:val="TOC2"/>
        <w:rPr>
          <w:rFonts w:eastAsiaTheme="minorEastAsia" w:cstheme="minorBidi"/>
          <w:szCs w:val="22"/>
          <w:lang w:val="en-AU"/>
        </w:rPr>
      </w:pPr>
      <w:hyperlink w:anchor="_Toc377026348" w:history="1">
        <w:r w:rsidR="00140276" w:rsidRPr="00B73C18">
          <w:rPr>
            <w:rStyle w:val="Hyperlink"/>
          </w:rPr>
          <w:t>14.1</w:t>
        </w:r>
        <w:r w:rsidR="00140276">
          <w:rPr>
            <w:rFonts w:eastAsiaTheme="minorEastAsia" w:cstheme="minorBidi"/>
            <w:szCs w:val="22"/>
            <w:lang w:val="en-AU"/>
          </w:rPr>
          <w:tab/>
        </w:r>
        <w:r w:rsidR="00140276" w:rsidRPr="00B73C18">
          <w:rPr>
            <w:rStyle w:val="Hyperlink"/>
          </w:rPr>
          <w:t>Water, energy and utilities</w:t>
        </w:r>
        <w:r w:rsidR="00140276">
          <w:rPr>
            <w:webHidden/>
          </w:rPr>
          <w:tab/>
        </w:r>
        <w:r>
          <w:rPr>
            <w:webHidden/>
          </w:rPr>
          <w:fldChar w:fldCharType="begin"/>
        </w:r>
        <w:r w:rsidR="00140276">
          <w:rPr>
            <w:webHidden/>
          </w:rPr>
          <w:instrText xml:space="preserve"> PAGEREF _Toc377026348 \h </w:instrText>
        </w:r>
        <w:r>
          <w:rPr>
            <w:webHidden/>
          </w:rPr>
        </w:r>
        <w:r>
          <w:rPr>
            <w:webHidden/>
          </w:rPr>
          <w:fldChar w:fldCharType="separate"/>
        </w:r>
        <w:r w:rsidR="00285800">
          <w:rPr>
            <w:webHidden/>
          </w:rPr>
          <w:t>41</w:t>
        </w:r>
        <w:r>
          <w:rPr>
            <w:webHidden/>
          </w:rPr>
          <w:fldChar w:fldCharType="end"/>
        </w:r>
      </w:hyperlink>
    </w:p>
    <w:p w:rsidR="00140276" w:rsidRDefault="00F06CD8" w:rsidP="000F4A3C">
      <w:pPr>
        <w:pStyle w:val="TOC2"/>
        <w:rPr>
          <w:rFonts w:eastAsiaTheme="minorEastAsia" w:cstheme="minorBidi"/>
          <w:szCs w:val="22"/>
          <w:lang w:val="en-AU"/>
        </w:rPr>
      </w:pPr>
      <w:hyperlink w:anchor="_Toc377026349" w:history="1">
        <w:r w:rsidR="00140276" w:rsidRPr="00B73C18">
          <w:rPr>
            <w:rStyle w:val="Hyperlink"/>
          </w:rPr>
          <w:t>14.2</w:t>
        </w:r>
        <w:r w:rsidR="00140276">
          <w:rPr>
            <w:rFonts w:eastAsiaTheme="minorEastAsia" w:cstheme="minorBidi"/>
            <w:szCs w:val="22"/>
            <w:lang w:val="en-AU"/>
          </w:rPr>
          <w:tab/>
        </w:r>
        <w:r w:rsidR="00140276" w:rsidRPr="00B73C18">
          <w:rPr>
            <w:rStyle w:val="Hyperlink"/>
          </w:rPr>
          <w:t>Transport networks</w:t>
        </w:r>
        <w:r w:rsidR="00140276">
          <w:rPr>
            <w:webHidden/>
          </w:rPr>
          <w:tab/>
        </w:r>
        <w:r>
          <w:rPr>
            <w:webHidden/>
          </w:rPr>
          <w:fldChar w:fldCharType="begin"/>
        </w:r>
        <w:r w:rsidR="00140276">
          <w:rPr>
            <w:webHidden/>
          </w:rPr>
          <w:instrText xml:space="preserve"> PAGEREF _Toc377026349 \h </w:instrText>
        </w:r>
        <w:r>
          <w:rPr>
            <w:webHidden/>
          </w:rPr>
        </w:r>
        <w:r>
          <w:rPr>
            <w:webHidden/>
          </w:rPr>
          <w:fldChar w:fldCharType="separate"/>
        </w:r>
        <w:r w:rsidR="00285800">
          <w:rPr>
            <w:webHidden/>
          </w:rPr>
          <w:t>44</w:t>
        </w:r>
        <w:r>
          <w:rPr>
            <w:webHidden/>
          </w:rPr>
          <w:fldChar w:fldCharType="end"/>
        </w:r>
      </w:hyperlink>
    </w:p>
    <w:p w:rsidR="00140276" w:rsidRDefault="00F06CD8">
      <w:pPr>
        <w:pStyle w:val="TOC1"/>
        <w:rPr>
          <w:rFonts w:asciiTheme="minorHAnsi" w:eastAsiaTheme="minorEastAsia" w:hAnsiTheme="minorHAnsi" w:cstheme="minorBidi"/>
        </w:rPr>
      </w:pPr>
      <w:hyperlink w:anchor="_Toc377026350" w:history="1">
        <w:r w:rsidR="00140276" w:rsidRPr="00B73C18">
          <w:rPr>
            <w:rStyle w:val="Hyperlink"/>
          </w:rPr>
          <w:t xml:space="preserve">PART D </w:t>
        </w:r>
        <w:r w:rsidR="00140276">
          <w:rPr>
            <w:rFonts w:asciiTheme="minorHAnsi" w:eastAsiaTheme="minorEastAsia" w:hAnsiTheme="minorHAnsi" w:cstheme="minorBidi"/>
          </w:rPr>
          <w:tab/>
        </w:r>
        <w:r w:rsidR="00140276" w:rsidRPr="00B73C18">
          <w:rPr>
            <w:rStyle w:val="Hyperlink"/>
          </w:rPr>
          <w:t>REGIONAL GROWTH PLAN</w:t>
        </w:r>
        <w:r w:rsidR="00140276">
          <w:rPr>
            <w:webHidden/>
          </w:rPr>
          <w:tab/>
        </w:r>
        <w:r>
          <w:rPr>
            <w:webHidden/>
          </w:rPr>
          <w:fldChar w:fldCharType="begin"/>
        </w:r>
        <w:r w:rsidR="00140276">
          <w:rPr>
            <w:webHidden/>
          </w:rPr>
          <w:instrText xml:space="preserve"> PAGEREF _Toc377026350 \h </w:instrText>
        </w:r>
        <w:r>
          <w:rPr>
            <w:webHidden/>
          </w:rPr>
        </w:r>
        <w:r>
          <w:rPr>
            <w:webHidden/>
          </w:rPr>
          <w:fldChar w:fldCharType="separate"/>
        </w:r>
        <w:r w:rsidR="00285800">
          <w:rPr>
            <w:webHidden/>
          </w:rPr>
          <w:t>49</w:t>
        </w:r>
        <w:r>
          <w:rPr>
            <w:webHidden/>
          </w:rPr>
          <w:fldChar w:fldCharType="end"/>
        </w:r>
      </w:hyperlink>
    </w:p>
    <w:p w:rsidR="00140276" w:rsidRDefault="00F06CD8">
      <w:pPr>
        <w:pStyle w:val="TOC1"/>
        <w:rPr>
          <w:rFonts w:asciiTheme="minorHAnsi" w:eastAsiaTheme="minorEastAsia" w:hAnsiTheme="minorHAnsi" w:cstheme="minorBidi"/>
        </w:rPr>
      </w:pPr>
      <w:hyperlink w:anchor="_Toc377026351" w:history="1">
        <w:r w:rsidR="00140276" w:rsidRPr="00B73C18">
          <w:rPr>
            <w:rStyle w:val="Hyperlink"/>
          </w:rPr>
          <w:t>15.</w:t>
        </w:r>
        <w:r w:rsidR="00140276">
          <w:rPr>
            <w:rFonts w:asciiTheme="minorHAnsi" w:eastAsiaTheme="minorEastAsia" w:hAnsiTheme="minorHAnsi" w:cstheme="minorBidi"/>
          </w:rPr>
          <w:tab/>
        </w:r>
        <w:r w:rsidR="00140276" w:rsidRPr="00B73C18">
          <w:rPr>
            <w:rStyle w:val="Hyperlink"/>
          </w:rPr>
          <w:t>Future directions for regional growth</w:t>
        </w:r>
        <w:r w:rsidR="00140276">
          <w:rPr>
            <w:webHidden/>
          </w:rPr>
          <w:tab/>
        </w:r>
        <w:r>
          <w:rPr>
            <w:webHidden/>
          </w:rPr>
          <w:fldChar w:fldCharType="begin"/>
        </w:r>
        <w:r w:rsidR="00140276">
          <w:rPr>
            <w:webHidden/>
          </w:rPr>
          <w:instrText xml:space="preserve"> PAGEREF _Toc377026351 \h </w:instrText>
        </w:r>
        <w:r>
          <w:rPr>
            <w:webHidden/>
          </w:rPr>
        </w:r>
        <w:r>
          <w:rPr>
            <w:webHidden/>
          </w:rPr>
          <w:fldChar w:fldCharType="separate"/>
        </w:r>
        <w:r w:rsidR="00285800">
          <w:rPr>
            <w:webHidden/>
          </w:rPr>
          <w:t>49</w:t>
        </w:r>
        <w:r>
          <w:rPr>
            <w:webHidden/>
          </w:rPr>
          <w:fldChar w:fldCharType="end"/>
        </w:r>
      </w:hyperlink>
    </w:p>
    <w:p w:rsidR="00140276" w:rsidRDefault="00F06CD8">
      <w:pPr>
        <w:pStyle w:val="TOC1"/>
        <w:rPr>
          <w:rFonts w:asciiTheme="minorHAnsi" w:eastAsiaTheme="minorEastAsia" w:hAnsiTheme="minorHAnsi" w:cstheme="minorBidi"/>
        </w:rPr>
      </w:pPr>
      <w:hyperlink w:anchor="_Toc377026352" w:history="1">
        <w:r w:rsidR="00140276" w:rsidRPr="00B73C18">
          <w:rPr>
            <w:rStyle w:val="Hyperlink"/>
          </w:rPr>
          <w:t>PART E</w:t>
        </w:r>
        <w:r w:rsidR="00140276">
          <w:rPr>
            <w:rFonts w:asciiTheme="minorHAnsi" w:eastAsiaTheme="minorEastAsia" w:hAnsiTheme="minorHAnsi" w:cstheme="minorBidi"/>
          </w:rPr>
          <w:tab/>
        </w:r>
        <w:r w:rsidR="00140276" w:rsidRPr="00B73C18">
          <w:rPr>
            <w:rStyle w:val="Hyperlink"/>
          </w:rPr>
          <w:t>DELIVERING REGIONAL GROWTH</w:t>
        </w:r>
        <w:r w:rsidR="00140276">
          <w:rPr>
            <w:webHidden/>
          </w:rPr>
          <w:tab/>
        </w:r>
        <w:r>
          <w:rPr>
            <w:webHidden/>
          </w:rPr>
          <w:fldChar w:fldCharType="begin"/>
        </w:r>
        <w:r w:rsidR="00140276">
          <w:rPr>
            <w:webHidden/>
          </w:rPr>
          <w:instrText xml:space="preserve"> PAGEREF _Toc377026352 \h </w:instrText>
        </w:r>
        <w:r>
          <w:rPr>
            <w:webHidden/>
          </w:rPr>
        </w:r>
        <w:r>
          <w:rPr>
            <w:webHidden/>
          </w:rPr>
          <w:fldChar w:fldCharType="separate"/>
        </w:r>
        <w:r w:rsidR="00285800">
          <w:rPr>
            <w:webHidden/>
          </w:rPr>
          <w:t>55</w:t>
        </w:r>
        <w:r>
          <w:rPr>
            <w:webHidden/>
          </w:rPr>
          <w:fldChar w:fldCharType="end"/>
        </w:r>
      </w:hyperlink>
    </w:p>
    <w:p w:rsidR="00140276" w:rsidRDefault="00F06CD8">
      <w:pPr>
        <w:pStyle w:val="TOC1"/>
        <w:rPr>
          <w:rFonts w:asciiTheme="minorHAnsi" w:eastAsiaTheme="minorEastAsia" w:hAnsiTheme="minorHAnsi" w:cstheme="minorBidi"/>
        </w:rPr>
      </w:pPr>
      <w:hyperlink w:anchor="_Toc377026353" w:history="1">
        <w:r w:rsidR="00140276" w:rsidRPr="00B73C18">
          <w:rPr>
            <w:rStyle w:val="Hyperlink"/>
          </w:rPr>
          <w:t>16.</w:t>
        </w:r>
        <w:r w:rsidR="00140276">
          <w:rPr>
            <w:rFonts w:asciiTheme="minorHAnsi" w:eastAsiaTheme="minorEastAsia" w:hAnsiTheme="minorHAnsi" w:cstheme="minorBidi"/>
          </w:rPr>
          <w:tab/>
        </w:r>
        <w:r w:rsidR="00140276" w:rsidRPr="00B73C18">
          <w:rPr>
            <w:rStyle w:val="Hyperlink"/>
          </w:rPr>
          <w:t>Implementation</w:t>
        </w:r>
        <w:r w:rsidR="00140276">
          <w:rPr>
            <w:webHidden/>
          </w:rPr>
          <w:tab/>
        </w:r>
        <w:r>
          <w:rPr>
            <w:webHidden/>
          </w:rPr>
          <w:fldChar w:fldCharType="begin"/>
        </w:r>
        <w:r w:rsidR="00140276">
          <w:rPr>
            <w:webHidden/>
          </w:rPr>
          <w:instrText xml:space="preserve"> PAGEREF _Toc377026353 \h </w:instrText>
        </w:r>
        <w:r>
          <w:rPr>
            <w:webHidden/>
          </w:rPr>
        </w:r>
        <w:r>
          <w:rPr>
            <w:webHidden/>
          </w:rPr>
          <w:fldChar w:fldCharType="separate"/>
        </w:r>
        <w:r w:rsidR="00285800">
          <w:rPr>
            <w:webHidden/>
          </w:rPr>
          <w:t>55</w:t>
        </w:r>
        <w:r>
          <w:rPr>
            <w:webHidden/>
          </w:rPr>
          <w:fldChar w:fldCharType="end"/>
        </w:r>
      </w:hyperlink>
    </w:p>
    <w:p w:rsidR="00140276" w:rsidRDefault="00F06CD8" w:rsidP="000F4A3C">
      <w:pPr>
        <w:pStyle w:val="TOC2"/>
        <w:rPr>
          <w:rFonts w:eastAsiaTheme="minorEastAsia" w:cstheme="minorBidi"/>
          <w:szCs w:val="22"/>
          <w:lang w:val="en-AU"/>
        </w:rPr>
      </w:pPr>
      <w:hyperlink w:anchor="_Toc377026354" w:history="1">
        <w:r w:rsidR="00140276" w:rsidRPr="00B73C18">
          <w:rPr>
            <w:rStyle w:val="Hyperlink"/>
          </w:rPr>
          <w:t>16.1</w:t>
        </w:r>
        <w:r w:rsidR="00140276">
          <w:rPr>
            <w:rFonts w:eastAsiaTheme="minorEastAsia" w:cstheme="minorBidi"/>
            <w:szCs w:val="22"/>
            <w:lang w:val="en-AU"/>
          </w:rPr>
          <w:tab/>
        </w:r>
        <w:r w:rsidR="00140276" w:rsidRPr="00B73C18">
          <w:rPr>
            <w:rStyle w:val="Hyperlink"/>
          </w:rPr>
          <w:t>Planning schemes</w:t>
        </w:r>
        <w:r w:rsidR="00140276">
          <w:rPr>
            <w:webHidden/>
          </w:rPr>
          <w:tab/>
        </w:r>
        <w:r>
          <w:rPr>
            <w:webHidden/>
          </w:rPr>
          <w:fldChar w:fldCharType="begin"/>
        </w:r>
        <w:r w:rsidR="00140276">
          <w:rPr>
            <w:webHidden/>
          </w:rPr>
          <w:instrText xml:space="preserve"> PAGEREF _Toc377026354 \h </w:instrText>
        </w:r>
        <w:r>
          <w:rPr>
            <w:webHidden/>
          </w:rPr>
        </w:r>
        <w:r>
          <w:rPr>
            <w:webHidden/>
          </w:rPr>
          <w:fldChar w:fldCharType="separate"/>
        </w:r>
        <w:r w:rsidR="00285800">
          <w:rPr>
            <w:webHidden/>
          </w:rPr>
          <w:t>55</w:t>
        </w:r>
        <w:r>
          <w:rPr>
            <w:webHidden/>
          </w:rPr>
          <w:fldChar w:fldCharType="end"/>
        </w:r>
      </w:hyperlink>
    </w:p>
    <w:p w:rsidR="00140276" w:rsidRDefault="00F06CD8" w:rsidP="000F4A3C">
      <w:pPr>
        <w:pStyle w:val="TOC2"/>
        <w:rPr>
          <w:rFonts w:eastAsiaTheme="minorEastAsia" w:cstheme="minorBidi"/>
          <w:szCs w:val="22"/>
          <w:lang w:val="en-AU"/>
        </w:rPr>
      </w:pPr>
      <w:hyperlink w:anchor="_Toc377026355" w:history="1">
        <w:r w:rsidR="00140276" w:rsidRPr="00B73C18">
          <w:rPr>
            <w:rStyle w:val="Hyperlink"/>
          </w:rPr>
          <w:t>16.2</w:t>
        </w:r>
        <w:r w:rsidR="00140276">
          <w:rPr>
            <w:rFonts w:eastAsiaTheme="minorEastAsia" w:cstheme="minorBidi"/>
            <w:szCs w:val="22"/>
            <w:lang w:val="en-AU"/>
          </w:rPr>
          <w:tab/>
        </w:r>
        <w:r w:rsidR="00140276" w:rsidRPr="00B73C18">
          <w:rPr>
            <w:rStyle w:val="Hyperlink"/>
          </w:rPr>
          <w:t>Links to Regional Strategic Plan implementation</w:t>
        </w:r>
        <w:r w:rsidR="00140276">
          <w:rPr>
            <w:webHidden/>
          </w:rPr>
          <w:tab/>
        </w:r>
        <w:r>
          <w:rPr>
            <w:webHidden/>
          </w:rPr>
          <w:fldChar w:fldCharType="begin"/>
        </w:r>
        <w:r w:rsidR="00140276">
          <w:rPr>
            <w:webHidden/>
          </w:rPr>
          <w:instrText xml:space="preserve"> PAGEREF _Toc377026355 \h </w:instrText>
        </w:r>
        <w:r>
          <w:rPr>
            <w:webHidden/>
          </w:rPr>
        </w:r>
        <w:r>
          <w:rPr>
            <w:webHidden/>
          </w:rPr>
          <w:fldChar w:fldCharType="separate"/>
        </w:r>
        <w:r w:rsidR="00285800">
          <w:rPr>
            <w:webHidden/>
          </w:rPr>
          <w:t>55</w:t>
        </w:r>
        <w:r>
          <w:rPr>
            <w:webHidden/>
          </w:rPr>
          <w:fldChar w:fldCharType="end"/>
        </w:r>
      </w:hyperlink>
    </w:p>
    <w:p w:rsidR="00140276" w:rsidRDefault="00F06CD8" w:rsidP="000F4A3C">
      <w:pPr>
        <w:pStyle w:val="TOC2"/>
        <w:rPr>
          <w:rFonts w:eastAsiaTheme="minorEastAsia" w:cstheme="minorBidi"/>
          <w:szCs w:val="22"/>
          <w:lang w:val="en-AU"/>
        </w:rPr>
      </w:pPr>
      <w:hyperlink w:anchor="_Toc377026356" w:history="1">
        <w:r w:rsidR="00140276" w:rsidRPr="00B73C18">
          <w:rPr>
            <w:rStyle w:val="Hyperlink"/>
          </w:rPr>
          <w:t>16.3</w:t>
        </w:r>
        <w:r w:rsidR="00140276">
          <w:rPr>
            <w:rFonts w:eastAsiaTheme="minorEastAsia" w:cstheme="minorBidi"/>
            <w:szCs w:val="22"/>
            <w:lang w:val="en-AU"/>
          </w:rPr>
          <w:tab/>
        </w:r>
        <w:r w:rsidR="00140276" w:rsidRPr="00B73C18">
          <w:rPr>
            <w:rStyle w:val="Hyperlink"/>
          </w:rPr>
          <w:t>A plan for implementation of actions</w:t>
        </w:r>
        <w:r w:rsidR="00140276">
          <w:rPr>
            <w:webHidden/>
          </w:rPr>
          <w:tab/>
        </w:r>
        <w:r>
          <w:rPr>
            <w:webHidden/>
          </w:rPr>
          <w:fldChar w:fldCharType="begin"/>
        </w:r>
        <w:r w:rsidR="00140276">
          <w:rPr>
            <w:webHidden/>
          </w:rPr>
          <w:instrText xml:space="preserve"> PAGEREF _Toc377026356 \h </w:instrText>
        </w:r>
        <w:r>
          <w:rPr>
            <w:webHidden/>
          </w:rPr>
        </w:r>
        <w:r>
          <w:rPr>
            <w:webHidden/>
          </w:rPr>
          <w:fldChar w:fldCharType="separate"/>
        </w:r>
        <w:r w:rsidR="00285800">
          <w:rPr>
            <w:webHidden/>
          </w:rPr>
          <w:t>56</w:t>
        </w:r>
        <w:r>
          <w:rPr>
            <w:webHidden/>
          </w:rPr>
          <w:fldChar w:fldCharType="end"/>
        </w:r>
      </w:hyperlink>
    </w:p>
    <w:p w:rsidR="00140276" w:rsidRDefault="00F06CD8" w:rsidP="000F4A3C">
      <w:pPr>
        <w:pStyle w:val="TOC2"/>
        <w:rPr>
          <w:rFonts w:eastAsiaTheme="minorEastAsia" w:cstheme="minorBidi"/>
          <w:szCs w:val="22"/>
          <w:lang w:val="en-AU"/>
        </w:rPr>
      </w:pPr>
      <w:hyperlink w:anchor="_Toc377026357" w:history="1">
        <w:r w:rsidR="00140276" w:rsidRPr="00B73C18">
          <w:rPr>
            <w:rStyle w:val="Hyperlink"/>
          </w:rPr>
          <w:t>16.4</w:t>
        </w:r>
        <w:r w:rsidR="00140276">
          <w:rPr>
            <w:rFonts w:eastAsiaTheme="minorEastAsia" w:cstheme="minorBidi"/>
            <w:szCs w:val="22"/>
            <w:lang w:val="en-AU"/>
          </w:rPr>
          <w:tab/>
        </w:r>
        <w:r w:rsidR="00140276" w:rsidRPr="00B73C18">
          <w:rPr>
            <w:rStyle w:val="Hyperlink"/>
          </w:rPr>
          <w:t>Review and performance</w:t>
        </w:r>
        <w:r w:rsidR="00140276">
          <w:rPr>
            <w:webHidden/>
          </w:rPr>
          <w:tab/>
        </w:r>
        <w:r>
          <w:rPr>
            <w:webHidden/>
          </w:rPr>
          <w:fldChar w:fldCharType="begin"/>
        </w:r>
        <w:r w:rsidR="00140276">
          <w:rPr>
            <w:webHidden/>
          </w:rPr>
          <w:instrText xml:space="preserve"> PAGEREF _Toc377026357 \h </w:instrText>
        </w:r>
        <w:r>
          <w:rPr>
            <w:webHidden/>
          </w:rPr>
        </w:r>
        <w:r>
          <w:rPr>
            <w:webHidden/>
          </w:rPr>
          <w:fldChar w:fldCharType="separate"/>
        </w:r>
        <w:r w:rsidR="00285800">
          <w:rPr>
            <w:webHidden/>
          </w:rPr>
          <w:t>59</w:t>
        </w:r>
        <w:r>
          <w:rPr>
            <w:webHidden/>
          </w:rPr>
          <w:fldChar w:fldCharType="end"/>
        </w:r>
      </w:hyperlink>
    </w:p>
    <w:p w:rsidR="00140276" w:rsidRDefault="00F06CD8" w:rsidP="000F4A3C">
      <w:pPr>
        <w:pStyle w:val="TOC2"/>
        <w:rPr>
          <w:rFonts w:eastAsiaTheme="minorEastAsia" w:cstheme="minorBidi"/>
          <w:szCs w:val="22"/>
          <w:lang w:val="en-AU"/>
        </w:rPr>
      </w:pPr>
      <w:hyperlink w:anchor="_Toc377026358" w:history="1">
        <w:r w:rsidR="00140276" w:rsidRPr="00B73C18">
          <w:rPr>
            <w:rStyle w:val="Hyperlink"/>
          </w:rPr>
          <w:t>16.5</w:t>
        </w:r>
        <w:r w:rsidR="00140276">
          <w:rPr>
            <w:rFonts w:eastAsiaTheme="minorEastAsia" w:cstheme="minorBidi"/>
            <w:szCs w:val="22"/>
            <w:lang w:val="en-AU"/>
          </w:rPr>
          <w:tab/>
        </w:r>
        <w:r w:rsidR="00140276" w:rsidRPr="00B73C18">
          <w:rPr>
            <w:rStyle w:val="Hyperlink"/>
          </w:rPr>
          <w:t>Implementation summary</w:t>
        </w:r>
        <w:r w:rsidR="00140276">
          <w:rPr>
            <w:webHidden/>
          </w:rPr>
          <w:tab/>
        </w:r>
        <w:r>
          <w:rPr>
            <w:webHidden/>
          </w:rPr>
          <w:fldChar w:fldCharType="begin"/>
        </w:r>
        <w:r w:rsidR="00140276">
          <w:rPr>
            <w:webHidden/>
          </w:rPr>
          <w:instrText xml:space="preserve"> PAGEREF _Toc377026358 \h </w:instrText>
        </w:r>
        <w:r>
          <w:rPr>
            <w:webHidden/>
          </w:rPr>
        </w:r>
        <w:r>
          <w:rPr>
            <w:webHidden/>
          </w:rPr>
          <w:fldChar w:fldCharType="separate"/>
        </w:r>
        <w:r w:rsidR="00285800">
          <w:rPr>
            <w:webHidden/>
          </w:rPr>
          <w:t>60</w:t>
        </w:r>
        <w:r>
          <w:rPr>
            <w:webHidden/>
          </w:rPr>
          <w:fldChar w:fldCharType="end"/>
        </w:r>
      </w:hyperlink>
    </w:p>
    <w:p w:rsidR="00140276" w:rsidRDefault="00F06CD8">
      <w:pPr>
        <w:pStyle w:val="TOC1"/>
        <w:rPr>
          <w:rFonts w:asciiTheme="minorHAnsi" w:eastAsiaTheme="minorEastAsia" w:hAnsiTheme="minorHAnsi" w:cstheme="minorBidi"/>
        </w:rPr>
      </w:pPr>
      <w:hyperlink w:anchor="_Toc377026359" w:history="1">
        <w:r w:rsidR="00140276" w:rsidRPr="00B73C18">
          <w:rPr>
            <w:rStyle w:val="Hyperlink"/>
          </w:rPr>
          <w:t>GLOSSARY</w:t>
        </w:r>
        <w:r w:rsidR="00140276">
          <w:rPr>
            <w:webHidden/>
          </w:rPr>
          <w:tab/>
        </w:r>
        <w:r>
          <w:rPr>
            <w:webHidden/>
          </w:rPr>
          <w:fldChar w:fldCharType="begin"/>
        </w:r>
        <w:r w:rsidR="00140276">
          <w:rPr>
            <w:webHidden/>
          </w:rPr>
          <w:instrText xml:space="preserve"> PAGEREF _Toc377026359 \h </w:instrText>
        </w:r>
        <w:r>
          <w:rPr>
            <w:webHidden/>
          </w:rPr>
        </w:r>
        <w:r>
          <w:rPr>
            <w:webHidden/>
          </w:rPr>
          <w:fldChar w:fldCharType="separate"/>
        </w:r>
        <w:r w:rsidR="00285800">
          <w:rPr>
            <w:webHidden/>
          </w:rPr>
          <w:t>62</w:t>
        </w:r>
        <w:r>
          <w:rPr>
            <w:webHidden/>
          </w:rPr>
          <w:fldChar w:fldCharType="end"/>
        </w:r>
      </w:hyperlink>
    </w:p>
    <w:p w:rsidR="008F163E" w:rsidRPr="003A58CF" w:rsidRDefault="00F06CD8" w:rsidP="003A58CF">
      <w:pPr>
        <w:pStyle w:val="TOCHeading"/>
      </w:pPr>
      <w:r w:rsidRPr="003A58CF">
        <w:fldChar w:fldCharType="end"/>
      </w:r>
      <w:r w:rsidR="001F16ED" w:rsidRPr="003A58CF">
        <w:rPr>
          <w:lang w:eastAsia="en-US"/>
        </w:rPr>
        <w:t>Tables</w:t>
      </w:r>
    </w:p>
    <w:p w:rsidR="002410E3" w:rsidRDefault="00F06CD8">
      <w:pPr>
        <w:pStyle w:val="TableofFigures"/>
        <w:rPr>
          <w:rFonts w:eastAsiaTheme="minorEastAsia" w:cstheme="minorBidi"/>
          <w:noProof/>
          <w:szCs w:val="22"/>
        </w:rPr>
      </w:pPr>
      <w:r w:rsidRPr="008A310C">
        <w:fldChar w:fldCharType="begin"/>
      </w:r>
      <w:r w:rsidR="00E978E8" w:rsidRPr="008A310C">
        <w:instrText xml:space="preserve"> TOC \h \z \c "Table" </w:instrText>
      </w:r>
      <w:r w:rsidRPr="008A310C">
        <w:fldChar w:fldCharType="separate"/>
      </w:r>
      <w:hyperlink w:anchor="_Toc373757215" w:history="1">
        <w:r w:rsidR="002410E3" w:rsidRPr="00DE3F2A">
          <w:rPr>
            <w:rStyle w:val="Hyperlink"/>
            <w:noProof/>
          </w:rPr>
          <w:t>Table 1: Planning framework context</w:t>
        </w:r>
        <w:r w:rsidR="002410E3">
          <w:rPr>
            <w:noProof/>
            <w:webHidden/>
          </w:rPr>
          <w:tab/>
        </w:r>
        <w:r>
          <w:rPr>
            <w:noProof/>
            <w:webHidden/>
          </w:rPr>
          <w:fldChar w:fldCharType="begin"/>
        </w:r>
        <w:r w:rsidR="002410E3">
          <w:rPr>
            <w:noProof/>
            <w:webHidden/>
          </w:rPr>
          <w:instrText xml:space="preserve"> PAGEREF _Toc373757215 \h </w:instrText>
        </w:r>
        <w:r>
          <w:rPr>
            <w:noProof/>
            <w:webHidden/>
          </w:rPr>
        </w:r>
        <w:r>
          <w:rPr>
            <w:noProof/>
            <w:webHidden/>
          </w:rPr>
          <w:fldChar w:fldCharType="separate"/>
        </w:r>
        <w:r w:rsidR="00285800">
          <w:rPr>
            <w:noProof/>
            <w:webHidden/>
          </w:rPr>
          <w:t>1</w:t>
        </w:r>
        <w:r>
          <w:rPr>
            <w:noProof/>
            <w:webHidden/>
          </w:rPr>
          <w:fldChar w:fldCharType="end"/>
        </w:r>
      </w:hyperlink>
    </w:p>
    <w:p w:rsidR="002410E3" w:rsidRDefault="00F06CD8">
      <w:pPr>
        <w:pStyle w:val="TableofFigures"/>
        <w:rPr>
          <w:rFonts w:eastAsiaTheme="minorEastAsia" w:cstheme="minorBidi"/>
          <w:noProof/>
          <w:szCs w:val="22"/>
        </w:rPr>
      </w:pPr>
      <w:hyperlink w:anchor="_Toc373757216" w:history="1">
        <w:r w:rsidR="002410E3" w:rsidRPr="00DE3F2A">
          <w:rPr>
            <w:rStyle w:val="Hyperlink"/>
            <w:noProof/>
          </w:rPr>
          <w:t>Table 2: State significant land uses present within Melbourne’s peri-urban region</w:t>
        </w:r>
        <w:r w:rsidR="002410E3">
          <w:rPr>
            <w:noProof/>
            <w:webHidden/>
          </w:rPr>
          <w:tab/>
        </w:r>
        <w:r>
          <w:rPr>
            <w:noProof/>
            <w:webHidden/>
          </w:rPr>
          <w:fldChar w:fldCharType="begin"/>
        </w:r>
        <w:r w:rsidR="002410E3">
          <w:rPr>
            <w:noProof/>
            <w:webHidden/>
          </w:rPr>
          <w:instrText xml:space="preserve"> PAGEREF _Toc373757216 \h </w:instrText>
        </w:r>
        <w:r>
          <w:rPr>
            <w:noProof/>
            <w:webHidden/>
          </w:rPr>
        </w:r>
        <w:r>
          <w:rPr>
            <w:noProof/>
            <w:webHidden/>
          </w:rPr>
          <w:fldChar w:fldCharType="separate"/>
        </w:r>
        <w:r w:rsidR="00285800">
          <w:rPr>
            <w:noProof/>
            <w:webHidden/>
          </w:rPr>
          <w:t>6</w:t>
        </w:r>
        <w:r>
          <w:rPr>
            <w:noProof/>
            <w:webHidden/>
          </w:rPr>
          <w:fldChar w:fldCharType="end"/>
        </w:r>
      </w:hyperlink>
    </w:p>
    <w:p w:rsidR="002410E3" w:rsidRDefault="00F06CD8">
      <w:pPr>
        <w:pStyle w:val="TableofFigures"/>
        <w:rPr>
          <w:rFonts w:eastAsiaTheme="minorEastAsia" w:cstheme="minorBidi"/>
          <w:noProof/>
          <w:szCs w:val="22"/>
        </w:rPr>
      </w:pPr>
      <w:hyperlink w:anchor="_Toc373757217" w:history="1">
        <w:r w:rsidR="002410E3" w:rsidRPr="00DE3F2A">
          <w:rPr>
            <w:rStyle w:val="Hyperlink"/>
            <w:noProof/>
          </w:rPr>
          <w:t>Table 3: Projected population changes across the Loddon Mallee South region to 2031</w:t>
        </w:r>
        <w:r w:rsidR="002410E3">
          <w:rPr>
            <w:noProof/>
            <w:webHidden/>
          </w:rPr>
          <w:tab/>
        </w:r>
        <w:r>
          <w:rPr>
            <w:noProof/>
            <w:webHidden/>
          </w:rPr>
          <w:fldChar w:fldCharType="begin"/>
        </w:r>
        <w:r w:rsidR="002410E3">
          <w:rPr>
            <w:noProof/>
            <w:webHidden/>
          </w:rPr>
          <w:instrText xml:space="preserve"> PAGEREF _Toc373757217 \h </w:instrText>
        </w:r>
        <w:r>
          <w:rPr>
            <w:noProof/>
            <w:webHidden/>
          </w:rPr>
        </w:r>
        <w:r>
          <w:rPr>
            <w:noProof/>
            <w:webHidden/>
          </w:rPr>
          <w:fldChar w:fldCharType="separate"/>
        </w:r>
        <w:r w:rsidR="00285800">
          <w:rPr>
            <w:noProof/>
            <w:webHidden/>
          </w:rPr>
          <w:t>9</w:t>
        </w:r>
        <w:r>
          <w:rPr>
            <w:noProof/>
            <w:webHidden/>
          </w:rPr>
          <w:fldChar w:fldCharType="end"/>
        </w:r>
      </w:hyperlink>
    </w:p>
    <w:p w:rsidR="002410E3" w:rsidRDefault="00F06CD8">
      <w:pPr>
        <w:pStyle w:val="TableofFigures"/>
        <w:rPr>
          <w:rFonts w:eastAsiaTheme="minorEastAsia" w:cstheme="minorBidi"/>
          <w:noProof/>
          <w:szCs w:val="22"/>
        </w:rPr>
      </w:pPr>
      <w:hyperlink w:anchor="_Toc373757218" w:history="1">
        <w:r w:rsidR="002410E3" w:rsidRPr="00DE3F2A">
          <w:rPr>
            <w:rStyle w:val="Hyperlink"/>
            <w:noProof/>
          </w:rPr>
          <w:t>Table 4: Land use actions</w:t>
        </w:r>
        <w:r w:rsidR="002410E3">
          <w:rPr>
            <w:noProof/>
            <w:webHidden/>
          </w:rPr>
          <w:tab/>
        </w:r>
        <w:r>
          <w:rPr>
            <w:noProof/>
            <w:webHidden/>
          </w:rPr>
          <w:fldChar w:fldCharType="begin"/>
        </w:r>
        <w:r w:rsidR="002410E3">
          <w:rPr>
            <w:noProof/>
            <w:webHidden/>
          </w:rPr>
          <w:instrText xml:space="preserve"> PAGEREF _Toc373757218 \h </w:instrText>
        </w:r>
        <w:r>
          <w:rPr>
            <w:noProof/>
            <w:webHidden/>
          </w:rPr>
        </w:r>
        <w:r>
          <w:rPr>
            <w:noProof/>
            <w:webHidden/>
          </w:rPr>
          <w:fldChar w:fldCharType="separate"/>
        </w:r>
        <w:r w:rsidR="00285800">
          <w:rPr>
            <w:noProof/>
            <w:webHidden/>
          </w:rPr>
          <w:t>56</w:t>
        </w:r>
        <w:r>
          <w:rPr>
            <w:noProof/>
            <w:webHidden/>
          </w:rPr>
          <w:fldChar w:fldCharType="end"/>
        </w:r>
      </w:hyperlink>
    </w:p>
    <w:p w:rsidR="002410E3" w:rsidRDefault="00F06CD8">
      <w:pPr>
        <w:pStyle w:val="TableofFigures"/>
        <w:rPr>
          <w:rFonts w:eastAsiaTheme="minorEastAsia" w:cstheme="minorBidi"/>
          <w:noProof/>
          <w:szCs w:val="22"/>
        </w:rPr>
      </w:pPr>
      <w:hyperlink w:anchor="_Toc373757219" w:history="1">
        <w:r w:rsidR="002410E3" w:rsidRPr="00DE3F2A">
          <w:rPr>
            <w:rStyle w:val="Hyperlink"/>
            <w:noProof/>
          </w:rPr>
          <w:t>Table 5: Key implementation actions, priorities, partners and responsibilities</w:t>
        </w:r>
        <w:r w:rsidR="002410E3">
          <w:rPr>
            <w:noProof/>
            <w:webHidden/>
          </w:rPr>
          <w:tab/>
        </w:r>
        <w:r>
          <w:rPr>
            <w:noProof/>
            <w:webHidden/>
          </w:rPr>
          <w:fldChar w:fldCharType="begin"/>
        </w:r>
        <w:r w:rsidR="002410E3">
          <w:rPr>
            <w:noProof/>
            <w:webHidden/>
          </w:rPr>
          <w:instrText xml:space="preserve"> PAGEREF _Toc373757219 \h </w:instrText>
        </w:r>
        <w:r>
          <w:rPr>
            <w:noProof/>
            <w:webHidden/>
          </w:rPr>
        </w:r>
        <w:r>
          <w:rPr>
            <w:noProof/>
            <w:webHidden/>
          </w:rPr>
          <w:fldChar w:fldCharType="separate"/>
        </w:r>
        <w:r w:rsidR="00285800">
          <w:rPr>
            <w:noProof/>
            <w:webHidden/>
          </w:rPr>
          <w:t>60</w:t>
        </w:r>
        <w:r>
          <w:rPr>
            <w:noProof/>
            <w:webHidden/>
          </w:rPr>
          <w:fldChar w:fldCharType="end"/>
        </w:r>
      </w:hyperlink>
    </w:p>
    <w:p w:rsidR="00DE58DB" w:rsidRPr="008A310C" w:rsidRDefault="00F06CD8" w:rsidP="008A310C">
      <w:pPr>
        <w:pStyle w:val="TableofFigures"/>
        <w:sectPr w:rsidR="00DE58DB" w:rsidRPr="008A310C" w:rsidSect="00377A49">
          <w:pgSz w:w="11906" w:h="16838"/>
          <w:pgMar w:top="1134" w:right="1440" w:bottom="709" w:left="1440" w:header="709" w:footer="431" w:gutter="0"/>
          <w:cols w:space="708"/>
          <w:docGrid w:linePitch="360"/>
        </w:sectPr>
      </w:pPr>
      <w:r w:rsidRPr="008A310C">
        <w:fldChar w:fldCharType="end"/>
      </w:r>
    </w:p>
    <w:p w:rsidR="009755B8" w:rsidRPr="004A17B6" w:rsidRDefault="009755B8" w:rsidP="009755B8">
      <w:pPr>
        <w:pStyle w:val="Heading1"/>
      </w:pPr>
      <w:bookmarkStart w:id="3" w:name="_Toc364411058"/>
      <w:bookmarkStart w:id="4" w:name="_Toc377026318"/>
      <w:r w:rsidRPr="004A17B6">
        <w:lastRenderedPageBreak/>
        <w:t>EXECUTIVE SUMMARY</w:t>
      </w:r>
      <w:bookmarkEnd w:id="3"/>
      <w:bookmarkEnd w:id="4"/>
    </w:p>
    <w:p w:rsidR="00135CA1" w:rsidRPr="00CD48A7" w:rsidRDefault="00564B3C" w:rsidP="00CD48A7">
      <w:pPr>
        <w:pStyle w:val="bt"/>
        <w:rPr>
          <w:rStyle w:val="Strong"/>
        </w:rPr>
      </w:pPr>
      <w:r w:rsidRPr="00CD48A7">
        <w:rPr>
          <w:rStyle w:val="Strong"/>
        </w:rPr>
        <w:t xml:space="preserve">The Loddon Mallee </w:t>
      </w:r>
      <w:r w:rsidR="00190DEB" w:rsidRPr="00CD48A7">
        <w:rPr>
          <w:rStyle w:val="Strong"/>
        </w:rPr>
        <w:t xml:space="preserve">South </w:t>
      </w:r>
      <w:r w:rsidRPr="00CD48A7">
        <w:rPr>
          <w:rStyle w:val="Strong"/>
        </w:rPr>
        <w:t>region is the geographic centre of Victoria</w:t>
      </w:r>
      <w:r w:rsidR="00134D08" w:rsidRPr="00CD48A7">
        <w:rPr>
          <w:rStyle w:val="Strong"/>
        </w:rPr>
        <w:t>,</w:t>
      </w:r>
      <w:r w:rsidRPr="00CD48A7">
        <w:rPr>
          <w:rStyle w:val="Strong"/>
        </w:rPr>
        <w:t xml:space="preserve"> making it highly accessible to and from Melbourne and surrounding regional areas</w:t>
      </w:r>
      <w:r w:rsidR="005534EC" w:rsidRPr="00CD48A7">
        <w:rPr>
          <w:rStyle w:val="Strong"/>
        </w:rPr>
        <w:t>.</w:t>
      </w:r>
      <w:r w:rsidRPr="00CD48A7">
        <w:rPr>
          <w:rStyle w:val="Strong"/>
        </w:rPr>
        <w:t xml:space="preserve"> </w:t>
      </w:r>
      <w:r w:rsidR="00394ECD" w:rsidRPr="00CD48A7">
        <w:rPr>
          <w:rStyle w:val="Strong"/>
        </w:rPr>
        <w:t>The region extends from the floodplains of the mid-Loddon River in the north</w:t>
      </w:r>
      <w:r w:rsidR="00134D08" w:rsidRPr="00CD48A7">
        <w:rPr>
          <w:rStyle w:val="Strong"/>
        </w:rPr>
        <w:t xml:space="preserve"> </w:t>
      </w:r>
      <w:r w:rsidR="00394ECD" w:rsidRPr="00CD48A7">
        <w:rPr>
          <w:rStyle w:val="Strong"/>
        </w:rPr>
        <w:t>west to the Macedon Ranges in the south</w:t>
      </w:r>
      <w:r w:rsidR="00134D08" w:rsidRPr="00CD48A7">
        <w:rPr>
          <w:rStyle w:val="Strong"/>
        </w:rPr>
        <w:t xml:space="preserve"> </w:t>
      </w:r>
      <w:r w:rsidR="00394ECD" w:rsidRPr="00CD48A7">
        <w:rPr>
          <w:rStyle w:val="Strong"/>
        </w:rPr>
        <w:t xml:space="preserve">east. </w:t>
      </w:r>
      <w:r w:rsidR="005534EC" w:rsidRPr="00CD48A7">
        <w:rPr>
          <w:rStyle w:val="Strong"/>
        </w:rPr>
        <w:t>At its closest point, the region is 50</w:t>
      </w:r>
      <w:r w:rsidR="000A78F8" w:rsidRPr="00CD48A7">
        <w:rPr>
          <w:rStyle w:val="Strong"/>
        </w:rPr>
        <w:t xml:space="preserve"> kilometres</w:t>
      </w:r>
      <w:r w:rsidR="005534EC" w:rsidRPr="00CD48A7">
        <w:rPr>
          <w:rStyle w:val="Strong"/>
        </w:rPr>
        <w:t xml:space="preserve"> from central Melbourne and </w:t>
      </w:r>
      <w:r w:rsidRPr="00CD48A7">
        <w:rPr>
          <w:rStyle w:val="Strong"/>
        </w:rPr>
        <w:t xml:space="preserve">offers a variety of high level services </w:t>
      </w:r>
      <w:r w:rsidR="005534EC" w:rsidRPr="00CD48A7">
        <w:rPr>
          <w:rStyle w:val="Strong"/>
        </w:rPr>
        <w:t xml:space="preserve">that provide </w:t>
      </w:r>
      <w:r w:rsidRPr="00CD48A7">
        <w:rPr>
          <w:rStyle w:val="Strong"/>
        </w:rPr>
        <w:t>a</w:t>
      </w:r>
      <w:r w:rsidR="00044FE4" w:rsidRPr="00CD48A7">
        <w:rPr>
          <w:rStyle w:val="Strong"/>
        </w:rPr>
        <w:t>n attractive</w:t>
      </w:r>
      <w:r w:rsidR="00EB26EF" w:rsidRPr="00CD48A7">
        <w:rPr>
          <w:rStyle w:val="Strong"/>
        </w:rPr>
        <w:t xml:space="preserve"> </w:t>
      </w:r>
      <w:r w:rsidRPr="00CD48A7">
        <w:rPr>
          <w:rStyle w:val="Strong"/>
        </w:rPr>
        <w:t>alternative to Melbourne</w:t>
      </w:r>
      <w:r w:rsidR="00044FE4" w:rsidRPr="00CD48A7">
        <w:rPr>
          <w:rStyle w:val="Strong"/>
        </w:rPr>
        <w:t xml:space="preserve"> and other regions</w:t>
      </w:r>
      <w:r w:rsidR="00134D08" w:rsidRPr="00CD48A7">
        <w:rPr>
          <w:rStyle w:val="Strong"/>
        </w:rPr>
        <w:t xml:space="preserve">. </w:t>
      </w:r>
      <w:r w:rsidRPr="00CD48A7">
        <w:rPr>
          <w:rStyle w:val="Strong"/>
        </w:rPr>
        <w:t>It has a rich natural and built heritage, attractive towns, a pleasant climate and social and economic diversity. Its central location and excellent transport links allow safe and efficient travel to Melbourne and other centres.</w:t>
      </w:r>
    </w:p>
    <w:p w:rsidR="00135CA1" w:rsidRPr="003A58CF" w:rsidRDefault="00DE58DB" w:rsidP="00854F5E">
      <w:pPr>
        <w:pStyle w:val="bt"/>
      </w:pPr>
      <w:r w:rsidRPr="003A58CF">
        <w:t xml:space="preserve">The Loddon Mallee </w:t>
      </w:r>
      <w:r w:rsidR="00AE37B2" w:rsidRPr="003A58CF">
        <w:t xml:space="preserve">South </w:t>
      </w:r>
      <w:r w:rsidRPr="003A58CF">
        <w:t xml:space="preserve">Regional Growth Plan is the strategic land use plan for the region to guide growth and change for the next 30 years. The </w:t>
      </w:r>
      <w:r w:rsidR="00AE13D0" w:rsidRPr="003A58CF">
        <w:t xml:space="preserve">plan </w:t>
      </w:r>
      <w:r w:rsidRPr="003A58CF">
        <w:t xml:space="preserve">covers the local government areas of the </w:t>
      </w:r>
      <w:r w:rsidR="00394ECD" w:rsidRPr="003A58CF">
        <w:t>Central Goldfields</w:t>
      </w:r>
      <w:r w:rsidR="00FA5CC8" w:rsidRPr="003A58CF">
        <w:t xml:space="preserve"> Shire, the City of</w:t>
      </w:r>
      <w:r w:rsidR="00394ECD" w:rsidRPr="003A58CF">
        <w:t xml:space="preserve"> </w:t>
      </w:r>
      <w:r w:rsidRPr="003A58CF">
        <w:t>Greater Bendigo</w:t>
      </w:r>
      <w:r w:rsidR="007E5DCA" w:rsidRPr="003A58CF">
        <w:t>,</w:t>
      </w:r>
      <w:r w:rsidRPr="003A58CF">
        <w:t xml:space="preserve"> Loddon</w:t>
      </w:r>
      <w:r w:rsidR="00FA5CC8" w:rsidRPr="003A58CF">
        <w:t xml:space="preserve"> Shire</w:t>
      </w:r>
      <w:r w:rsidRPr="003A58CF">
        <w:t xml:space="preserve">, </w:t>
      </w:r>
      <w:r w:rsidR="00394ECD" w:rsidRPr="003A58CF">
        <w:t xml:space="preserve">Macedon Ranges </w:t>
      </w:r>
      <w:r w:rsidR="00FA5CC8" w:rsidRPr="003A58CF">
        <w:t xml:space="preserve">Shire </w:t>
      </w:r>
      <w:r w:rsidR="00394ECD" w:rsidRPr="003A58CF">
        <w:t xml:space="preserve">and </w:t>
      </w:r>
      <w:r w:rsidRPr="003A58CF">
        <w:t>M</w:t>
      </w:r>
      <w:r w:rsidR="00134D08" w:rsidRPr="003A58CF">
        <w:t>oun</w:t>
      </w:r>
      <w:r w:rsidRPr="003A58CF">
        <w:t>t Alexander</w:t>
      </w:r>
      <w:r w:rsidR="00FA5CC8" w:rsidRPr="003A58CF">
        <w:t xml:space="preserve"> </w:t>
      </w:r>
      <w:r w:rsidR="007E5DCA" w:rsidRPr="003A58CF">
        <w:t>Shire</w:t>
      </w:r>
      <w:r w:rsidR="00A635B6" w:rsidRPr="003A58CF">
        <w:t>.</w:t>
      </w:r>
      <w:r w:rsidRPr="003A58CF">
        <w:t xml:space="preserve"> It is one of eight </w:t>
      </w:r>
      <w:r w:rsidR="00134D08" w:rsidRPr="003A58CF">
        <w:t xml:space="preserve">regional growth plans </w:t>
      </w:r>
      <w:r w:rsidRPr="003A58CF">
        <w:t xml:space="preserve">being prepared in Victoria. </w:t>
      </w:r>
    </w:p>
    <w:p w:rsidR="00135CA1" w:rsidRPr="003A58CF" w:rsidRDefault="00C83FCC" w:rsidP="00854F5E">
      <w:pPr>
        <w:pStyle w:val="bt"/>
      </w:pPr>
      <w:bookmarkStart w:id="5" w:name="OLE_LINK121"/>
      <w:bookmarkStart w:id="6" w:name="OLE_LINK122"/>
      <w:r w:rsidRPr="003A58CF">
        <w:t xml:space="preserve">The </w:t>
      </w:r>
      <w:r w:rsidR="005534EC" w:rsidRPr="003A58CF">
        <w:t xml:space="preserve">Loddon Mallee </w:t>
      </w:r>
      <w:r w:rsidR="00190DEB" w:rsidRPr="003A58CF">
        <w:t xml:space="preserve">South </w:t>
      </w:r>
      <w:r w:rsidRPr="003A58CF">
        <w:t>region has many important physical and lifestyle assets</w:t>
      </w:r>
      <w:r w:rsidR="002F1798" w:rsidRPr="003A58CF">
        <w:t>,</w:t>
      </w:r>
      <w:r w:rsidRPr="003A58CF">
        <w:t xml:space="preserve"> which </w:t>
      </w:r>
      <w:r w:rsidR="005534EC" w:rsidRPr="003A58CF">
        <w:t xml:space="preserve">are the </w:t>
      </w:r>
      <w:r w:rsidRPr="003A58CF">
        <w:t xml:space="preserve">foundation </w:t>
      </w:r>
      <w:r w:rsidR="005534EC" w:rsidRPr="003A58CF">
        <w:t xml:space="preserve">of its </w:t>
      </w:r>
      <w:r w:rsidRPr="003A58CF">
        <w:t xml:space="preserve">economy and communities. The region’s rich goldfields history, rural production areas, </w:t>
      </w:r>
      <w:r w:rsidR="00511AA0" w:rsidRPr="003A58CF">
        <w:t xml:space="preserve">earth resources industries, </w:t>
      </w:r>
      <w:r w:rsidRPr="003A58CF">
        <w:t xml:space="preserve">forests and natural landscapes surround </w:t>
      </w:r>
      <w:r w:rsidR="005534EC" w:rsidRPr="003A58CF">
        <w:t xml:space="preserve">a </w:t>
      </w:r>
      <w:r w:rsidRPr="003A58CF">
        <w:t xml:space="preserve">diverse network of settlements. These assets have and will continue to attract people to the region to live, work </w:t>
      </w:r>
      <w:r w:rsidR="005534EC" w:rsidRPr="003A58CF">
        <w:t>and</w:t>
      </w:r>
      <w:r w:rsidRPr="003A58CF">
        <w:t xml:space="preserve"> visit.</w:t>
      </w:r>
    </w:p>
    <w:p w:rsidR="00135CA1" w:rsidRPr="003A58CF" w:rsidRDefault="00F91FB6" w:rsidP="00854F5E">
      <w:pPr>
        <w:pStyle w:val="bt"/>
      </w:pPr>
      <w:r w:rsidRPr="003A58CF">
        <w:t xml:space="preserve">Over the past decade, the region has outpaced the rest of regional Victoria </w:t>
      </w:r>
      <w:r w:rsidR="00394ECD" w:rsidRPr="003A58CF">
        <w:t xml:space="preserve">for </w:t>
      </w:r>
      <w:r w:rsidRPr="003A58CF">
        <w:t xml:space="preserve">economic growth. </w:t>
      </w:r>
      <w:r w:rsidR="00A635B6" w:rsidRPr="003A58CF">
        <w:t xml:space="preserve">Gross Regional Product (GRP) increased from $4.62 billion in 2001 to $6.63 billion in 2011 (Regional Development Victoria, 2013). </w:t>
      </w:r>
      <w:r w:rsidRPr="003A58CF">
        <w:t>The key sectors contribut</w:t>
      </w:r>
      <w:r w:rsidR="00B55560" w:rsidRPr="003A58CF">
        <w:t>ing to this growth are</w:t>
      </w:r>
      <w:r w:rsidRPr="003A58CF">
        <w:t xml:space="preserve"> financial, health and insurance services, manufacturing and mining. </w:t>
      </w:r>
    </w:p>
    <w:p w:rsidR="00135CA1" w:rsidRPr="003A58CF" w:rsidRDefault="00F91FB6" w:rsidP="00854F5E">
      <w:pPr>
        <w:pStyle w:val="bt"/>
      </w:pPr>
      <w:r w:rsidRPr="003A58CF">
        <w:t>Agriculture continues to be a significant employer in the region particularly horticulture, viticulture, poultry and swine. Population</w:t>
      </w:r>
      <w:r w:rsidR="005534EC" w:rsidRPr="003A58CF">
        <w:t>-</w:t>
      </w:r>
      <w:r w:rsidRPr="003A58CF">
        <w:t xml:space="preserve">driven sectors such as healthcare, construction, education and retail trade are also significant to the regional economy. </w:t>
      </w:r>
      <w:r w:rsidR="00511AA0" w:rsidRPr="003A58CF">
        <w:t>Earth resource industries include diverse mining and quarrying operations and will continue to contribute to the economy of the region.</w:t>
      </w:r>
    </w:p>
    <w:p w:rsidR="00135CA1" w:rsidRPr="003A58CF" w:rsidRDefault="00504CF4" w:rsidP="00854F5E">
      <w:pPr>
        <w:pStyle w:val="bt"/>
      </w:pPr>
      <w:r w:rsidRPr="003A58CF">
        <w:t xml:space="preserve">The </w:t>
      </w:r>
      <w:r w:rsidR="007E5DCA" w:rsidRPr="003A58CF">
        <w:t>City</w:t>
      </w:r>
      <w:r w:rsidRPr="003A58CF">
        <w:t xml:space="preserve"> of Greater </w:t>
      </w:r>
      <w:r w:rsidR="00B55560" w:rsidRPr="003A58CF">
        <w:t>Bendigo is a vibrant</w:t>
      </w:r>
      <w:r w:rsidR="005534EC" w:rsidRPr="003A58CF">
        <w:t>,</w:t>
      </w:r>
      <w:r w:rsidR="00B55560" w:rsidRPr="003A58CF">
        <w:t xml:space="preserve"> growing regional city with a</w:t>
      </w:r>
      <w:r w:rsidR="00AE37B2" w:rsidRPr="003A58CF">
        <w:t xml:space="preserve">n urban </w:t>
      </w:r>
      <w:r w:rsidRPr="003A58CF">
        <w:t xml:space="preserve">and </w:t>
      </w:r>
      <w:r w:rsidR="007E5DCA" w:rsidRPr="003A58CF">
        <w:t>rural population</w:t>
      </w:r>
      <w:r w:rsidR="00B55560" w:rsidRPr="003A58CF">
        <w:t xml:space="preserve"> </w:t>
      </w:r>
      <w:r w:rsidR="00AE37B2" w:rsidRPr="003A58CF">
        <w:t xml:space="preserve">of </w:t>
      </w:r>
      <w:r w:rsidR="00B55560" w:rsidRPr="003A58CF">
        <w:t xml:space="preserve">over 100,000 </w:t>
      </w:r>
      <w:r w:rsidR="005534EC" w:rsidRPr="003A58CF">
        <w:t>people</w:t>
      </w:r>
      <w:r w:rsidR="00901CF0" w:rsidRPr="003A58CF">
        <w:t>,</w:t>
      </w:r>
      <w:r w:rsidR="005534EC" w:rsidRPr="003A58CF">
        <w:t xml:space="preserve"> </w:t>
      </w:r>
      <w:r w:rsidR="00B55560" w:rsidRPr="003A58CF">
        <w:t xml:space="preserve">providing quality education and healthcare facilities, a strong economy and thriving cultural life. The growth and wellbeing of the region as a whole </w:t>
      </w:r>
      <w:r w:rsidR="00AE37B2" w:rsidRPr="003A58CF">
        <w:t>depends heavily</w:t>
      </w:r>
      <w:r w:rsidR="00B55560" w:rsidRPr="003A58CF">
        <w:t xml:space="preserve"> on the success of </w:t>
      </w:r>
      <w:r w:rsidR="005534EC" w:rsidRPr="003A58CF">
        <w:t xml:space="preserve">this </w:t>
      </w:r>
      <w:r w:rsidR="00B55560" w:rsidRPr="003A58CF">
        <w:t xml:space="preserve">regional city. A prosperous Bendigo </w:t>
      </w:r>
      <w:r w:rsidR="005534EC" w:rsidRPr="003A58CF">
        <w:t xml:space="preserve">that </w:t>
      </w:r>
      <w:r w:rsidR="00B55560" w:rsidRPr="003A58CF">
        <w:t>continue</w:t>
      </w:r>
      <w:r w:rsidR="005534EC" w:rsidRPr="003A58CF">
        <w:t>s</w:t>
      </w:r>
      <w:r w:rsidR="00B55560" w:rsidRPr="003A58CF">
        <w:t xml:space="preserve"> to grow in economic strength </w:t>
      </w:r>
      <w:r w:rsidR="005534EC" w:rsidRPr="003A58CF">
        <w:t xml:space="preserve">can </w:t>
      </w:r>
      <w:r w:rsidR="00B55560" w:rsidRPr="003A58CF">
        <w:t>offer a</w:t>
      </w:r>
      <w:r w:rsidR="006A43D1" w:rsidRPr="003A58CF">
        <w:t>n</w:t>
      </w:r>
      <w:r w:rsidR="00EB26EF" w:rsidRPr="003A58CF">
        <w:t xml:space="preserve"> </w:t>
      </w:r>
      <w:r w:rsidR="006A43D1" w:rsidRPr="003A58CF">
        <w:t xml:space="preserve">attractive </w:t>
      </w:r>
      <w:r w:rsidR="00B55560" w:rsidRPr="003A58CF">
        <w:t>alternative to Melbourne</w:t>
      </w:r>
      <w:r w:rsidR="006A43D1" w:rsidRPr="003A58CF">
        <w:t xml:space="preserve"> and other regions</w:t>
      </w:r>
      <w:r w:rsidR="00B55560" w:rsidRPr="003A58CF">
        <w:t xml:space="preserve">.  </w:t>
      </w:r>
    </w:p>
    <w:p w:rsidR="00135CA1" w:rsidRPr="003A58CF" w:rsidRDefault="00B55560" w:rsidP="00854F5E">
      <w:pPr>
        <w:pStyle w:val="bt"/>
      </w:pPr>
      <w:r w:rsidRPr="003A58CF">
        <w:t>The network of larger and smaller towns</w:t>
      </w:r>
      <w:r w:rsidR="005534EC" w:rsidRPr="003A58CF">
        <w:t xml:space="preserve"> in the Loddon Mallee </w:t>
      </w:r>
      <w:r w:rsidR="00190DEB" w:rsidRPr="003A58CF">
        <w:t xml:space="preserve">South </w:t>
      </w:r>
      <w:r w:rsidR="005534EC" w:rsidRPr="003A58CF">
        <w:t>region</w:t>
      </w:r>
      <w:r w:rsidR="00901CF0" w:rsidRPr="003A58CF">
        <w:t>,</w:t>
      </w:r>
      <w:r w:rsidR="005534EC" w:rsidRPr="003A58CF">
        <w:t xml:space="preserve"> </w:t>
      </w:r>
      <w:r w:rsidRPr="003A58CF">
        <w:t xml:space="preserve">most of which connect closely </w:t>
      </w:r>
      <w:r w:rsidR="005534EC" w:rsidRPr="003A58CF">
        <w:t>to</w:t>
      </w:r>
      <w:r w:rsidRPr="003A58CF">
        <w:t xml:space="preserve"> Bendigo</w:t>
      </w:r>
      <w:r w:rsidR="00901CF0" w:rsidRPr="003A58CF">
        <w:t>,</w:t>
      </w:r>
      <w:r w:rsidR="005534EC" w:rsidRPr="003A58CF">
        <w:t xml:space="preserve"> </w:t>
      </w:r>
      <w:r w:rsidRPr="003A58CF">
        <w:t>are central to the region’s unique character. Larger centres such as Gisborne, Kyneton, Castlemaine and Maryborough act as hubs to smaller surrounding settlements and rural areas both inside and beyond the regional boundaries. These larger centres offer a diversity of retail and community services and recreational and cultural opportunities</w:t>
      </w:r>
      <w:r w:rsidR="005534EC" w:rsidRPr="003A58CF">
        <w:t>,</w:t>
      </w:r>
      <w:r w:rsidRPr="003A58CF">
        <w:t xml:space="preserve"> which complement those in Bendigo </w:t>
      </w:r>
      <w:r w:rsidR="003C4D9D" w:rsidRPr="003A58CF">
        <w:t>and</w:t>
      </w:r>
      <w:r w:rsidR="0058100A" w:rsidRPr="003A58CF">
        <w:t xml:space="preserve"> </w:t>
      </w:r>
      <w:r w:rsidRPr="003A58CF">
        <w:t>Melbourne.</w:t>
      </w:r>
    </w:p>
    <w:p w:rsidR="00135CA1" w:rsidRPr="003A58CF" w:rsidRDefault="00B55560" w:rsidP="00854F5E">
      <w:pPr>
        <w:pStyle w:val="bt"/>
      </w:pPr>
      <w:r w:rsidRPr="003A58CF">
        <w:t xml:space="preserve">The majority of the region is </w:t>
      </w:r>
      <w:r w:rsidR="005534EC" w:rsidRPr="003A58CF">
        <w:t xml:space="preserve">made up of </w:t>
      </w:r>
      <w:r w:rsidRPr="003A58CF">
        <w:t>non</w:t>
      </w:r>
      <w:r w:rsidR="005534EC" w:rsidRPr="003A58CF">
        <w:t>-</w:t>
      </w:r>
      <w:r w:rsidRPr="003A58CF">
        <w:t xml:space="preserve">urban </w:t>
      </w:r>
      <w:r w:rsidR="005534EC" w:rsidRPr="003A58CF">
        <w:t>land</w:t>
      </w:r>
      <w:r w:rsidRPr="003A58CF">
        <w:t>, a significant portion of which is used for agricultural production. The region is agriculturally diverse</w:t>
      </w:r>
      <w:r w:rsidR="00E0587D" w:rsidRPr="003A58CF">
        <w:t xml:space="preserve">, with </w:t>
      </w:r>
      <w:r w:rsidRPr="003A58CF">
        <w:t>irrigated dairying</w:t>
      </w:r>
      <w:r w:rsidR="006A43D1" w:rsidRPr="003A58CF">
        <w:t>, cropping and grazing</w:t>
      </w:r>
      <w:r w:rsidRPr="003A58CF">
        <w:t xml:space="preserve"> in the north</w:t>
      </w:r>
      <w:r w:rsidR="002F1798" w:rsidRPr="003A58CF">
        <w:t xml:space="preserve"> </w:t>
      </w:r>
      <w:r w:rsidRPr="003A58CF">
        <w:t>east and large</w:t>
      </w:r>
      <w:r w:rsidR="00E0587D" w:rsidRPr="003A58CF">
        <w:t>-</w:t>
      </w:r>
      <w:r w:rsidRPr="003A58CF">
        <w:t xml:space="preserve">scale productive cropping, </w:t>
      </w:r>
      <w:r w:rsidR="007E5DCA" w:rsidRPr="003A58CF">
        <w:t>dry land</w:t>
      </w:r>
      <w:r w:rsidRPr="003A58CF">
        <w:t xml:space="preserve"> and mixed farming in the north</w:t>
      </w:r>
      <w:r w:rsidR="00E0587D" w:rsidRPr="003A58CF">
        <w:t>-</w:t>
      </w:r>
      <w:r w:rsidRPr="003A58CF">
        <w:t xml:space="preserve">west (predominantly Loddon Shire). Wineries, orchards and olive groves are located throughout the region, with clusters in the Macedon Ranges, Harcourt Valley and Bendigo areas. </w:t>
      </w:r>
      <w:r w:rsidR="006A43D1" w:rsidRPr="003A58CF">
        <w:t xml:space="preserve">One of the world’s largest single </w:t>
      </w:r>
      <w:r w:rsidR="00AD6BC6" w:rsidRPr="003A58CF">
        <w:t xml:space="preserve">estate </w:t>
      </w:r>
      <w:r w:rsidR="006A43D1" w:rsidRPr="003A58CF">
        <w:t>olive grove</w:t>
      </w:r>
      <w:r w:rsidR="00AD6BC6" w:rsidRPr="003A58CF">
        <w:t>s</w:t>
      </w:r>
      <w:r w:rsidR="006A43D1" w:rsidRPr="003A58CF">
        <w:t xml:space="preserve"> is located near Boort.</w:t>
      </w:r>
    </w:p>
    <w:p w:rsidR="00135CA1" w:rsidRPr="003A58CF" w:rsidRDefault="00B55560" w:rsidP="00854F5E">
      <w:pPr>
        <w:pStyle w:val="bt"/>
      </w:pPr>
      <w:r w:rsidRPr="003A58CF">
        <w:t xml:space="preserve">The </w:t>
      </w:r>
      <w:r w:rsidR="00E0587D" w:rsidRPr="003A58CF">
        <w:t xml:space="preserve">Loddon Mallee </w:t>
      </w:r>
      <w:r w:rsidR="00190DEB" w:rsidRPr="003A58CF">
        <w:t xml:space="preserve">South </w:t>
      </w:r>
      <w:r w:rsidRPr="003A58CF">
        <w:t xml:space="preserve">region has </w:t>
      </w:r>
      <w:r w:rsidR="00E0587D" w:rsidRPr="003A58CF">
        <w:t xml:space="preserve">experienced, </w:t>
      </w:r>
      <w:r w:rsidRPr="003A58CF">
        <w:t>and continue</w:t>
      </w:r>
      <w:r w:rsidR="00394ECD" w:rsidRPr="003A58CF">
        <w:t>s</w:t>
      </w:r>
      <w:r w:rsidRPr="003A58CF">
        <w:t xml:space="preserve"> to experience</w:t>
      </w:r>
      <w:r w:rsidR="00E0587D" w:rsidRPr="003A58CF">
        <w:t>,</w:t>
      </w:r>
      <w:r w:rsidRPr="003A58CF">
        <w:t xml:space="preserve"> strong population and economic </w:t>
      </w:r>
      <w:r w:rsidR="00871135" w:rsidRPr="003A58CF">
        <w:t>growth</w:t>
      </w:r>
      <w:r w:rsidR="00AE13D0" w:rsidRPr="003A58CF">
        <w:t>.</w:t>
      </w:r>
      <w:r w:rsidRPr="003A58CF">
        <w:t xml:space="preserve"> This </w:t>
      </w:r>
      <w:r w:rsidR="00AE13D0" w:rsidRPr="003A58CF">
        <w:t xml:space="preserve">plan </w:t>
      </w:r>
      <w:r w:rsidRPr="003A58CF">
        <w:t>provides guid</w:t>
      </w:r>
      <w:r w:rsidR="00E0587D" w:rsidRPr="003A58CF">
        <w:t xml:space="preserve">ance to help achieve </w:t>
      </w:r>
      <w:r w:rsidRPr="003A58CF">
        <w:t>sustainable</w:t>
      </w:r>
      <w:r w:rsidR="00061C1C" w:rsidRPr="003A58CF">
        <w:t xml:space="preserve"> </w:t>
      </w:r>
      <w:r w:rsidRPr="003A58CF">
        <w:t xml:space="preserve">growth across the region, </w:t>
      </w:r>
      <w:r w:rsidR="002609CA" w:rsidRPr="003A58CF">
        <w:t xml:space="preserve">while </w:t>
      </w:r>
      <w:r w:rsidRPr="003A58CF">
        <w:lastRenderedPageBreak/>
        <w:t>maintaining</w:t>
      </w:r>
      <w:r w:rsidR="00564B3C" w:rsidRPr="003A58CF">
        <w:t xml:space="preserve"> </w:t>
      </w:r>
      <w:r w:rsidR="00BB678A" w:rsidRPr="003A58CF">
        <w:t>its</w:t>
      </w:r>
      <w:r w:rsidR="00564B3C" w:rsidRPr="003A58CF">
        <w:t xml:space="preserve"> </w:t>
      </w:r>
      <w:bookmarkEnd w:id="5"/>
      <w:bookmarkEnd w:id="6"/>
      <w:r w:rsidR="00564B3C" w:rsidRPr="003A58CF">
        <w:t>highly attractive, liveable</w:t>
      </w:r>
      <w:r w:rsidR="00C83FCC" w:rsidRPr="003A58CF">
        <w:t xml:space="preserve"> and accessible </w:t>
      </w:r>
      <w:r w:rsidR="00E0587D" w:rsidRPr="003A58CF">
        <w:t xml:space="preserve">characteristics, </w:t>
      </w:r>
      <w:r w:rsidR="00564B3C" w:rsidRPr="003A58CF">
        <w:t>which offer</w:t>
      </w:r>
      <w:r w:rsidR="00C83FCC" w:rsidRPr="003A58CF">
        <w:t xml:space="preserve"> a range of lifestyle and work opportunities </w:t>
      </w:r>
      <w:r w:rsidR="003F1EC6" w:rsidRPr="003A58CF">
        <w:t xml:space="preserve">for existing and future residents and visitors. </w:t>
      </w:r>
    </w:p>
    <w:p w:rsidR="00135CA1" w:rsidRPr="003A58CF" w:rsidRDefault="00DE58DB" w:rsidP="00854F5E">
      <w:pPr>
        <w:pStyle w:val="bt"/>
      </w:pPr>
      <w:r w:rsidRPr="003A58CF">
        <w:t xml:space="preserve">The </w:t>
      </w:r>
      <w:r w:rsidR="00AE13D0" w:rsidRPr="003A58CF">
        <w:t xml:space="preserve">plan </w:t>
      </w:r>
      <w:r w:rsidRPr="003A58CF">
        <w:t>identifies where future growth is promoted and supported in the region. It identifies environmental, economic, community and infrastr</w:t>
      </w:r>
      <w:r w:rsidR="006A6C71" w:rsidRPr="003A58CF">
        <w:t>ucture resources of regional im</w:t>
      </w:r>
      <w:r w:rsidR="00394ECD" w:rsidRPr="003A58CF">
        <w:t>p</w:t>
      </w:r>
      <w:r w:rsidRPr="003A58CF">
        <w:t>ortance that should be preserved, maintained or developed</w:t>
      </w:r>
      <w:r w:rsidR="00E0587D" w:rsidRPr="003A58CF">
        <w:t>. It also outlines</w:t>
      </w:r>
      <w:r w:rsidR="006A43D1" w:rsidRPr="003A58CF">
        <w:t xml:space="preserve"> key planning considerations</w:t>
      </w:r>
      <w:r w:rsidR="00901CF0" w:rsidRPr="003A58CF">
        <w:t>,</w:t>
      </w:r>
      <w:r w:rsidR="006A43D1" w:rsidRPr="003A58CF">
        <w:t xml:space="preserve"> such as natural hazards that may influence growth</w:t>
      </w:r>
      <w:r w:rsidR="002609CA" w:rsidRPr="003A58CF">
        <w:t>,</w:t>
      </w:r>
      <w:r w:rsidR="00E0587D" w:rsidRPr="003A58CF">
        <w:t xml:space="preserve"> and </w:t>
      </w:r>
      <w:r w:rsidR="003F1EC6" w:rsidRPr="003A58CF">
        <w:t xml:space="preserve">seeks to guide future </w:t>
      </w:r>
      <w:r w:rsidR="006A43D1" w:rsidRPr="003A58CF">
        <w:t xml:space="preserve">land use </w:t>
      </w:r>
      <w:r w:rsidR="003F1EC6" w:rsidRPr="003A58CF">
        <w:t xml:space="preserve">planning to ensure </w:t>
      </w:r>
      <w:r w:rsidR="00901CF0" w:rsidRPr="003A58CF">
        <w:t xml:space="preserve">the region </w:t>
      </w:r>
      <w:r w:rsidR="003F1EC6" w:rsidRPr="003A58CF">
        <w:t xml:space="preserve">continues to thrive. </w:t>
      </w:r>
    </w:p>
    <w:p w:rsidR="00135CA1" w:rsidRPr="003A58CF" w:rsidRDefault="00BA6E4B" w:rsidP="00854F5E">
      <w:pPr>
        <w:pStyle w:val="bt"/>
      </w:pPr>
      <w:r w:rsidRPr="003A58CF">
        <w:t>Map 1 – Future growth framework</w:t>
      </w:r>
      <w:r w:rsidRPr="003A58CF">
        <w:rPr>
          <w:i/>
        </w:rPr>
        <w:t xml:space="preserve"> </w:t>
      </w:r>
      <w:r w:rsidR="00C37F61" w:rsidRPr="003A58CF">
        <w:t>highlights the key directions for growth of the region, directing population and economic growth to the regional city</w:t>
      </w:r>
      <w:r w:rsidR="006A43D1" w:rsidRPr="003A58CF">
        <w:t xml:space="preserve"> of Bendigo</w:t>
      </w:r>
      <w:r w:rsidR="00C37F61" w:rsidRPr="003A58CF">
        <w:t>,</w:t>
      </w:r>
      <w:r w:rsidR="007C5E2F" w:rsidRPr="003A58CF">
        <w:t xml:space="preserve"> managing and supporting</w:t>
      </w:r>
      <w:r w:rsidR="00AE13D0" w:rsidRPr="003A58CF">
        <w:t xml:space="preserve"> </w:t>
      </w:r>
      <w:r w:rsidR="007C5E2F" w:rsidRPr="003A58CF">
        <w:t>growth in</w:t>
      </w:r>
      <w:r w:rsidR="00C37F61" w:rsidRPr="003A58CF">
        <w:t xml:space="preserve"> key regional centres and fostering growth in some key hinterland</w:t>
      </w:r>
      <w:r w:rsidR="00C545F4">
        <w:t xml:space="preserve"> towns around Bendigo.</w:t>
      </w:r>
    </w:p>
    <w:p w:rsidR="00135CA1" w:rsidRDefault="00E0587D" w:rsidP="00854F5E">
      <w:pPr>
        <w:pStyle w:val="bt"/>
      </w:pPr>
      <w:r w:rsidRPr="003A58CF">
        <w:t xml:space="preserve">The region can </w:t>
      </w:r>
      <w:r w:rsidR="000528BB" w:rsidRPr="003A58CF">
        <w:t xml:space="preserve">build on </w:t>
      </w:r>
      <w:r w:rsidRPr="003A58CF">
        <w:t xml:space="preserve">its </w:t>
      </w:r>
      <w:r w:rsidR="000528BB" w:rsidRPr="003A58CF">
        <w:t xml:space="preserve">economic strengths in a variety of sectors, such as health and finance, as well as emerging industries </w:t>
      </w:r>
      <w:r w:rsidRPr="003A58CF">
        <w:t xml:space="preserve">such </w:t>
      </w:r>
      <w:r w:rsidR="007E5DCA" w:rsidRPr="003A58CF">
        <w:t xml:space="preserve">as </w:t>
      </w:r>
      <w:r w:rsidR="007E2381">
        <w:t xml:space="preserve">the </w:t>
      </w:r>
      <w:r w:rsidR="007E5DCA" w:rsidRPr="003A58CF">
        <w:t>tourism</w:t>
      </w:r>
      <w:r w:rsidR="000528BB" w:rsidRPr="003A58CF">
        <w:t xml:space="preserve"> and equine sector</w:t>
      </w:r>
      <w:r w:rsidRPr="003A58CF">
        <w:t>s</w:t>
      </w:r>
      <w:r w:rsidR="000528BB" w:rsidRPr="003A58CF">
        <w:t xml:space="preserve">. The </w:t>
      </w:r>
      <w:r w:rsidR="00AE13D0" w:rsidRPr="003A58CF">
        <w:t xml:space="preserve">plan </w:t>
      </w:r>
      <w:r w:rsidR="000528BB" w:rsidRPr="003A58CF">
        <w:t xml:space="preserve">aims to facilitate ongoing agricultural productivity and new opportunities that respond to climate </w:t>
      </w:r>
      <w:r w:rsidR="006A43D1" w:rsidRPr="003A58CF">
        <w:t>change</w:t>
      </w:r>
      <w:r w:rsidR="000528BB" w:rsidRPr="003A58CF">
        <w:t xml:space="preserve">. </w:t>
      </w:r>
      <w:r w:rsidR="00871135" w:rsidRPr="003A58CF">
        <w:t>Opportunities for manufacturing and building on supply chain linkages are</w:t>
      </w:r>
      <w:r w:rsidR="0069480B" w:rsidRPr="003A58CF">
        <w:t xml:space="preserve"> supported. </w:t>
      </w:r>
      <w:r w:rsidRPr="003A58CF">
        <w:t>I</w:t>
      </w:r>
      <w:r w:rsidR="000528BB" w:rsidRPr="003A58CF">
        <w:t xml:space="preserve">mportant environmental assets will be protected and improved. </w:t>
      </w:r>
    </w:p>
    <w:p w:rsidR="00D205D2" w:rsidRPr="005C23EE" w:rsidRDefault="00D205D2" w:rsidP="005C23EE">
      <w:pPr>
        <w:pStyle w:val="bt"/>
        <w:rPr>
          <w:rStyle w:val="Strong"/>
        </w:rPr>
      </w:pPr>
      <w:r w:rsidRPr="005C23EE">
        <w:rPr>
          <w:rStyle w:val="Strong"/>
        </w:rPr>
        <w:t>Vision for Loddon Mallee South region</w:t>
      </w:r>
    </w:p>
    <w:p w:rsidR="00D205D2" w:rsidRPr="005C23EE" w:rsidRDefault="00D205D2" w:rsidP="005C23EE">
      <w:pPr>
        <w:pStyle w:val="bt"/>
        <w:rPr>
          <w:rStyle w:val="Strong"/>
        </w:rPr>
      </w:pPr>
      <w:r w:rsidRPr="005C23EE">
        <w:rPr>
          <w:rStyle w:val="Strong"/>
        </w:rPr>
        <w:t xml:space="preserve">In 2041 our communities continue to enjoy regional liveability with urban accessibility. We are a region with vibrant, innovative, sustainable and connected communities offering a diversity of lifestyles, building on our heritage, natural environment and agricultural landscapes. </w:t>
      </w:r>
    </w:p>
    <w:p w:rsidR="00D205D2" w:rsidRDefault="00D205D2" w:rsidP="005C23EE">
      <w:pPr>
        <w:pStyle w:val="bt"/>
        <w:rPr>
          <w:rStyle w:val="Strong"/>
        </w:rPr>
      </w:pPr>
      <w:r w:rsidRPr="005C23EE">
        <w:rPr>
          <w:rStyle w:val="Strong"/>
        </w:rPr>
        <w:t>The region is home to some 300,000 people by 2041, with access to employment, infrastructure, educational opportunities, healthcare and other services. The region continues to attract new investment and a diverse range of jobs, anchored within a diversifying economy, capitalising on competitive advantages.</w:t>
      </w:r>
    </w:p>
    <w:p w:rsidR="00061E40" w:rsidRDefault="00061E40" w:rsidP="00061E40">
      <w:pPr>
        <w:pStyle w:val="bt"/>
        <w:rPr>
          <w:b/>
        </w:rPr>
      </w:pPr>
      <w:bookmarkStart w:id="7" w:name="_Toc373757221"/>
      <w:r w:rsidRPr="00C50E1E">
        <w:t xml:space="preserve">Map </w:t>
      </w:r>
      <w:r w:rsidR="00993A78">
        <w:t>1</w:t>
      </w:r>
      <w:r>
        <w:t xml:space="preserve"> is located here in the document and it shows - </w:t>
      </w:r>
      <w:r w:rsidRPr="00C50E1E">
        <w:t>Future growth framework</w:t>
      </w:r>
      <w:bookmarkEnd w:id="7"/>
    </w:p>
    <w:p w:rsidR="00D205D2" w:rsidRPr="003A58CF" w:rsidRDefault="00D205D2" w:rsidP="00D205D2">
      <w:pPr>
        <w:pStyle w:val="bt"/>
      </w:pPr>
    </w:p>
    <w:p w:rsidR="00C94D39" w:rsidRPr="004809DF" w:rsidRDefault="00C94D39" w:rsidP="00C50E1E">
      <w:pPr>
        <w:pStyle w:val="Caption"/>
        <w:sectPr w:rsidR="00C94D39" w:rsidRPr="004809DF" w:rsidSect="004B72D1">
          <w:headerReference w:type="default" r:id="rId14"/>
          <w:footerReference w:type="default" r:id="rId15"/>
          <w:pgSz w:w="11906" w:h="16838"/>
          <w:pgMar w:top="1440" w:right="1440" w:bottom="993" w:left="1440" w:header="709" w:footer="709" w:gutter="0"/>
          <w:pgNumType w:fmt="lowerRoman" w:start="1"/>
          <w:cols w:space="708"/>
          <w:docGrid w:linePitch="360"/>
        </w:sectPr>
      </w:pPr>
      <w:bookmarkStart w:id="8" w:name="_Ref352070531"/>
      <w:bookmarkStart w:id="9" w:name="_Toc352061250"/>
      <w:bookmarkStart w:id="10" w:name="_Ref352068660"/>
      <w:bookmarkStart w:id="11" w:name="_Ref352070282"/>
    </w:p>
    <w:p w:rsidR="009755B8" w:rsidRPr="009755B8" w:rsidRDefault="009755B8" w:rsidP="009755B8">
      <w:pPr>
        <w:pStyle w:val="Heading1"/>
        <w:rPr>
          <w:rFonts w:cs="Calibri"/>
        </w:rPr>
      </w:pPr>
      <w:bookmarkStart w:id="12" w:name="_Toc364411059"/>
      <w:bookmarkStart w:id="13" w:name="_Toc377026319"/>
      <w:bookmarkEnd w:id="8"/>
      <w:bookmarkEnd w:id="9"/>
      <w:bookmarkEnd w:id="10"/>
      <w:bookmarkEnd w:id="11"/>
      <w:r w:rsidRPr="009755B8">
        <w:rPr>
          <w:rFonts w:cs="Calibri"/>
        </w:rPr>
        <w:lastRenderedPageBreak/>
        <w:t>PART A:</w:t>
      </w:r>
      <w:r w:rsidRPr="009755B8">
        <w:rPr>
          <w:rFonts w:cs="Calibri"/>
        </w:rPr>
        <w:tab/>
      </w:r>
      <w:r w:rsidRPr="009755B8">
        <w:rPr>
          <w:rFonts w:cs="Calibri"/>
          <w:caps/>
        </w:rPr>
        <w:t>Introduction</w:t>
      </w:r>
      <w:bookmarkEnd w:id="12"/>
      <w:bookmarkEnd w:id="13"/>
    </w:p>
    <w:p w:rsidR="009755B8" w:rsidRPr="004809DF" w:rsidRDefault="009755B8" w:rsidP="004809DF">
      <w:pPr>
        <w:pStyle w:val="Heading11"/>
      </w:pPr>
      <w:bookmarkStart w:id="14" w:name="_Ref345927621"/>
      <w:bookmarkStart w:id="15" w:name="_Toc364411060"/>
      <w:bookmarkStart w:id="16" w:name="_Toc377026320"/>
      <w:r w:rsidRPr="004809DF">
        <w:t>What is a regional growth plan?</w:t>
      </w:r>
      <w:bookmarkEnd w:id="14"/>
      <w:bookmarkEnd w:id="15"/>
      <w:bookmarkEnd w:id="16"/>
    </w:p>
    <w:p w:rsidR="00A527F4" w:rsidRPr="003A58CF" w:rsidRDefault="00DE58DB" w:rsidP="00854F5E">
      <w:pPr>
        <w:pStyle w:val="bt"/>
      </w:pPr>
      <w:r w:rsidRPr="003A58CF">
        <w:t xml:space="preserve">Eight </w:t>
      </w:r>
      <w:r w:rsidR="00AE13D0" w:rsidRPr="003A58CF">
        <w:t xml:space="preserve">regional growth plans </w:t>
      </w:r>
      <w:r w:rsidR="00F50B33">
        <w:t>have been</w:t>
      </w:r>
      <w:r w:rsidRPr="003A58CF">
        <w:t xml:space="preserve"> developed to provide broad direction for land use and development across regional Victoria</w:t>
      </w:r>
      <w:r w:rsidR="00232435" w:rsidRPr="003A58CF">
        <w:t xml:space="preserve"> as shown in</w:t>
      </w:r>
      <w:r w:rsidR="00BA6E4B" w:rsidRPr="003A58CF">
        <w:t xml:space="preserve"> Map 2</w:t>
      </w:r>
      <w:r w:rsidR="007E2381">
        <w:t>.</w:t>
      </w:r>
      <w:r w:rsidRPr="003A58CF">
        <w:t xml:space="preserve"> They also provide more detailed planning frameworks for k</w:t>
      </w:r>
      <w:r w:rsidR="00C01A02">
        <w:t>ey regional cities and centres.</w:t>
      </w:r>
    </w:p>
    <w:p w:rsidR="001E1D15" w:rsidRPr="00C22A5B" w:rsidRDefault="001D36C4" w:rsidP="001E1D15">
      <w:pPr>
        <w:pStyle w:val="bt"/>
      </w:pPr>
      <w:r w:rsidRPr="00C22A5B">
        <w:rPr>
          <w:rFonts w:cs="Times New Roman"/>
        </w:rPr>
        <w:t>Increasing the growth of regional Victoria will help improve the state’s competitiveness by strengthening regional labour markets, expanding markets for local goods and services and providing a greater diversity of affordable housing and employment opportunities.</w:t>
      </w:r>
    </w:p>
    <w:p w:rsidR="001E1D15" w:rsidRDefault="001D36C4" w:rsidP="001E1D15">
      <w:pPr>
        <w:pStyle w:val="bt"/>
      </w:pPr>
      <w:r w:rsidRPr="00C22A5B">
        <w:rPr>
          <w:rFonts w:cs="Times New Roman"/>
        </w:rPr>
        <w:t xml:space="preserve">Regional growth plans, together with the new metropolitan planning strategy, </w:t>
      </w:r>
      <w:r w:rsidRPr="00C22A5B">
        <w:rPr>
          <w:rFonts w:cs="Times New Roman"/>
          <w:i/>
        </w:rPr>
        <w:t>Plan Melbourne</w:t>
      </w:r>
      <w:r w:rsidRPr="00C22A5B">
        <w:rPr>
          <w:rFonts w:cs="Times New Roman"/>
        </w:rPr>
        <w:t>,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w:t>
      </w:r>
      <w:r w:rsidR="001E1D15" w:rsidRPr="00F50B33">
        <w:t xml:space="preserve"> </w:t>
      </w:r>
      <w:r w:rsidRPr="00C22A5B">
        <w:t>It is likely that demand for housing in regional cities and centres would be accelerated in the future with the imposition of a permanent growth boundary around Melbourne.</w:t>
      </w:r>
    </w:p>
    <w:p w:rsidR="00DE58DB" w:rsidRPr="003A58CF" w:rsidRDefault="008224F4" w:rsidP="00854F5E">
      <w:pPr>
        <w:pStyle w:val="bt"/>
      </w:pPr>
      <w:r w:rsidRPr="003A58CF">
        <w:t xml:space="preserve"> </w:t>
      </w:r>
      <w:r w:rsidR="00DE58DB" w:rsidRPr="003A58CF">
        <w:t xml:space="preserve">The Loddon </w:t>
      </w:r>
      <w:proofErr w:type="spellStart"/>
      <w:r w:rsidR="00DE58DB" w:rsidRPr="003A58CF">
        <w:t>Mallee</w:t>
      </w:r>
      <w:proofErr w:type="spellEnd"/>
      <w:r w:rsidR="00DE58DB" w:rsidRPr="003A58CF">
        <w:t xml:space="preserve"> South Regional Growth Plan is the strategic regional land use plan for the Loddon Mallee South region comprising the following local government areas: </w:t>
      </w:r>
      <w:r w:rsidR="001F38D8" w:rsidRPr="003A58CF">
        <w:t>Central Goldfields</w:t>
      </w:r>
      <w:r w:rsidR="00FA5CC8" w:rsidRPr="003A58CF">
        <w:t xml:space="preserve"> Shire</w:t>
      </w:r>
      <w:r w:rsidR="002609CA" w:rsidRPr="003A58CF">
        <w:t xml:space="preserve">; </w:t>
      </w:r>
      <w:r w:rsidR="00FA5CC8" w:rsidRPr="003A58CF">
        <w:t>the City of</w:t>
      </w:r>
      <w:r w:rsidR="001F38D8" w:rsidRPr="003A58CF">
        <w:t xml:space="preserve"> </w:t>
      </w:r>
      <w:r w:rsidR="00DE58DB" w:rsidRPr="003A58CF">
        <w:t>Greater Bendigo</w:t>
      </w:r>
      <w:r w:rsidR="002609CA" w:rsidRPr="003A58CF">
        <w:t xml:space="preserve">; </w:t>
      </w:r>
      <w:r w:rsidR="00DE58DB" w:rsidRPr="003A58CF">
        <w:t>Loddon</w:t>
      </w:r>
      <w:r w:rsidR="00FA5CC8" w:rsidRPr="003A58CF">
        <w:t xml:space="preserve"> Shire</w:t>
      </w:r>
      <w:r w:rsidR="002609CA" w:rsidRPr="003A58CF">
        <w:t xml:space="preserve">; </w:t>
      </w:r>
      <w:r w:rsidR="001F38D8" w:rsidRPr="003A58CF">
        <w:t>Macedon Ranges</w:t>
      </w:r>
      <w:r w:rsidR="00FA5CC8" w:rsidRPr="003A58CF">
        <w:t xml:space="preserve"> Shire</w:t>
      </w:r>
      <w:r w:rsidR="002609CA" w:rsidRPr="003A58CF">
        <w:t>;</w:t>
      </w:r>
      <w:r w:rsidR="001F38D8" w:rsidRPr="003A58CF">
        <w:t xml:space="preserve"> and </w:t>
      </w:r>
      <w:r w:rsidR="00DE58DB" w:rsidRPr="003A58CF">
        <w:t>M</w:t>
      </w:r>
      <w:r w:rsidR="002609CA" w:rsidRPr="003A58CF">
        <w:t>oun</w:t>
      </w:r>
      <w:r w:rsidR="00DE58DB" w:rsidRPr="003A58CF">
        <w:t>t Alexander</w:t>
      </w:r>
      <w:r w:rsidR="00FA5CC8" w:rsidRPr="003A58CF">
        <w:t xml:space="preserve"> Shire</w:t>
      </w:r>
      <w:r w:rsidR="00DE58DB" w:rsidRPr="003A58CF">
        <w:t>.</w:t>
      </w:r>
    </w:p>
    <w:p w:rsidR="00DE58DB" w:rsidRPr="003A58CF" w:rsidRDefault="0018666D" w:rsidP="00854F5E">
      <w:pPr>
        <w:pStyle w:val="bt"/>
      </w:pPr>
      <w:r w:rsidRPr="003A58CF">
        <w:t xml:space="preserve">Regional </w:t>
      </w:r>
      <w:r w:rsidR="00C34A61" w:rsidRPr="003A58CF">
        <w:t xml:space="preserve">growth plans </w:t>
      </w:r>
      <w:r w:rsidRPr="003A58CF">
        <w:t xml:space="preserve">respond to directions established in the </w:t>
      </w:r>
      <w:r w:rsidR="00141D36" w:rsidRPr="003A58CF">
        <w:t xml:space="preserve">regional strategic plans </w:t>
      </w:r>
      <w:r w:rsidRPr="003A58CF">
        <w:t xml:space="preserve">that were prepared across regional Victoria between 2007 and 2010. </w:t>
      </w:r>
      <w:r w:rsidR="00DE58DB" w:rsidRPr="003A58CF">
        <w:t xml:space="preserve">The </w:t>
      </w:r>
      <w:r w:rsidR="00282160" w:rsidRPr="003A58CF">
        <w:t>Loddon Mallee Regional Strategic Plan</w:t>
      </w:r>
      <w:r w:rsidR="007E2381">
        <w:t xml:space="preserve"> – Southern Region</w:t>
      </w:r>
      <w:r w:rsidR="00DE58DB" w:rsidRPr="003A58CF">
        <w:t xml:space="preserve"> 2010 </w:t>
      </w:r>
      <w:r w:rsidR="005D4B46" w:rsidRPr="003A58CF">
        <w:t>(</w:t>
      </w:r>
      <w:r w:rsidR="00337055" w:rsidRPr="003A58CF">
        <w:t>Strategic Plan</w:t>
      </w:r>
      <w:r w:rsidR="00283A2F" w:rsidRPr="003A58CF">
        <w:t xml:space="preserve"> 2010</w:t>
      </w:r>
      <w:r w:rsidR="00337055" w:rsidRPr="003A58CF">
        <w:t>)</w:t>
      </w:r>
      <w:r w:rsidR="005D4B46" w:rsidRPr="003A58CF">
        <w:t xml:space="preserve"> </w:t>
      </w:r>
      <w:r w:rsidR="00DE58DB" w:rsidRPr="003A58CF">
        <w:t xml:space="preserve">identifies the most important regional issues and presents a framework to work together as a region. The </w:t>
      </w:r>
      <w:r w:rsidR="00337055" w:rsidRPr="003A58CF">
        <w:t xml:space="preserve">Strategic Plan </w:t>
      </w:r>
      <w:r w:rsidR="00283A2F" w:rsidRPr="003A58CF">
        <w:t xml:space="preserve">2010 </w:t>
      </w:r>
      <w:r w:rsidR="00DE58DB" w:rsidRPr="003A58CF">
        <w:t xml:space="preserve">seeks to maximise opportunities and manage future growth and change in a way that strengthens </w:t>
      </w:r>
      <w:r w:rsidR="00337055" w:rsidRPr="003A58CF">
        <w:t xml:space="preserve">the regional </w:t>
      </w:r>
      <w:r w:rsidR="00DE58DB" w:rsidRPr="003A58CF">
        <w:t xml:space="preserve">economy, helps people to thrive and protects </w:t>
      </w:r>
      <w:r w:rsidR="00337055" w:rsidRPr="003A58CF">
        <w:t xml:space="preserve">the region’s </w:t>
      </w:r>
      <w:r w:rsidR="00DE58DB" w:rsidRPr="003A58CF">
        <w:t xml:space="preserve">rich natural and cultural heritage. </w:t>
      </w:r>
      <w:r w:rsidR="00337055" w:rsidRPr="003A58CF">
        <w:t xml:space="preserve">The Strategic Plan </w:t>
      </w:r>
      <w:r w:rsidR="00283A2F" w:rsidRPr="003A58CF">
        <w:t xml:space="preserve">2010 </w:t>
      </w:r>
      <w:r w:rsidR="00337055" w:rsidRPr="003A58CF">
        <w:t xml:space="preserve">and </w:t>
      </w:r>
      <w:r w:rsidR="00DE58DB" w:rsidRPr="003A58CF">
        <w:t xml:space="preserve">its subsequent updates underpin directions and initiatives in this </w:t>
      </w:r>
      <w:r w:rsidR="00141D36" w:rsidRPr="003A58CF">
        <w:t>plan</w:t>
      </w:r>
      <w:r w:rsidR="00DE58DB" w:rsidRPr="003A58CF">
        <w:t xml:space="preserve">. </w:t>
      </w:r>
    </w:p>
    <w:p w:rsidR="00DE58DB" w:rsidRPr="003A58CF" w:rsidRDefault="00DE58DB" w:rsidP="00854F5E">
      <w:pPr>
        <w:pStyle w:val="bt"/>
      </w:pPr>
      <w:r w:rsidRPr="003A58CF">
        <w:t xml:space="preserve">The strategic directions identified in the </w:t>
      </w:r>
      <w:r w:rsidR="00337055" w:rsidRPr="003A58CF">
        <w:t xml:space="preserve">Strategic Plan </w:t>
      </w:r>
      <w:r w:rsidR="00283A2F" w:rsidRPr="003A58CF">
        <w:t xml:space="preserve">2010 </w:t>
      </w:r>
      <w:r w:rsidRPr="003A58CF">
        <w:t xml:space="preserve">have been built </w:t>
      </w:r>
      <w:r w:rsidR="00337055" w:rsidRPr="003A58CF">
        <w:t xml:space="preserve">on </w:t>
      </w:r>
      <w:r w:rsidRPr="003A58CF">
        <w:t xml:space="preserve">to develop the vision and principles for this </w:t>
      </w:r>
      <w:r w:rsidR="003F429B" w:rsidRPr="003A58CF">
        <w:t xml:space="preserve">plan </w:t>
      </w:r>
      <w:r w:rsidRPr="003A58CF">
        <w:t xml:space="preserve">outlined in Part B. This </w:t>
      </w:r>
      <w:r w:rsidR="003F429B" w:rsidRPr="003A58CF">
        <w:t>plan</w:t>
      </w:r>
      <w:r w:rsidRPr="003A58CF">
        <w:t xml:space="preserve"> specifically delivers on </w:t>
      </w:r>
      <w:r w:rsidRPr="003A58CF">
        <w:rPr>
          <w:rStyle w:val="Strong"/>
          <w:sz w:val="22"/>
        </w:rPr>
        <w:t>Strategic Direction No.</w:t>
      </w:r>
      <w:r w:rsidR="00301761" w:rsidRPr="003A58CF">
        <w:rPr>
          <w:rStyle w:val="Strong"/>
          <w:sz w:val="22"/>
        </w:rPr>
        <w:t xml:space="preserve"> </w:t>
      </w:r>
      <w:r w:rsidRPr="003A58CF">
        <w:rPr>
          <w:rStyle w:val="Strong"/>
          <w:sz w:val="22"/>
        </w:rPr>
        <w:t>1</w:t>
      </w:r>
      <w:r w:rsidR="00AE37B2" w:rsidRPr="003A58CF">
        <w:rPr>
          <w:b/>
          <w:bCs/>
        </w:rPr>
        <w:t xml:space="preserve"> </w:t>
      </w:r>
      <w:r w:rsidR="00B7481F" w:rsidRPr="003A58CF">
        <w:rPr>
          <w:bCs/>
        </w:rPr>
        <w:t>of the</w:t>
      </w:r>
      <w:r w:rsidR="00337055" w:rsidRPr="003A58CF">
        <w:rPr>
          <w:bCs/>
        </w:rPr>
        <w:t xml:space="preserve"> Strategic Plan</w:t>
      </w:r>
      <w:r w:rsidR="00283A2F" w:rsidRPr="003A58CF">
        <w:rPr>
          <w:bCs/>
        </w:rPr>
        <w:t xml:space="preserve"> 2010</w:t>
      </w:r>
      <w:r w:rsidR="000952D4" w:rsidRPr="003A58CF">
        <w:rPr>
          <w:bCs/>
        </w:rPr>
        <w:t>,</w:t>
      </w:r>
      <w:r w:rsidRPr="003A58CF">
        <w:t xml:space="preserve"> </w:t>
      </w:r>
      <w:r w:rsidR="007C5E2F" w:rsidRPr="003A58CF">
        <w:t xml:space="preserve">to </w:t>
      </w:r>
      <w:r w:rsidR="00301761" w:rsidRPr="003A58CF">
        <w:t>“</w:t>
      </w:r>
      <w:r w:rsidR="007C5E2F" w:rsidRPr="003A58CF">
        <w:t>manage our population growth and settlements</w:t>
      </w:r>
      <w:r w:rsidR="00301761" w:rsidRPr="003A58CF">
        <w:t xml:space="preserve">” </w:t>
      </w:r>
      <w:r w:rsidR="007C5E2F" w:rsidRPr="003A58CF">
        <w:t xml:space="preserve">and Priority Action 1.1 </w:t>
      </w:r>
      <w:r w:rsidR="00301761" w:rsidRPr="003A58CF">
        <w:t>“</w:t>
      </w:r>
      <w:r w:rsidR="007C5E2F" w:rsidRPr="003A58CF">
        <w:t>Establish a Regional Settlement Framework that respects the amenity, functionality and connectedness of existing cities and towns, and accommodates growth accordingly</w:t>
      </w:r>
      <w:r w:rsidR="00301761" w:rsidRPr="003A58CF">
        <w:t>”</w:t>
      </w:r>
      <w:r w:rsidR="009A2979" w:rsidRPr="003A58CF">
        <w:rPr>
          <w:rStyle w:val="FootnoteReference"/>
          <w:rFonts w:asciiTheme="minorHAnsi" w:hAnsiTheme="minorHAnsi" w:cstheme="minorHAnsi"/>
          <w:sz w:val="22"/>
          <w:szCs w:val="22"/>
        </w:rPr>
        <w:footnoteReference w:id="1"/>
      </w:r>
      <w:r w:rsidR="00301761" w:rsidRPr="003A58CF">
        <w:t>.</w:t>
      </w:r>
      <w:r w:rsidR="007C5E2F" w:rsidRPr="003A58CF">
        <w:t xml:space="preserve"> </w:t>
      </w:r>
      <w:r w:rsidRPr="003A58CF">
        <w:t xml:space="preserve">The </w:t>
      </w:r>
      <w:r w:rsidR="005D4B46" w:rsidRPr="003A58CF">
        <w:t>R</w:t>
      </w:r>
      <w:r w:rsidR="00337055" w:rsidRPr="003A58CF">
        <w:t xml:space="preserve">egional Strategic Plan </w:t>
      </w:r>
      <w:r w:rsidRPr="003A58CF">
        <w:t>Annual Report 2011</w:t>
      </w:r>
      <w:r w:rsidR="00337055" w:rsidRPr="003A58CF">
        <w:t>–</w:t>
      </w:r>
      <w:r w:rsidRPr="003A58CF">
        <w:t xml:space="preserve">12 outlines further work that has occurred in the region to </w:t>
      </w:r>
      <w:r w:rsidR="0018666D" w:rsidRPr="003A58CF">
        <w:t xml:space="preserve">underpin the strategic directions and actions. </w:t>
      </w:r>
    </w:p>
    <w:p w:rsidR="00DE58DB" w:rsidRPr="003A58CF" w:rsidRDefault="0018666D" w:rsidP="00854F5E">
      <w:pPr>
        <w:pStyle w:val="bt"/>
      </w:pPr>
      <w:r w:rsidRPr="003A58CF">
        <w:t xml:space="preserve">Regional </w:t>
      </w:r>
      <w:r w:rsidR="00C34A61" w:rsidRPr="003A58CF">
        <w:t xml:space="preserve">growth plans </w:t>
      </w:r>
      <w:r w:rsidRPr="003A58CF">
        <w:t xml:space="preserve">are the next stage in planning for growth and change in regional Victoria. They have been developed in a partnership between local government and state agencies and authorities. Regional </w:t>
      </w:r>
      <w:r w:rsidR="00C34A61" w:rsidRPr="003A58CF">
        <w:t xml:space="preserve">growth plans </w:t>
      </w:r>
      <w:r w:rsidRPr="003A58CF">
        <w:t>reflect state and local government objectives.</w:t>
      </w:r>
    </w:p>
    <w:p w:rsidR="001F16ED" w:rsidRPr="003A58CF" w:rsidRDefault="00C34A61" w:rsidP="00854F5E">
      <w:pPr>
        <w:pStyle w:val="bt"/>
      </w:pPr>
      <w:r w:rsidRPr="003A58CF">
        <w:t>This plan will</w:t>
      </w:r>
      <w:r w:rsidR="0018666D" w:rsidRPr="003A58CF">
        <w:t xml:space="preserve"> provide a long-term view of the region to 2041 and beyond, allowing for some short-term actions, and providing long-term strategic land use direction.</w:t>
      </w:r>
      <w:bookmarkStart w:id="17" w:name="_Ref352069115"/>
    </w:p>
    <w:p w:rsidR="003D7F8F" w:rsidRDefault="001F16ED" w:rsidP="00854F5E">
      <w:pPr>
        <w:pStyle w:val="bt"/>
      </w:pPr>
      <w:r w:rsidRPr="003A58CF">
        <w:t>This plan will provide high level guidance for land use planning at the local level and inform the decision</w:t>
      </w:r>
      <w:r w:rsidR="00301761" w:rsidRPr="003A58CF">
        <w:t xml:space="preserve"> </w:t>
      </w:r>
      <w:r w:rsidRPr="003A58CF">
        <w:t xml:space="preserve">making of a range of agencies regarding future </w:t>
      </w:r>
      <w:r w:rsidR="00C34A61" w:rsidRPr="003A58CF">
        <w:t>planning and investment</w:t>
      </w:r>
      <w:r w:rsidRPr="003A58CF">
        <w:t xml:space="preserve"> in the region. Detailed direction on </w:t>
      </w:r>
      <w:r w:rsidRPr="003A58CF">
        <w:lastRenderedPageBreak/>
        <w:t xml:space="preserve">local issues will </w:t>
      </w:r>
      <w:r w:rsidR="00C34A61" w:rsidRPr="003A58CF">
        <w:t xml:space="preserve">continue </w:t>
      </w:r>
      <w:r w:rsidR="00681299" w:rsidRPr="003A58CF">
        <w:t xml:space="preserve">to </w:t>
      </w:r>
      <w:r w:rsidRPr="003A58CF">
        <w:t xml:space="preserve">be provided through subsequent local planning processes such as structure plans, growth framework plans and amendments to planning schemes </w:t>
      </w:r>
      <w:r w:rsidR="00C34A61" w:rsidRPr="003A58CF">
        <w:t>as shown in the following table.</w:t>
      </w:r>
    </w:p>
    <w:p w:rsidR="008F163E" w:rsidRPr="004809DF" w:rsidRDefault="008F163E" w:rsidP="00C50E1E">
      <w:pPr>
        <w:pStyle w:val="Caption"/>
      </w:pPr>
      <w:bookmarkStart w:id="18" w:name="_Toc373757215"/>
      <w:r w:rsidRPr="004809DF">
        <w:t xml:space="preserve">Table </w:t>
      </w:r>
      <w:r w:rsidR="00F06CD8">
        <w:fldChar w:fldCharType="begin"/>
      </w:r>
      <w:r w:rsidR="00C22A5B">
        <w:instrText xml:space="preserve"> SEQ Table \* ARABIC </w:instrText>
      </w:r>
      <w:r w:rsidR="00F06CD8">
        <w:fldChar w:fldCharType="separate"/>
      </w:r>
      <w:r w:rsidR="006707B1">
        <w:t>1</w:t>
      </w:r>
      <w:r w:rsidR="00F06CD8">
        <w:fldChar w:fldCharType="end"/>
      </w:r>
      <w:r w:rsidR="00E309E3">
        <w:t xml:space="preserve">: </w:t>
      </w:r>
      <w:r w:rsidRPr="00C50E1E">
        <w:rPr>
          <w:b w:val="0"/>
        </w:rPr>
        <w:t xml:space="preserve">Planning </w:t>
      </w:r>
      <w:r w:rsidR="00301761" w:rsidRPr="00C50E1E">
        <w:rPr>
          <w:b w:val="0"/>
        </w:rPr>
        <w:t>framework context</w:t>
      </w:r>
      <w:bookmarkEnd w:id="18"/>
    </w:p>
    <w:p w:rsidR="00456CCE" w:rsidRPr="00456CCE" w:rsidRDefault="00456CCE" w:rsidP="00456CCE">
      <w:pPr>
        <w:pStyle w:val="bt"/>
        <w:rPr>
          <w:rStyle w:val="Strong"/>
        </w:rPr>
      </w:pPr>
      <w:r w:rsidRPr="00456CCE">
        <w:rPr>
          <w:rStyle w:val="Strong"/>
        </w:rPr>
        <w:t>Regional planning</w:t>
      </w:r>
    </w:p>
    <w:p w:rsidR="00456CCE" w:rsidRDefault="00456CCE" w:rsidP="00456CCE">
      <w:pPr>
        <w:pStyle w:val="bt"/>
      </w:pPr>
      <w:r w:rsidRPr="00456CCE">
        <w:t xml:space="preserve">Regional strategic </w:t>
      </w:r>
      <w:r w:rsidR="00660EAB">
        <w:t>p</w:t>
      </w:r>
      <w:r>
        <w:t>lan</w:t>
      </w:r>
      <w:r w:rsidR="00660EAB">
        <w:t>s</w:t>
      </w:r>
      <w:r>
        <w:t xml:space="preserve"> -</w:t>
      </w:r>
      <w:r w:rsidRPr="00456CCE">
        <w:t xml:space="preserve"> shorter- to medium-term priorities and directions for regions</w:t>
      </w:r>
    </w:p>
    <w:p w:rsidR="00456CCE" w:rsidRDefault="00456CCE" w:rsidP="00456CCE">
      <w:pPr>
        <w:pStyle w:val="bt"/>
        <w:rPr>
          <w:szCs w:val="22"/>
        </w:rPr>
      </w:pPr>
      <w:r w:rsidRPr="00456CCE">
        <w:rPr>
          <w:szCs w:val="22"/>
        </w:rPr>
        <w:t>Regional growth plans</w:t>
      </w:r>
      <w:r>
        <w:rPr>
          <w:szCs w:val="22"/>
        </w:rPr>
        <w:t xml:space="preserve"> - l</w:t>
      </w:r>
      <w:r w:rsidRPr="00456CCE">
        <w:rPr>
          <w:szCs w:val="22"/>
        </w:rPr>
        <w:t>ong-term strategic direction for land use planning for regions</w:t>
      </w:r>
    </w:p>
    <w:p w:rsidR="00456CCE" w:rsidRPr="00456CCE" w:rsidRDefault="00456CCE" w:rsidP="00456CCE">
      <w:pPr>
        <w:pStyle w:val="bt"/>
        <w:rPr>
          <w:rStyle w:val="Strong"/>
        </w:rPr>
      </w:pPr>
      <w:r w:rsidRPr="00456CCE">
        <w:rPr>
          <w:rStyle w:val="Strong"/>
        </w:rPr>
        <w:t>Local planning</w:t>
      </w:r>
    </w:p>
    <w:p w:rsidR="00456CCE" w:rsidRDefault="00456CCE" w:rsidP="00456CCE">
      <w:pPr>
        <w:pStyle w:val="bt"/>
        <w:rPr>
          <w:szCs w:val="22"/>
        </w:rPr>
      </w:pPr>
      <w:r w:rsidRPr="00456CCE">
        <w:rPr>
          <w:szCs w:val="22"/>
        </w:rPr>
        <w:t>Council plans</w:t>
      </w:r>
      <w:r>
        <w:rPr>
          <w:szCs w:val="22"/>
        </w:rPr>
        <w:t xml:space="preserve"> - s</w:t>
      </w:r>
      <w:r w:rsidRPr="00456CCE">
        <w:rPr>
          <w:szCs w:val="22"/>
        </w:rPr>
        <w:t>horter- to medium-term priorities and actions for councils</w:t>
      </w:r>
    </w:p>
    <w:p w:rsidR="00456CCE" w:rsidRPr="00456CCE" w:rsidRDefault="00456CCE" w:rsidP="00456CCE">
      <w:pPr>
        <w:pStyle w:val="bt"/>
      </w:pPr>
      <w:r w:rsidRPr="003A58CF">
        <w:t>Municipal Strategic Statements</w:t>
      </w:r>
      <w:r>
        <w:t xml:space="preserve"> - l</w:t>
      </w:r>
      <w:r w:rsidRPr="003A58CF">
        <w:t>ong-term strategic direction for land use planning for councils</w:t>
      </w:r>
    </w:p>
    <w:p w:rsidR="00061E40" w:rsidRDefault="001F16ED" w:rsidP="00061E40">
      <w:pPr>
        <w:pStyle w:val="bt"/>
      </w:pPr>
      <w:r w:rsidRPr="003A58CF">
        <w:t xml:space="preserve">A Localised Planning Statement is being prepared for the Macedon Ranges to provide the basis for state recognition of the valued attributes of the area. </w:t>
      </w:r>
      <w:r w:rsidR="00681299" w:rsidRPr="003A58CF">
        <w:t>T</w:t>
      </w:r>
      <w:r w:rsidRPr="003A58CF">
        <w:t>his regional growth plan will provide broad strategic direction for land use in</w:t>
      </w:r>
      <w:r w:rsidR="00BC30D9" w:rsidRPr="003A58CF">
        <w:t xml:space="preserve"> </w:t>
      </w:r>
      <w:r w:rsidR="008224F4" w:rsidRPr="003A58CF">
        <w:t>the</w:t>
      </w:r>
      <w:r w:rsidRPr="003A58CF">
        <w:t xml:space="preserve"> Macedon Ranges Shire</w:t>
      </w:r>
      <w:r w:rsidR="001C5DD0" w:rsidRPr="003A58CF">
        <w:t>.</w:t>
      </w:r>
      <w:r w:rsidR="00681299" w:rsidRPr="003A58CF">
        <w:t xml:space="preserve"> The Localised Planning Statement will provide the basis for greater recognition and protection for the area and supplement the more general state level strategies and policies.</w:t>
      </w:r>
      <w:bookmarkStart w:id="19" w:name="_Toc373757222"/>
    </w:p>
    <w:p w:rsidR="00325C07" w:rsidRPr="00C50E1E" w:rsidRDefault="00B4538A" w:rsidP="00061E40">
      <w:pPr>
        <w:pStyle w:val="bt"/>
      </w:pPr>
      <w:r w:rsidRPr="00C50E1E">
        <w:t xml:space="preserve">Map </w:t>
      </w:r>
      <w:bookmarkEnd w:id="17"/>
      <w:r w:rsidR="00993A78">
        <w:t>2</w:t>
      </w:r>
      <w:r w:rsidR="00061E40" w:rsidRPr="00061E40">
        <w:t xml:space="preserve"> </w:t>
      </w:r>
      <w:r w:rsidR="00061E40">
        <w:t>is located here in the document and it shows -</w:t>
      </w:r>
      <w:r w:rsidR="00E309E3" w:rsidRPr="00C50E1E">
        <w:t xml:space="preserve"> </w:t>
      </w:r>
      <w:r w:rsidR="00A07102" w:rsidRPr="00C50E1E">
        <w:t xml:space="preserve">The </w:t>
      </w:r>
      <w:r w:rsidR="00061E40">
        <w:t xml:space="preserve">area covered by the </w:t>
      </w:r>
      <w:r w:rsidR="00A07102" w:rsidRPr="00C50E1E">
        <w:t>eight regional growth plans</w:t>
      </w:r>
      <w:bookmarkEnd w:id="19"/>
    </w:p>
    <w:p w:rsidR="009755B8" w:rsidRPr="003B4400" w:rsidRDefault="009755B8" w:rsidP="003B4400">
      <w:pPr>
        <w:pStyle w:val="Heading11"/>
      </w:pPr>
      <w:bookmarkStart w:id="20" w:name="_Toc364411061"/>
      <w:bookmarkStart w:id="21" w:name="_Toc377026321"/>
      <w:r w:rsidRPr="003B4400">
        <w:t>Why we need this plan</w:t>
      </w:r>
      <w:bookmarkEnd w:id="20"/>
      <w:bookmarkEnd w:id="21"/>
    </w:p>
    <w:p w:rsidR="00135CA1" w:rsidRPr="003A58CF" w:rsidRDefault="00DE58DB" w:rsidP="00854F5E">
      <w:pPr>
        <w:pStyle w:val="bt"/>
      </w:pPr>
      <w:r w:rsidRPr="003A58CF">
        <w:t xml:space="preserve">The </w:t>
      </w:r>
      <w:r w:rsidR="00C71F1B" w:rsidRPr="003A58CF">
        <w:t xml:space="preserve">regional growth plans </w:t>
      </w:r>
      <w:r w:rsidRPr="003A58CF">
        <w:t>translate and integrate emerging statewide regional land use planning policy. They provide the basis for regional coordination and future planning of infrastructure to support regional land use objectives.</w:t>
      </w:r>
    </w:p>
    <w:p w:rsidR="00135CA1" w:rsidRPr="003A58CF" w:rsidRDefault="00DE58DB" w:rsidP="00854F5E">
      <w:pPr>
        <w:pStyle w:val="bt"/>
      </w:pPr>
      <w:r w:rsidRPr="003A58CF">
        <w:t xml:space="preserve">The </w:t>
      </w:r>
      <w:r w:rsidR="00A41935" w:rsidRPr="003A58CF">
        <w:t>Loddon Mallee South Regional Growth Plan</w:t>
      </w:r>
      <w:r w:rsidRPr="003A58CF">
        <w:t>:</w:t>
      </w:r>
    </w:p>
    <w:p w:rsidR="002D2356" w:rsidRPr="00B82D81" w:rsidRDefault="00DE58DB" w:rsidP="00B82D81">
      <w:pPr>
        <w:pStyle w:val="btbullet"/>
      </w:pPr>
      <w:r w:rsidRPr="00B82D81">
        <w:t>establish</w:t>
      </w:r>
      <w:r w:rsidR="007E2381" w:rsidRPr="00B82D81">
        <w:t>es</w:t>
      </w:r>
      <w:r w:rsidRPr="00B82D81">
        <w:t xml:space="preserve"> a framework for strategic land use and settlement planning that can accommodate growth</w:t>
      </w:r>
      <w:r w:rsidR="00D22F23" w:rsidRPr="00B82D81">
        <w:t xml:space="preserve"> within </w:t>
      </w:r>
      <w:r w:rsidR="007E5DCA" w:rsidRPr="00B82D81">
        <w:t>ecologically</w:t>
      </w:r>
      <w:r w:rsidR="00D22F23" w:rsidRPr="00B82D81">
        <w:t xml:space="preserve"> sustainable development principles</w:t>
      </w:r>
    </w:p>
    <w:p w:rsidR="002D2356" w:rsidRPr="00B82D81" w:rsidRDefault="00DE58DB" w:rsidP="00B82D81">
      <w:pPr>
        <w:pStyle w:val="btbullet"/>
      </w:pPr>
      <w:r w:rsidRPr="00B82D81">
        <w:t>identif</w:t>
      </w:r>
      <w:r w:rsidR="007E2381" w:rsidRPr="00B82D81">
        <w:t>ies</w:t>
      </w:r>
      <w:r w:rsidRPr="00B82D81">
        <w:t xml:space="preserve"> important economic, environmental, social and cultural resources to be preserved, maintained or developed</w:t>
      </w:r>
    </w:p>
    <w:p w:rsidR="002D2356" w:rsidRPr="00B82D81" w:rsidRDefault="00DE58DB" w:rsidP="00B82D81">
      <w:pPr>
        <w:pStyle w:val="btbullet"/>
      </w:pPr>
      <w:r w:rsidRPr="00B82D81">
        <w:t>provide</w:t>
      </w:r>
      <w:r w:rsidR="007E2381" w:rsidRPr="00B82D81">
        <w:t>s</w:t>
      </w:r>
      <w:r w:rsidRPr="00B82D81">
        <w:t xml:space="preserve"> direction for accommodating growth and change including residential, employment, industrial, commercial, agriculture and other rural activities</w:t>
      </w:r>
    </w:p>
    <w:p w:rsidR="002D2356" w:rsidRPr="00B82D81" w:rsidRDefault="00FB60AD" w:rsidP="00B82D81">
      <w:pPr>
        <w:pStyle w:val="btbullet"/>
      </w:pPr>
      <w:r w:rsidRPr="00B82D81">
        <w:t>show</w:t>
      </w:r>
      <w:r w:rsidR="007E2381" w:rsidRPr="00B82D81">
        <w:t>s</w:t>
      </w:r>
      <w:r w:rsidRPr="00B82D81">
        <w:t xml:space="preserve"> which areas of land can accommodate growth and which are to be maintained</w:t>
      </w:r>
      <w:r w:rsidR="00CC07BD" w:rsidRPr="00B82D81">
        <w:t xml:space="preserve"> for other uses</w:t>
      </w:r>
    </w:p>
    <w:p w:rsidR="002D2356" w:rsidRPr="00B82D81" w:rsidRDefault="00FB60AD" w:rsidP="00B82D81">
      <w:pPr>
        <w:pStyle w:val="btbullet"/>
      </w:pPr>
      <w:r w:rsidRPr="00B82D81">
        <w:t>identif</w:t>
      </w:r>
      <w:r w:rsidR="007E2381" w:rsidRPr="00B82D81">
        <w:t>ies</w:t>
      </w:r>
      <w:r w:rsidRPr="00B82D81">
        <w:t xml:space="preserve"> opportunities for supporting regional level infrastructure, providing an essential contribution to the long-term sustainability of the region.</w:t>
      </w:r>
    </w:p>
    <w:p w:rsidR="00135CA1" w:rsidRPr="00FF4191" w:rsidRDefault="00FB60AD" w:rsidP="000A3F4B">
      <w:pPr>
        <w:pStyle w:val="bt"/>
      </w:pPr>
      <w:r w:rsidRPr="000A3F4B">
        <w:t xml:space="preserve">The </w:t>
      </w:r>
      <w:r w:rsidR="00C71F1B" w:rsidRPr="000A3F4B">
        <w:t xml:space="preserve">plan </w:t>
      </w:r>
      <w:r w:rsidRPr="000A3F4B">
        <w:t xml:space="preserve">will help councils by streamlining planning policy and potentially reducing the strategic </w:t>
      </w:r>
      <w:r w:rsidRPr="00FF4191">
        <w:t>workload of councils. It will also contribute to broader regional goals.</w:t>
      </w:r>
    </w:p>
    <w:p w:rsidR="008224F4" w:rsidRPr="003A58CF" w:rsidRDefault="00FB60AD" w:rsidP="00854F5E">
      <w:pPr>
        <w:pStyle w:val="bt"/>
      </w:pPr>
      <w:r w:rsidRPr="003A58CF">
        <w:t>It provide</w:t>
      </w:r>
      <w:r w:rsidR="007E2381">
        <w:t>s</w:t>
      </w:r>
      <w:r w:rsidRPr="003A58CF">
        <w:t xml:space="preserve"> a regional strategic land use framework for growth and change. It is a strategic direction-setting document that identifies long-term land uses and growth objectives. </w:t>
      </w:r>
    </w:p>
    <w:p w:rsidR="00135CA1" w:rsidRPr="003A58CF" w:rsidRDefault="008224F4" w:rsidP="00854F5E">
      <w:pPr>
        <w:pStyle w:val="bt"/>
      </w:pPr>
      <w:r w:rsidRPr="003A58CF">
        <w:t xml:space="preserve">This plan </w:t>
      </w:r>
      <w:r w:rsidR="00FB60AD" w:rsidRPr="003A58CF">
        <w:t xml:space="preserve">is not intended to be </w:t>
      </w:r>
      <w:r w:rsidR="00FC1562" w:rsidRPr="003A58CF">
        <w:t xml:space="preserve">used </w:t>
      </w:r>
      <w:r w:rsidR="00FB60AD" w:rsidRPr="003A58CF">
        <w:t xml:space="preserve">at a level where service planning or specific unquantified infrastructure could be committed. This </w:t>
      </w:r>
      <w:r w:rsidR="00C71F1B" w:rsidRPr="003A58CF">
        <w:t xml:space="preserve">plan </w:t>
      </w:r>
      <w:r w:rsidR="00FB60AD" w:rsidRPr="003A58CF">
        <w:t>will guide infrastructure decisions and provide priority for further investigations of regionally</w:t>
      </w:r>
      <w:r w:rsidR="00FC1562" w:rsidRPr="003A58CF">
        <w:t xml:space="preserve"> </w:t>
      </w:r>
      <w:r w:rsidR="00FB60AD" w:rsidRPr="003A58CF">
        <w:t>significant infrastructure.</w:t>
      </w:r>
      <w:r w:rsidRPr="003A58CF">
        <w:t xml:space="preserve"> </w:t>
      </w:r>
      <w:r w:rsidR="00FB60AD" w:rsidRPr="003A58CF">
        <w:t xml:space="preserve">Site-specific development proposals and processes are also outside the scope of the </w:t>
      </w:r>
      <w:r w:rsidR="00C71F1B" w:rsidRPr="003A58CF">
        <w:t>plan</w:t>
      </w:r>
      <w:r w:rsidR="00FB60AD" w:rsidRPr="003A58CF">
        <w:t xml:space="preserve">. </w:t>
      </w:r>
    </w:p>
    <w:p w:rsidR="00BC30D9" w:rsidRPr="003A58CF" w:rsidRDefault="00FB60AD" w:rsidP="00854F5E">
      <w:pPr>
        <w:pStyle w:val="bt"/>
      </w:pPr>
      <w:r w:rsidRPr="003A58CF">
        <w:lastRenderedPageBreak/>
        <w:t xml:space="preserve">The </w:t>
      </w:r>
      <w:r w:rsidR="00C71F1B" w:rsidRPr="003A58CF">
        <w:t xml:space="preserve">plan </w:t>
      </w:r>
      <w:r w:rsidRPr="003A58CF">
        <w:t>will provide solutions to common issues across the Loddon Mallee South region but will not reduce attention to local issues or replace local planning</w:t>
      </w:r>
      <w:r w:rsidR="0098290C" w:rsidRPr="003A58CF">
        <w:t>, for example,</w:t>
      </w:r>
      <w:r w:rsidR="00515374" w:rsidRPr="003A58CF">
        <w:t xml:space="preserve"> </w:t>
      </w:r>
      <w:r w:rsidR="00DE58DB" w:rsidRPr="003A58CF">
        <w:t>identification of future industrial and other employment locations</w:t>
      </w:r>
      <w:r w:rsidR="00FC1562" w:rsidRPr="003A58CF">
        <w:t>,</w:t>
      </w:r>
      <w:r w:rsidR="00DE58DB" w:rsidRPr="003A58CF">
        <w:t xml:space="preserve"> or consistent regional approaches to matters such as planning for key resources, waste, tourism and heritage.</w:t>
      </w:r>
    </w:p>
    <w:p w:rsidR="00DE58DB" w:rsidRPr="00854F5E" w:rsidRDefault="00DE58DB" w:rsidP="00FF4191">
      <w:pPr>
        <w:pStyle w:val="Heading11"/>
      </w:pPr>
      <w:bookmarkStart w:id="22" w:name="_Toc336871210"/>
      <w:bookmarkStart w:id="23" w:name="_Toc377026322"/>
      <w:r w:rsidRPr="00854F5E">
        <w:t xml:space="preserve">How this </w:t>
      </w:r>
      <w:r w:rsidR="00C71F1B" w:rsidRPr="00854F5E">
        <w:t xml:space="preserve">plan </w:t>
      </w:r>
      <w:r w:rsidRPr="00854F5E">
        <w:t>will be used</w:t>
      </w:r>
      <w:bookmarkEnd w:id="22"/>
      <w:bookmarkEnd w:id="23"/>
    </w:p>
    <w:p w:rsidR="00135CA1" w:rsidRPr="003A58CF" w:rsidRDefault="00DE58DB" w:rsidP="00854F5E">
      <w:pPr>
        <w:pStyle w:val="bt"/>
      </w:pPr>
      <w:r w:rsidRPr="003A58CF">
        <w:t xml:space="preserve">The key land use planning directions of </w:t>
      </w:r>
      <w:r w:rsidR="0098290C" w:rsidRPr="003A58CF">
        <w:t>this</w:t>
      </w:r>
      <w:r w:rsidR="00A41935" w:rsidRPr="003A58CF">
        <w:t xml:space="preserve"> </w:t>
      </w:r>
      <w:r w:rsidR="00C71F1B" w:rsidRPr="003A58CF">
        <w:t xml:space="preserve">plan </w:t>
      </w:r>
      <w:r w:rsidRPr="003A58CF">
        <w:t xml:space="preserve">will be implemented through the </w:t>
      </w:r>
      <w:r w:rsidR="00C71F1B" w:rsidRPr="003A58CF">
        <w:t xml:space="preserve">state </w:t>
      </w:r>
      <w:r w:rsidR="00515374" w:rsidRPr="003A58CF">
        <w:t>p</w:t>
      </w:r>
      <w:r w:rsidRPr="003A58CF">
        <w:t>lanning system as it is applied by each council in the Loddon Mallee South region. This will support decision</w:t>
      </w:r>
      <w:r w:rsidR="00A10F68" w:rsidRPr="003A58CF">
        <w:t xml:space="preserve"> </w:t>
      </w:r>
      <w:r w:rsidRPr="003A58CF">
        <w:t>making at a local level.</w:t>
      </w:r>
    </w:p>
    <w:p w:rsidR="00135CA1" w:rsidRPr="003A58CF" w:rsidRDefault="00DE58DB" w:rsidP="00854F5E">
      <w:pPr>
        <w:pStyle w:val="bt"/>
      </w:pPr>
      <w:r w:rsidRPr="003A58CF">
        <w:t xml:space="preserve">Implementation will occur in a number of ways, such as further specific amendments to planning schemes, preparation of infrastructure plans, land supply monitoring and other projects. </w:t>
      </w:r>
    </w:p>
    <w:p w:rsidR="00135CA1" w:rsidRPr="003A58CF" w:rsidRDefault="00DE58DB" w:rsidP="00854F5E">
      <w:pPr>
        <w:pStyle w:val="bt"/>
      </w:pPr>
      <w:r w:rsidRPr="003A58CF">
        <w:t xml:space="preserve">The </w:t>
      </w:r>
      <w:r w:rsidR="00C71F1B" w:rsidRPr="003A58CF">
        <w:t xml:space="preserve">plan </w:t>
      </w:r>
      <w:r w:rsidRPr="003A58CF">
        <w:t>will be used to guide and inform future land use planning work across the Loddon Mallee South region, including subsequent reviews of each council’s Municipal Strategic Statement</w:t>
      </w:r>
      <w:r w:rsidR="00BC30D9" w:rsidRPr="003A58CF">
        <w:t>.</w:t>
      </w:r>
    </w:p>
    <w:p w:rsidR="00135CA1" w:rsidRPr="003A58CF" w:rsidRDefault="00120C92" w:rsidP="00854F5E">
      <w:pPr>
        <w:pStyle w:val="bt"/>
      </w:pPr>
      <w:r w:rsidRPr="003A58CF">
        <w:t xml:space="preserve">The </w:t>
      </w:r>
      <w:r w:rsidR="0098290C" w:rsidRPr="003A58CF">
        <w:t xml:space="preserve">future </w:t>
      </w:r>
      <w:r w:rsidR="00515374" w:rsidRPr="003A58CF">
        <w:t>l</w:t>
      </w:r>
      <w:r w:rsidRPr="003A58CF">
        <w:t xml:space="preserve">and </w:t>
      </w:r>
      <w:r w:rsidR="00515374" w:rsidRPr="003A58CF">
        <w:t>u</w:t>
      </w:r>
      <w:r w:rsidRPr="003A58CF">
        <w:t xml:space="preserve">se </w:t>
      </w:r>
      <w:r w:rsidR="00515374" w:rsidRPr="003A58CF">
        <w:t>d</w:t>
      </w:r>
      <w:r w:rsidRPr="003A58CF">
        <w:t xml:space="preserve">irections in this </w:t>
      </w:r>
      <w:r w:rsidR="00C71F1B" w:rsidRPr="003A58CF">
        <w:t xml:space="preserve">plan </w:t>
      </w:r>
      <w:r w:rsidRPr="003A58CF">
        <w:t xml:space="preserve">should be taken into consideration in planning decisions. </w:t>
      </w:r>
    </w:p>
    <w:p w:rsidR="00DE58DB" w:rsidRPr="00854F5E" w:rsidRDefault="00DE58DB" w:rsidP="00FF4191">
      <w:pPr>
        <w:pStyle w:val="Heading11"/>
      </w:pPr>
      <w:bookmarkStart w:id="24" w:name="_Toc377026323"/>
      <w:r w:rsidRPr="00854F5E">
        <w:t xml:space="preserve">How the </w:t>
      </w:r>
      <w:r w:rsidR="003F429B" w:rsidRPr="00854F5E">
        <w:t>plan</w:t>
      </w:r>
      <w:r w:rsidRPr="00854F5E">
        <w:t xml:space="preserve"> was prepared</w:t>
      </w:r>
      <w:bookmarkEnd w:id="24"/>
    </w:p>
    <w:p w:rsidR="00135CA1" w:rsidRPr="003A58CF" w:rsidRDefault="0098290C" w:rsidP="00854F5E">
      <w:pPr>
        <w:pStyle w:val="bt"/>
      </w:pPr>
      <w:r w:rsidRPr="003A58CF">
        <w:t>This</w:t>
      </w:r>
      <w:r w:rsidR="00DE58DB" w:rsidRPr="003A58CF">
        <w:t xml:space="preserve"> </w:t>
      </w:r>
      <w:r w:rsidR="00C71F1B" w:rsidRPr="003A58CF">
        <w:t xml:space="preserve">plan </w:t>
      </w:r>
      <w:r w:rsidR="00DE58DB" w:rsidRPr="003A58CF">
        <w:t xml:space="preserve">has been developed through </w:t>
      </w:r>
      <w:r w:rsidR="00C71F1B" w:rsidRPr="003A58CF">
        <w:t>research and analysis of</w:t>
      </w:r>
      <w:r w:rsidR="00DE58DB" w:rsidRPr="003A58CF">
        <w:t xml:space="preserve"> information provided by all partners in the process</w:t>
      </w:r>
      <w:r w:rsidR="00A9398F" w:rsidRPr="003A58CF">
        <w:t xml:space="preserve"> and regional workshops to develop the plan’s strategic directions</w:t>
      </w:r>
      <w:r w:rsidR="00DE58DB" w:rsidRPr="003A58CF">
        <w:t>.</w:t>
      </w:r>
      <w:r w:rsidR="00A9398F" w:rsidRPr="003A58CF">
        <w:t xml:space="preserve"> A draft plan was published and made available for public comment in April and May 2013. </w:t>
      </w:r>
      <w:r w:rsidR="00F50B33">
        <w:t>Feedback from the consultations has informed the final regional growth plan and background report</w:t>
      </w:r>
      <w:r w:rsidR="00CC07BD" w:rsidRPr="003A58CF">
        <w:t xml:space="preserve">. </w:t>
      </w:r>
      <w:r w:rsidR="00AE37B2" w:rsidRPr="003A58CF">
        <w:t xml:space="preserve">A </w:t>
      </w:r>
      <w:r w:rsidR="00C71F1B" w:rsidRPr="003A58CF">
        <w:t xml:space="preserve">background report </w:t>
      </w:r>
      <w:r w:rsidR="00CC07BD" w:rsidRPr="003A58CF">
        <w:t xml:space="preserve">contains more detailed information and justification related to the contents of the </w:t>
      </w:r>
      <w:r w:rsidR="00C71F1B" w:rsidRPr="003A58CF">
        <w:t>p</w:t>
      </w:r>
      <w:r w:rsidR="00CC07BD" w:rsidRPr="003A58CF">
        <w:t xml:space="preserve">lan. </w:t>
      </w:r>
    </w:p>
    <w:p w:rsidR="00135CA1" w:rsidRPr="003A58CF" w:rsidRDefault="00A41935" w:rsidP="00854F5E">
      <w:pPr>
        <w:pStyle w:val="bt"/>
      </w:pPr>
      <w:r w:rsidRPr="003A58CF">
        <w:t xml:space="preserve">The </w:t>
      </w:r>
      <w:r w:rsidR="007E5DCA" w:rsidRPr="003A58CF">
        <w:t xml:space="preserve">plan </w:t>
      </w:r>
      <w:r w:rsidR="00DE58DB" w:rsidRPr="003A58CF">
        <w:t xml:space="preserve">has been prepared through a partnership approach to regional planning across five municipalities </w:t>
      </w:r>
      <w:r w:rsidR="007E2381">
        <w:t xml:space="preserve">and </w:t>
      </w:r>
      <w:r w:rsidR="00C71F1B" w:rsidRPr="003A58CF">
        <w:t xml:space="preserve">state government </w:t>
      </w:r>
      <w:r w:rsidR="00DE58DB" w:rsidRPr="003A58CF">
        <w:t xml:space="preserve">departments and agencies, </w:t>
      </w:r>
      <w:r w:rsidR="007E2381">
        <w:t xml:space="preserve">including the </w:t>
      </w:r>
      <w:r w:rsidR="000E1A43" w:rsidRPr="003A58CF">
        <w:t>Department of Transport, Planning and Local Infrastructure</w:t>
      </w:r>
      <w:r w:rsidR="00CC07BD" w:rsidRPr="003A58CF">
        <w:t>, Regional Development Victoria, the Department of Environment and Primary Industries</w:t>
      </w:r>
      <w:r w:rsidR="00851495" w:rsidRPr="003A58CF">
        <w:t>,</w:t>
      </w:r>
      <w:r w:rsidR="00DE58DB" w:rsidRPr="003A58CF">
        <w:t xml:space="preserve"> VicRoads and</w:t>
      </w:r>
      <w:r w:rsidR="00B743C4" w:rsidRPr="003A58CF">
        <w:t xml:space="preserve"> the North Central Catchment Management Authority</w:t>
      </w:r>
      <w:r w:rsidR="00DE58DB" w:rsidRPr="003A58CF">
        <w:t xml:space="preserve">. </w:t>
      </w:r>
    </w:p>
    <w:p w:rsidR="00135CA1" w:rsidRPr="003A58CF" w:rsidRDefault="00DE58DB" w:rsidP="00854F5E">
      <w:pPr>
        <w:pStyle w:val="bt"/>
      </w:pPr>
      <w:r w:rsidRPr="003A58CF">
        <w:t xml:space="preserve">The </w:t>
      </w:r>
      <w:r w:rsidR="00C71F1B" w:rsidRPr="003A58CF">
        <w:t xml:space="preserve">plan </w:t>
      </w:r>
      <w:r w:rsidRPr="003A58CF">
        <w:t>has been informed by a Project Steering Group and a Technical Working Group, both formed as part of t</w:t>
      </w:r>
      <w:r w:rsidR="0018666D" w:rsidRPr="003A58CF">
        <w:t>his project.</w:t>
      </w:r>
      <w:r w:rsidR="007E2381">
        <w:t xml:space="preserve"> Preparation of the pl</w:t>
      </w:r>
      <w:r w:rsidR="00BE3F12">
        <w:t>an occurred through five phases:</w:t>
      </w:r>
    </w:p>
    <w:p w:rsidR="00F47108" w:rsidRPr="00FF4191" w:rsidRDefault="00F47108" w:rsidP="000A3F4B">
      <w:pPr>
        <w:pStyle w:val="ListNumber3"/>
        <w:tabs>
          <w:tab w:val="clear" w:pos="851"/>
          <w:tab w:val="num" w:pos="-283"/>
        </w:tabs>
        <w:ind w:left="284"/>
      </w:pPr>
      <w:r w:rsidRPr="00FF4191">
        <w:t>Project establishment</w:t>
      </w:r>
    </w:p>
    <w:p w:rsidR="00F47108" w:rsidRPr="00FF4191" w:rsidRDefault="00F47108" w:rsidP="000A3F4B">
      <w:pPr>
        <w:pStyle w:val="ListNumber3"/>
        <w:tabs>
          <w:tab w:val="clear" w:pos="851"/>
          <w:tab w:val="num" w:pos="-283"/>
        </w:tabs>
        <w:ind w:left="284"/>
      </w:pPr>
      <w:r w:rsidRPr="00FF4191">
        <w:t>Prepare background issues paper</w:t>
      </w:r>
    </w:p>
    <w:p w:rsidR="00F47108" w:rsidRPr="00FF4191" w:rsidRDefault="00F47108" w:rsidP="000A3F4B">
      <w:pPr>
        <w:pStyle w:val="ListNumber3"/>
        <w:tabs>
          <w:tab w:val="clear" w:pos="851"/>
          <w:tab w:val="num" w:pos="-283"/>
        </w:tabs>
        <w:ind w:left="284"/>
      </w:pPr>
      <w:r w:rsidRPr="00FF4191">
        <w:t>Establish draft strategic directions</w:t>
      </w:r>
    </w:p>
    <w:p w:rsidR="00F47108" w:rsidRPr="00FF4191" w:rsidRDefault="00F47108" w:rsidP="000A3F4B">
      <w:pPr>
        <w:pStyle w:val="ListNumber3"/>
        <w:tabs>
          <w:tab w:val="clear" w:pos="851"/>
          <w:tab w:val="num" w:pos="-283"/>
        </w:tabs>
        <w:ind w:left="284"/>
      </w:pPr>
      <w:r w:rsidRPr="00FF4191">
        <w:t xml:space="preserve">Prepare draft </w:t>
      </w:r>
      <w:r w:rsidR="00C71F1B" w:rsidRPr="00FF4191">
        <w:t xml:space="preserve">regional growth plan </w:t>
      </w:r>
      <w:r w:rsidRPr="00FF4191">
        <w:t>(</w:t>
      </w:r>
      <w:r w:rsidR="005150B3" w:rsidRPr="00FF4191">
        <w:t xml:space="preserve">public </w:t>
      </w:r>
      <w:r w:rsidR="005770F9">
        <w:t>consultation)</w:t>
      </w:r>
    </w:p>
    <w:p w:rsidR="00BC30D9" w:rsidRPr="00FF4191" w:rsidRDefault="00F47108" w:rsidP="000A3F4B">
      <w:pPr>
        <w:pStyle w:val="ListNumber3"/>
        <w:tabs>
          <w:tab w:val="clear" w:pos="851"/>
          <w:tab w:val="num" w:pos="-283"/>
        </w:tabs>
        <w:ind w:left="284"/>
      </w:pPr>
      <w:r w:rsidRPr="00FF4191">
        <w:t xml:space="preserve">Prepare final </w:t>
      </w:r>
      <w:r w:rsidR="00C71F1B" w:rsidRPr="00FF4191">
        <w:t xml:space="preserve">regional growth plan </w:t>
      </w:r>
    </w:p>
    <w:p w:rsidR="00DE58DB" w:rsidRPr="003A58CF" w:rsidRDefault="00DE58DB" w:rsidP="00FF4191">
      <w:pPr>
        <w:pStyle w:val="Heading11"/>
      </w:pPr>
      <w:bookmarkStart w:id="25" w:name="_Toc336871212"/>
      <w:bookmarkStart w:id="26" w:name="_Toc377026324"/>
      <w:r w:rsidRPr="003A58CF">
        <w:t xml:space="preserve">Components of this </w:t>
      </w:r>
      <w:bookmarkEnd w:id="25"/>
      <w:r w:rsidR="003F429B" w:rsidRPr="003A58CF">
        <w:t>plan</w:t>
      </w:r>
      <w:bookmarkEnd w:id="26"/>
    </w:p>
    <w:p w:rsidR="00DE58DB" w:rsidRPr="003A58CF" w:rsidRDefault="0098290C" w:rsidP="00854F5E">
      <w:pPr>
        <w:pStyle w:val="bt"/>
      </w:pPr>
      <w:r w:rsidRPr="003A58CF">
        <w:t>This</w:t>
      </w:r>
      <w:r w:rsidR="00DE58DB" w:rsidRPr="003A58CF">
        <w:t xml:space="preserve"> </w:t>
      </w:r>
      <w:r w:rsidR="00A9398F" w:rsidRPr="003A58CF">
        <w:t xml:space="preserve">plan </w:t>
      </w:r>
      <w:r w:rsidR="00DE58DB" w:rsidRPr="003A58CF">
        <w:t xml:space="preserve">contains </w:t>
      </w:r>
      <w:r w:rsidR="00515374" w:rsidRPr="003A58CF">
        <w:t xml:space="preserve">five </w:t>
      </w:r>
      <w:r w:rsidR="00DE58DB" w:rsidRPr="003A58CF">
        <w:t>parts:</w:t>
      </w:r>
    </w:p>
    <w:p w:rsidR="00DE58DB" w:rsidRPr="000A3F4B" w:rsidRDefault="00871135" w:rsidP="000A3F4B">
      <w:pPr>
        <w:pStyle w:val="bt"/>
      </w:pPr>
      <w:r w:rsidRPr="000A3F4B">
        <w:rPr>
          <w:rStyle w:val="Strong"/>
          <w:bCs w:val="0"/>
        </w:rPr>
        <w:t>A</w:t>
      </w:r>
      <w:r w:rsidR="005150B3" w:rsidRPr="000A3F4B">
        <w:rPr>
          <w:rStyle w:val="Strong"/>
          <w:bCs w:val="0"/>
        </w:rPr>
        <w:t>:</w:t>
      </w:r>
      <w:r w:rsidR="00DE58DB" w:rsidRPr="000A3F4B">
        <w:rPr>
          <w:rStyle w:val="Strong"/>
          <w:bCs w:val="0"/>
        </w:rPr>
        <w:t xml:space="preserve"> Introduction</w:t>
      </w:r>
      <w:r w:rsidR="00DE58DB" w:rsidRPr="000A3F4B">
        <w:t xml:space="preserve"> –</w:t>
      </w:r>
      <w:r w:rsidR="00023238" w:rsidRPr="000A3F4B">
        <w:t xml:space="preserve"> </w:t>
      </w:r>
      <w:r w:rsidR="00A625A9" w:rsidRPr="000A3F4B">
        <w:t xml:space="preserve">Provides an overview of the context of the </w:t>
      </w:r>
      <w:r w:rsidR="007E5DCA" w:rsidRPr="000A3F4B">
        <w:t xml:space="preserve">plan </w:t>
      </w:r>
      <w:r w:rsidR="00A625A9" w:rsidRPr="000A3F4B">
        <w:t>and how it has been prepared</w:t>
      </w:r>
      <w:r w:rsidR="009832EF">
        <w:t>.</w:t>
      </w:r>
    </w:p>
    <w:p w:rsidR="00DE58DB" w:rsidRPr="000A3F4B" w:rsidRDefault="00DE58DB" w:rsidP="000A3F4B">
      <w:pPr>
        <w:pStyle w:val="bt"/>
      </w:pPr>
      <w:r w:rsidRPr="000A3F4B">
        <w:rPr>
          <w:rStyle w:val="Strong"/>
          <w:bCs w:val="0"/>
        </w:rPr>
        <w:t>B</w:t>
      </w:r>
      <w:r w:rsidR="005150B3" w:rsidRPr="000A3F4B">
        <w:rPr>
          <w:rStyle w:val="Strong"/>
          <w:bCs w:val="0"/>
        </w:rPr>
        <w:t>:</w:t>
      </w:r>
      <w:r w:rsidRPr="000A3F4B">
        <w:rPr>
          <w:rStyle w:val="Strong"/>
          <w:bCs w:val="0"/>
        </w:rPr>
        <w:t xml:space="preserve"> Regional </w:t>
      </w:r>
      <w:r w:rsidR="00515374" w:rsidRPr="000A3F4B">
        <w:rPr>
          <w:rStyle w:val="Strong"/>
          <w:bCs w:val="0"/>
        </w:rPr>
        <w:t>o</w:t>
      </w:r>
      <w:r w:rsidRPr="000A3F4B">
        <w:rPr>
          <w:rStyle w:val="Strong"/>
          <w:bCs w:val="0"/>
        </w:rPr>
        <w:t>verview</w:t>
      </w:r>
      <w:r w:rsidR="00A625A9" w:rsidRPr="000A3F4B">
        <w:t xml:space="preserve"> </w:t>
      </w:r>
      <w:r w:rsidR="00282160" w:rsidRPr="000A3F4B">
        <w:t xml:space="preserve">– </w:t>
      </w:r>
      <w:r w:rsidR="00A625A9" w:rsidRPr="000A3F4B">
        <w:t xml:space="preserve">Provides a snapshot of the region, a </w:t>
      </w:r>
      <w:r w:rsidR="00515374" w:rsidRPr="000A3F4B">
        <w:t>v</w:t>
      </w:r>
      <w:r w:rsidR="00A625A9" w:rsidRPr="000A3F4B">
        <w:t xml:space="preserve">ision for the region and land use principles to achieve the </w:t>
      </w:r>
      <w:r w:rsidR="00515374" w:rsidRPr="000A3F4B">
        <w:t>v</w:t>
      </w:r>
      <w:r w:rsidR="00A625A9" w:rsidRPr="000A3F4B">
        <w:t>ision</w:t>
      </w:r>
      <w:r w:rsidR="009832EF">
        <w:t>.</w:t>
      </w:r>
    </w:p>
    <w:p w:rsidR="00DE58DB" w:rsidRPr="000A3F4B" w:rsidRDefault="00DE58DB" w:rsidP="000A3F4B">
      <w:pPr>
        <w:pStyle w:val="bt"/>
      </w:pPr>
      <w:r w:rsidRPr="000159E1">
        <w:rPr>
          <w:rStyle w:val="Strong"/>
        </w:rPr>
        <w:lastRenderedPageBreak/>
        <w:t>C</w:t>
      </w:r>
      <w:r w:rsidR="005150B3" w:rsidRPr="000159E1">
        <w:rPr>
          <w:rStyle w:val="Strong"/>
        </w:rPr>
        <w:t>:</w:t>
      </w:r>
      <w:r w:rsidRPr="000159E1">
        <w:rPr>
          <w:rStyle w:val="Strong"/>
        </w:rPr>
        <w:t xml:space="preserve"> Towards the </w:t>
      </w:r>
      <w:r w:rsidR="005150B3" w:rsidRPr="000159E1">
        <w:rPr>
          <w:rStyle w:val="Strong"/>
        </w:rPr>
        <w:t>regional growth plan</w:t>
      </w:r>
      <w:r w:rsidR="005770F9">
        <w:rPr>
          <w:rStyle w:val="Strong"/>
        </w:rPr>
        <w:t xml:space="preserve"> - </w:t>
      </w:r>
      <w:r w:rsidR="00BE3F12" w:rsidRPr="000159E1">
        <w:rPr>
          <w:rStyle w:val="Strong"/>
        </w:rPr>
        <w:t>Regional land use framework</w:t>
      </w:r>
      <w:r w:rsidR="005770F9">
        <w:rPr>
          <w:rStyle w:val="Strong"/>
        </w:rPr>
        <w:t xml:space="preserve"> - </w:t>
      </w:r>
      <w:r w:rsidRPr="000A3F4B">
        <w:t xml:space="preserve">The </w:t>
      </w:r>
      <w:r w:rsidR="005150B3" w:rsidRPr="000A3F4B">
        <w:t xml:space="preserve">regional land use framework </w:t>
      </w:r>
      <w:r w:rsidRPr="000A3F4B">
        <w:t xml:space="preserve">contains the key directions for growth in </w:t>
      </w:r>
      <w:r w:rsidR="00515374" w:rsidRPr="000A3F4B">
        <w:t xml:space="preserve">four </w:t>
      </w:r>
      <w:r w:rsidRPr="000A3F4B">
        <w:t>sections:</w:t>
      </w:r>
    </w:p>
    <w:p w:rsidR="00243D3D" w:rsidRPr="000A3F4B" w:rsidRDefault="00DE58DB" w:rsidP="007A2D19">
      <w:pPr>
        <w:pStyle w:val="btbullet"/>
      </w:pPr>
      <w:r w:rsidRPr="000A3F4B">
        <w:t xml:space="preserve">Regional </w:t>
      </w:r>
      <w:r w:rsidR="00515374" w:rsidRPr="000A3F4B">
        <w:t>e</w:t>
      </w:r>
      <w:r w:rsidR="009232D7" w:rsidRPr="000A3F4B">
        <w:t>conomy</w:t>
      </w:r>
    </w:p>
    <w:p w:rsidR="00243D3D" w:rsidRPr="000A3F4B" w:rsidRDefault="00DE58DB" w:rsidP="007A2D19">
      <w:pPr>
        <w:pStyle w:val="btbullet"/>
      </w:pPr>
      <w:r w:rsidRPr="000A3F4B">
        <w:t xml:space="preserve">Environment and </w:t>
      </w:r>
      <w:r w:rsidR="00515374" w:rsidRPr="000A3F4B">
        <w:t>h</w:t>
      </w:r>
      <w:r w:rsidR="009232D7" w:rsidRPr="000A3F4B">
        <w:t>eritage</w:t>
      </w:r>
    </w:p>
    <w:p w:rsidR="00243D3D" w:rsidRPr="000A3F4B" w:rsidRDefault="00DE58DB" w:rsidP="007A2D19">
      <w:pPr>
        <w:pStyle w:val="btbullet"/>
      </w:pPr>
      <w:r w:rsidRPr="000A3F4B">
        <w:t xml:space="preserve">Living in the </w:t>
      </w:r>
      <w:r w:rsidR="00515374" w:rsidRPr="000A3F4B">
        <w:t>r</w:t>
      </w:r>
      <w:r w:rsidR="009232D7" w:rsidRPr="000A3F4B">
        <w:t>egion</w:t>
      </w:r>
    </w:p>
    <w:p w:rsidR="00DE58DB" w:rsidRPr="000A3F4B" w:rsidRDefault="00DE58DB" w:rsidP="007A2D19">
      <w:pPr>
        <w:pStyle w:val="btbullet"/>
      </w:pPr>
      <w:r w:rsidRPr="000A3F4B">
        <w:t xml:space="preserve">Regional </w:t>
      </w:r>
      <w:r w:rsidR="00515374" w:rsidRPr="000A3F4B">
        <w:t>i</w:t>
      </w:r>
      <w:r w:rsidRPr="000A3F4B">
        <w:t>nfrastructure</w:t>
      </w:r>
    </w:p>
    <w:p w:rsidR="00DE58DB" w:rsidRPr="000A3F4B" w:rsidRDefault="00DE58DB" w:rsidP="000A3F4B">
      <w:pPr>
        <w:pStyle w:val="bt"/>
      </w:pPr>
      <w:r w:rsidRPr="000A3F4B">
        <w:rPr>
          <w:rStyle w:val="Strong"/>
          <w:bCs w:val="0"/>
        </w:rPr>
        <w:t>D</w:t>
      </w:r>
      <w:r w:rsidR="005150B3" w:rsidRPr="000A3F4B">
        <w:rPr>
          <w:rStyle w:val="Strong"/>
          <w:bCs w:val="0"/>
        </w:rPr>
        <w:t>:</w:t>
      </w:r>
      <w:r w:rsidRPr="000A3F4B">
        <w:rPr>
          <w:rStyle w:val="Strong"/>
          <w:bCs w:val="0"/>
        </w:rPr>
        <w:t xml:space="preserve"> </w:t>
      </w:r>
      <w:r w:rsidR="00BB1A68" w:rsidRPr="000A3F4B">
        <w:rPr>
          <w:rStyle w:val="Strong"/>
          <w:bCs w:val="0"/>
        </w:rPr>
        <w:t>R</w:t>
      </w:r>
      <w:r w:rsidRPr="000A3F4B">
        <w:rPr>
          <w:rStyle w:val="Strong"/>
          <w:bCs w:val="0"/>
        </w:rPr>
        <w:t xml:space="preserve">egional </w:t>
      </w:r>
      <w:r w:rsidR="005C449A" w:rsidRPr="000A3F4B">
        <w:rPr>
          <w:rStyle w:val="Strong"/>
          <w:bCs w:val="0"/>
        </w:rPr>
        <w:t>growth plan</w:t>
      </w:r>
      <w:r w:rsidR="005C449A" w:rsidRPr="000A3F4B">
        <w:t xml:space="preserve"> </w:t>
      </w:r>
      <w:r w:rsidR="00282160" w:rsidRPr="000A3F4B">
        <w:t>–</w:t>
      </w:r>
      <w:r w:rsidR="00A41935" w:rsidRPr="000A3F4B">
        <w:t xml:space="preserve"> </w:t>
      </w:r>
      <w:r w:rsidR="008834C8" w:rsidRPr="000A3F4B">
        <w:t>Provides an integrated</w:t>
      </w:r>
      <w:r w:rsidR="00A625A9" w:rsidRPr="000A3F4B">
        <w:t xml:space="preserve"> strategic plan for growth and change, bringing together the key directions outlined in Part C.</w:t>
      </w:r>
    </w:p>
    <w:p w:rsidR="00DE58DB" w:rsidRPr="000A3F4B" w:rsidRDefault="00DE58DB" w:rsidP="000A3F4B">
      <w:pPr>
        <w:pStyle w:val="bt"/>
      </w:pPr>
      <w:r w:rsidRPr="000A3F4B">
        <w:rPr>
          <w:rStyle w:val="Strong"/>
          <w:bCs w:val="0"/>
        </w:rPr>
        <w:t>E</w:t>
      </w:r>
      <w:r w:rsidR="005150B3" w:rsidRPr="000A3F4B">
        <w:rPr>
          <w:rStyle w:val="Strong"/>
          <w:bCs w:val="0"/>
        </w:rPr>
        <w:t>:</w:t>
      </w:r>
      <w:r w:rsidRPr="000A3F4B">
        <w:rPr>
          <w:rStyle w:val="Strong"/>
          <w:bCs w:val="0"/>
        </w:rPr>
        <w:t xml:space="preserve"> Delivering </w:t>
      </w:r>
      <w:r w:rsidR="009535B1" w:rsidRPr="000A3F4B">
        <w:rPr>
          <w:rStyle w:val="Strong"/>
          <w:bCs w:val="0"/>
        </w:rPr>
        <w:t>r</w:t>
      </w:r>
      <w:r w:rsidRPr="000A3F4B">
        <w:rPr>
          <w:rStyle w:val="Strong"/>
          <w:bCs w:val="0"/>
        </w:rPr>
        <w:t xml:space="preserve">egional </w:t>
      </w:r>
      <w:r w:rsidR="009535B1" w:rsidRPr="000A3F4B">
        <w:rPr>
          <w:rStyle w:val="Strong"/>
          <w:bCs w:val="0"/>
        </w:rPr>
        <w:t>g</w:t>
      </w:r>
      <w:r w:rsidRPr="000A3F4B">
        <w:rPr>
          <w:rStyle w:val="Strong"/>
          <w:bCs w:val="0"/>
        </w:rPr>
        <w:t>rowth</w:t>
      </w:r>
      <w:r w:rsidR="00A625A9" w:rsidRPr="000A3F4B">
        <w:t xml:space="preserve"> </w:t>
      </w:r>
      <w:r w:rsidR="008834C8" w:rsidRPr="000A3F4B">
        <w:t xml:space="preserve">– outlines how the </w:t>
      </w:r>
      <w:r w:rsidR="00A9398F" w:rsidRPr="000A3F4B">
        <w:t xml:space="preserve">plan </w:t>
      </w:r>
      <w:r w:rsidR="008834C8" w:rsidRPr="000A3F4B">
        <w:t>will be implemented and progress monitored.</w:t>
      </w:r>
      <w:r w:rsidRPr="000A3F4B">
        <w:t xml:space="preserve"> </w:t>
      </w:r>
    </w:p>
    <w:p w:rsidR="0049197E" w:rsidRPr="000A3F4B" w:rsidRDefault="00A9398F" w:rsidP="000A3F4B">
      <w:pPr>
        <w:pStyle w:val="bt"/>
        <w:sectPr w:rsidR="0049197E" w:rsidRPr="000A3F4B" w:rsidSect="000E32F2">
          <w:headerReference w:type="default" r:id="rId16"/>
          <w:footerReference w:type="default" r:id="rId17"/>
          <w:pgSz w:w="11906" w:h="16838"/>
          <w:pgMar w:top="1440" w:right="1440" w:bottom="993" w:left="1440" w:header="709" w:footer="708" w:gutter="0"/>
          <w:pgNumType w:start="1"/>
          <w:cols w:space="708"/>
          <w:docGrid w:linePitch="360"/>
        </w:sectPr>
      </w:pPr>
      <w:bookmarkStart w:id="27" w:name="_Toc336871213"/>
      <w:r w:rsidRPr="000A3F4B">
        <w:t>The b</w:t>
      </w:r>
      <w:r w:rsidR="00A625A9" w:rsidRPr="000A3F4B">
        <w:t xml:space="preserve">ackground </w:t>
      </w:r>
      <w:r w:rsidRPr="000A3F4B">
        <w:t xml:space="preserve">report </w:t>
      </w:r>
      <w:r w:rsidR="00A625A9" w:rsidRPr="000A3F4B">
        <w:t xml:space="preserve">contains additional information that was relied upon in the development of </w:t>
      </w:r>
      <w:r w:rsidR="0098290C" w:rsidRPr="000A3F4B">
        <w:t xml:space="preserve">this </w:t>
      </w:r>
      <w:r w:rsidR="007E5DCA" w:rsidRPr="000A3F4B">
        <w:t>plan</w:t>
      </w:r>
      <w:r w:rsidR="00A625A9" w:rsidRPr="000A3F4B">
        <w:t xml:space="preserve">. </w:t>
      </w:r>
      <w:r w:rsidR="00A447E3" w:rsidRPr="000A3F4B">
        <w:t>The background report is available on the Department of Transport, Planning and Local Infrastructure website www.dtpli.vic.gov.au/</w:t>
      </w:r>
      <w:r w:rsidR="00227041">
        <w:t>regionalgrowthplans</w:t>
      </w:r>
    </w:p>
    <w:p w:rsidR="00DE58DB" w:rsidRPr="00FF4191" w:rsidRDefault="00DE58DB" w:rsidP="00FF4191">
      <w:pPr>
        <w:pStyle w:val="Heading1"/>
      </w:pPr>
      <w:bookmarkStart w:id="28" w:name="_Toc377026325"/>
      <w:r w:rsidRPr="00FF4191">
        <w:lastRenderedPageBreak/>
        <w:t>PART B</w:t>
      </w:r>
      <w:r w:rsidR="00FF28BD" w:rsidRPr="00FF4191">
        <w:t xml:space="preserve"> </w:t>
      </w:r>
      <w:r w:rsidRPr="00FF4191">
        <w:t>REGIONAL O</w:t>
      </w:r>
      <w:bookmarkEnd w:id="27"/>
      <w:r w:rsidRPr="00FF4191">
        <w:t>VERVIEW</w:t>
      </w:r>
      <w:bookmarkEnd w:id="28"/>
    </w:p>
    <w:p w:rsidR="000159E1" w:rsidRPr="003A58CF" w:rsidRDefault="000159E1" w:rsidP="000159E1">
      <w:pPr>
        <w:pStyle w:val="bt"/>
      </w:pPr>
      <w:bookmarkStart w:id="29" w:name="_Toc336871214"/>
      <w:r w:rsidRPr="003A58CF">
        <w:t>This part of the Loddon Mallee South Regional Growth Plan provides a broad overview of the Loddon Mallee South region including what is driving growth and change, what land use challenges the region faces, and a vision statement outlining a desired future for the region.</w:t>
      </w:r>
    </w:p>
    <w:p w:rsidR="00DE58DB" w:rsidRPr="003A58CF" w:rsidRDefault="00DE58DB" w:rsidP="00FF4191">
      <w:pPr>
        <w:pStyle w:val="Heading11"/>
      </w:pPr>
      <w:bookmarkStart w:id="30" w:name="_Toc377026326"/>
      <w:r w:rsidRPr="003A58CF">
        <w:t>Snapshot of the region</w:t>
      </w:r>
      <w:bookmarkEnd w:id="29"/>
      <w:bookmarkEnd w:id="30"/>
    </w:p>
    <w:p w:rsidR="00135CA1" w:rsidRPr="00AE7B9C" w:rsidRDefault="0018666D" w:rsidP="00AE7B9C">
      <w:pPr>
        <w:pStyle w:val="Heading4"/>
        <w:rPr>
          <w:rStyle w:val="Strong"/>
          <w:b/>
          <w:bCs/>
        </w:rPr>
      </w:pPr>
      <w:bookmarkStart w:id="31" w:name="_Toc351459078"/>
      <w:r w:rsidRPr="00AE7B9C">
        <w:rPr>
          <w:rStyle w:val="Strong"/>
          <w:b/>
          <w:bCs/>
        </w:rPr>
        <w:t>Geographic area and settlements</w:t>
      </w:r>
      <w:bookmarkEnd w:id="31"/>
    </w:p>
    <w:p w:rsidR="00135CA1" w:rsidRPr="003A58CF" w:rsidRDefault="00DE58DB" w:rsidP="00854F5E">
      <w:pPr>
        <w:pStyle w:val="bt"/>
      </w:pPr>
      <w:r w:rsidRPr="003A58CF">
        <w:t xml:space="preserve">The Loddon Mallee </w:t>
      </w:r>
      <w:r w:rsidR="00677CA0" w:rsidRPr="003A58CF">
        <w:t xml:space="preserve">South </w:t>
      </w:r>
      <w:r w:rsidRPr="003A58CF">
        <w:t>region is 14,563</w:t>
      </w:r>
      <w:r w:rsidR="000A78F8" w:rsidRPr="003A58CF">
        <w:t xml:space="preserve"> square kilometres</w:t>
      </w:r>
      <w:r w:rsidR="004F1C29" w:rsidRPr="003A58CF">
        <w:t xml:space="preserve"> </w:t>
      </w:r>
      <w:r w:rsidRPr="003A58CF">
        <w:t>in total area and made up of five municipalities as shown in</w:t>
      </w:r>
      <w:r w:rsidR="00BA6E4B" w:rsidRPr="003A58CF">
        <w:t xml:space="preserve"> Map 3 – Loddon Mallee South region</w:t>
      </w:r>
      <w:r w:rsidRPr="003A58CF">
        <w:t xml:space="preserve">. The region currently accommodates a population of </w:t>
      </w:r>
      <w:r w:rsidR="007E2381">
        <w:t>188,000</w:t>
      </w:r>
      <w:r w:rsidR="0017290C" w:rsidRPr="003A58CF">
        <w:rPr>
          <w:rStyle w:val="FootnoteReference"/>
          <w:rFonts w:asciiTheme="minorHAnsi" w:hAnsiTheme="minorHAnsi" w:cstheme="minorHAnsi"/>
          <w:sz w:val="22"/>
          <w:szCs w:val="22"/>
        </w:rPr>
        <w:footnoteReference w:id="2"/>
      </w:r>
      <w:r w:rsidRPr="003A58CF">
        <w:t xml:space="preserve"> people, </w:t>
      </w:r>
      <w:r w:rsidR="00AE37B2" w:rsidRPr="003A58CF">
        <w:t xml:space="preserve">nearly </w:t>
      </w:r>
      <w:r w:rsidRPr="003A58CF">
        <w:t xml:space="preserve">half of </w:t>
      </w:r>
      <w:r w:rsidR="00AE37B2" w:rsidRPr="003A58CF">
        <w:t xml:space="preserve">whom </w:t>
      </w:r>
      <w:r w:rsidR="00C053E0" w:rsidRPr="003A58CF">
        <w:t>reside</w:t>
      </w:r>
      <w:r w:rsidRPr="003A58CF">
        <w:t xml:space="preserve"> in the </w:t>
      </w:r>
      <w:r w:rsidR="00C76582" w:rsidRPr="003A58CF">
        <w:t xml:space="preserve">urban centre of </w:t>
      </w:r>
      <w:r w:rsidRPr="003A58CF">
        <w:t xml:space="preserve">Bendigo.  </w:t>
      </w:r>
    </w:p>
    <w:p w:rsidR="00135CA1" w:rsidRPr="003A58CF" w:rsidRDefault="00DE58DB" w:rsidP="00854F5E">
      <w:pPr>
        <w:pStyle w:val="bt"/>
      </w:pPr>
      <w:bookmarkStart w:id="32" w:name="OLE_LINK117"/>
      <w:bookmarkStart w:id="33" w:name="OLE_LINK118"/>
      <w:r w:rsidRPr="003A58CF">
        <w:t xml:space="preserve">The Loddon Mallee </w:t>
      </w:r>
      <w:r w:rsidR="00677CA0" w:rsidRPr="003A58CF">
        <w:t xml:space="preserve">South </w:t>
      </w:r>
      <w:r w:rsidRPr="003A58CF">
        <w:t>region is the geographic centre of Victoria</w:t>
      </w:r>
      <w:r w:rsidR="005150B3" w:rsidRPr="003A58CF">
        <w:t>,</w:t>
      </w:r>
      <w:r w:rsidRPr="003A58CF">
        <w:t xml:space="preserve"> making it highly accessible to and from Melbourne and surrounding regional areas and an alternative to Melbourne</w:t>
      </w:r>
      <w:r w:rsidR="000911B1" w:rsidRPr="003A58CF">
        <w:t xml:space="preserve"> in terms of high level service provision</w:t>
      </w:r>
      <w:r w:rsidRPr="003A58CF">
        <w:t xml:space="preserve">. </w:t>
      </w:r>
      <w:r w:rsidR="00C053E0" w:rsidRPr="003A58CF">
        <w:t>The region</w:t>
      </w:r>
      <w:r w:rsidRPr="003A58CF">
        <w:t xml:space="preserve"> extends from the floodplain of the</w:t>
      </w:r>
      <w:r w:rsidR="00446AA5" w:rsidRPr="003A58CF">
        <w:t xml:space="preserve"> mid-</w:t>
      </w:r>
      <w:r w:rsidRPr="003A58CF">
        <w:t>Loddon River in the north</w:t>
      </w:r>
      <w:r w:rsidR="005150B3" w:rsidRPr="003A58CF">
        <w:t xml:space="preserve"> </w:t>
      </w:r>
      <w:r w:rsidRPr="003A58CF">
        <w:t>west to the Macedon Ranges in the south</w:t>
      </w:r>
      <w:r w:rsidR="005150B3" w:rsidRPr="003A58CF">
        <w:t xml:space="preserve"> </w:t>
      </w:r>
      <w:r w:rsidRPr="003A58CF">
        <w:t>east. At its closest point, the region is 50</w:t>
      </w:r>
      <w:r w:rsidR="000A78F8" w:rsidRPr="003A58CF">
        <w:t xml:space="preserve"> kilometres</w:t>
      </w:r>
      <w:r w:rsidRPr="003A58CF">
        <w:t xml:space="preserve"> from </w:t>
      </w:r>
      <w:r w:rsidR="00446AA5" w:rsidRPr="003A58CF">
        <w:t xml:space="preserve">central </w:t>
      </w:r>
      <w:r w:rsidRPr="003A58CF">
        <w:t>Melbourne. It has a rich natural and built heritage, attractive towns, a pleasant climate and social and economic diversity. Its central location and excellent transport links allow safe and efficient travel to Melbourne and other centres</w:t>
      </w:r>
      <w:r w:rsidR="00AE37B2" w:rsidRPr="003A58CF">
        <w:rPr>
          <w:rStyle w:val="FootnoteReference"/>
          <w:rFonts w:asciiTheme="minorHAnsi" w:hAnsiTheme="minorHAnsi" w:cstheme="minorHAnsi"/>
          <w:sz w:val="22"/>
          <w:szCs w:val="22"/>
        </w:rPr>
        <w:footnoteReference w:id="3"/>
      </w:r>
      <w:r w:rsidRPr="003A58CF">
        <w:t xml:space="preserve">. </w:t>
      </w:r>
      <w:bookmarkEnd w:id="32"/>
      <w:bookmarkEnd w:id="33"/>
    </w:p>
    <w:p w:rsidR="00AE7B9C" w:rsidRDefault="00DE58DB" w:rsidP="00854F5E">
      <w:pPr>
        <w:pStyle w:val="bt"/>
      </w:pPr>
      <w:r w:rsidRPr="003A58CF">
        <w:t xml:space="preserve">The mix of towns, farmland and forest in </w:t>
      </w:r>
      <w:r w:rsidR="000A78F8" w:rsidRPr="003A58CF">
        <w:t xml:space="preserve">the </w:t>
      </w:r>
      <w:r w:rsidRPr="003A58CF">
        <w:t>region’s south and east, and its goldfields heritage provide an attractive landscape that draws tourists from within and outside the state.</w:t>
      </w:r>
    </w:p>
    <w:p w:rsidR="00511F47" w:rsidRPr="003A58CF" w:rsidRDefault="00511F47" w:rsidP="00511F47">
      <w:pPr>
        <w:pStyle w:val="bt"/>
      </w:pPr>
      <w:r w:rsidRPr="003A58CF">
        <w:t>Rural areas support a variety of farming operations, produce food, fibre and employment and contribute to the regional economy. The region’s rural, infrastructure and social relationships extend beyond regional boundaries to communities of interest in other regions. These links and relationships have been considered in the development of this plan.</w:t>
      </w:r>
    </w:p>
    <w:p w:rsidR="00511F47" w:rsidRPr="003A58CF" w:rsidRDefault="00511F47" w:rsidP="00511F47">
      <w:pPr>
        <w:pStyle w:val="bt"/>
      </w:pPr>
      <w:r w:rsidRPr="003A58CF">
        <w:t>The City of Greater Bendigo has a total urban and rural population of 100,617</w:t>
      </w:r>
      <w:r w:rsidRPr="003A58CF">
        <w:rPr>
          <w:rStyle w:val="Style"/>
          <w:rFonts w:asciiTheme="minorHAnsi" w:hAnsiTheme="minorHAnsi" w:cstheme="minorHAnsi"/>
          <w:sz w:val="22"/>
          <w:szCs w:val="22"/>
        </w:rPr>
        <w:footnoteReference w:id="4"/>
      </w:r>
      <w:r w:rsidRPr="003A58CF">
        <w:t xml:space="preserve"> people. The urban centre of B</w:t>
      </w:r>
      <w:bookmarkStart w:id="34" w:name="OLE_LINK66"/>
      <w:bookmarkStart w:id="35" w:name="OLE_LINK67"/>
      <w:r w:rsidRPr="003A58CF">
        <w:t>endigo is a vibrant, growing regional city with a population of 82,794</w:t>
      </w:r>
      <w:r w:rsidRPr="003A58CF">
        <w:rPr>
          <w:rStyle w:val="Style"/>
          <w:rFonts w:asciiTheme="minorHAnsi" w:hAnsiTheme="minorHAnsi" w:cstheme="minorHAnsi"/>
          <w:sz w:val="22"/>
          <w:szCs w:val="22"/>
        </w:rPr>
        <w:footnoteReference w:id="5"/>
      </w:r>
      <w:r w:rsidRPr="003A58CF">
        <w:t xml:space="preserve"> people, providing quality education and healthcare facilities, a strong economy and thriving cultural facilities. The network of larger and smaller towns, most of which connect closely to Bendigo, are central to the region’s unique character.</w:t>
      </w:r>
    </w:p>
    <w:p w:rsidR="00511F47" w:rsidRDefault="00511F47" w:rsidP="00511F47">
      <w:pPr>
        <w:pStyle w:val="bt"/>
      </w:pPr>
      <w:r w:rsidRPr="003A58CF">
        <w:t>Larger centres such as Gisborne, Kyneton, Castlemaine and Maryborough act as district hubs to smaller surrounding settlements and rural areas, both inside and beyond the regional boundaries. These larger centres offer a diversity of retail and community services and recreational and cultural opportunities that complement those on offer in Bendigo and Melbourne.</w:t>
      </w:r>
      <w:bookmarkEnd w:id="34"/>
      <w:bookmarkEnd w:id="35"/>
      <w:r w:rsidRPr="003A58CF">
        <w:t xml:space="preserve"> Maryborough has strong links to Ballarat as well as Bendigo. </w:t>
      </w:r>
    </w:p>
    <w:p w:rsidR="001C18F4" w:rsidRPr="005B42B4" w:rsidRDefault="001C18F4" w:rsidP="005B42B4">
      <w:pPr>
        <w:pStyle w:val="bt"/>
      </w:pPr>
      <w:bookmarkStart w:id="36" w:name="_Ref352069401"/>
      <w:bookmarkStart w:id="37" w:name="_Toc373757223"/>
      <w:r w:rsidRPr="005B42B4">
        <w:t xml:space="preserve">Map </w:t>
      </w:r>
      <w:r w:rsidR="00993A78">
        <w:t>3</w:t>
      </w:r>
      <w:r w:rsidR="005B42B4" w:rsidRPr="005B42B4">
        <w:t xml:space="preserve"> is located here in the document and it shows -</w:t>
      </w:r>
      <w:r w:rsidR="00E309E3" w:rsidRPr="005B42B4">
        <w:t xml:space="preserve"> </w:t>
      </w:r>
      <w:r w:rsidRPr="005B42B4">
        <w:t>Loddon Mallee South region</w:t>
      </w:r>
      <w:bookmarkEnd w:id="36"/>
      <w:bookmarkEnd w:id="37"/>
    </w:p>
    <w:p w:rsidR="00462AF6" w:rsidRPr="00AE7B9C" w:rsidRDefault="001F16ED" w:rsidP="00AE7B9C">
      <w:pPr>
        <w:pStyle w:val="Heading4"/>
        <w:rPr>
          <w:rStyle w:val="Strong"/>
          <w:b/>
          <w:bCs/>
        </w:rPr>
      </w:pPr>
      <w:r w:rsidRPr="00AE7B9C">
        <w:rPr>
          <w:rStyle w:val="Strong"/>
          <w:b/>
          <w:bCs/>
        </w:rPr>
        <w:t>Melbourne's peri-urban hinterland</w:t>
      </w:r>
    </w:p>
    <w:p w:rsidR="00462AF6" w:rsidRPr="003A58CF" w:rsidRDefault="001F16ED" w:rsidP="00854F5E">
      <w:pPr>
        <w:pStyle w:val="bt"/>
      </w:pPr>
      <w:r w:rsidRPr="003A58CF">
        <w:t xml:space="preserve">Peri-urban literally means the area </w:t>
      </w:r>
      <w:r w:rsidRPr="00FF4191">
        <w:t xml:space="preserve">around a settlement. Melbourne’s peri-urban </w:t>
      </w:r>
      <w:r w:rsidR="001858C8" w:rsidRPr="00FF4191">
        <w:t xml:space="preserve">region </w:t>
      </w:r>
      <w:r w:rsidRPr="00FF4191">
        <w:t>is diverse, containing a mix of people, places and experiences. This</w:t>
      </w:r>
      <w:r w:rsidR="00FF4191">
        <w:t xml:space="preserve"> </w:t>
      </w:r>
      <w:r w:rsidR="001D6007">
        <w:t>predominantly</w:t>
      </w:r>
      <w:r w:rsidRPr="00FF4191">
        <w:t xml:space="preserve"> rural</w:t>
      </w:r>
      <w:r w:rsidRPr="003A58CF">
        <w:t xml:space="preserve"> area </w:t>
      </w:r>
      <w:r w:rsidRPr="00FF4191">
        <w:t>includes</w:t>
      </w:r>
      <w:r w:rsidRPr="003A58CF">
        <w:t xml:space="preserve"> key urban settlements and townships, which face particular pressures for growth and change. In the Loddon Mallee South region it extends across the Macedon </w:t>
      </w:r>
      <w:r w:rsidRPr="003A58CF">
        <w:lastRenderedPageBreak/>
        <w:t xml:space="preserve">Ranges and part of Mount Alexander Shire between </w:t>
      </w:r>
      <w:r w:rsidRPr="00FF4191">
        <w:t>the</w:t>
      </w:r>
      <w:r w:rsidRPr="003A58CF">
        <w:t xml:space="preserve"> north-western fringe of metropolitan Melbourne and Castlemaine. Urban settlements </w:t>
      </w:r>
      <w:r w:rsidR="00880BDF" w:rsidRPr="003A58CF">
        <w:t>likely to</w:t>
      </w:r>
      <w:r w:rsidRPr="003A58CF">
        <w:t xml:space="preserve"> experience these </w:t>
      </w:r>
      <w:r w:rsidR="00880BDF" w:rsidRPr="003A58CF">
        <w:t xml:space="preserve">challenges for growth and change </w:t>
      </w:r>
      <w:r w:rsidRPr="003A58CF">
        <w:t>include Gisborne, Kyneton and smaller settlements</w:t>
      </w:r>
      <w:r w:rsidR="00B15943" w:rsidRPr="003A58CF">
        <w:t>,</w:t>
      </w:r>
      <w:r w:rsidRPr="003A58CF">
        <w:t xml:space="preserve"> </w:t>
      </w:r>
      <w:r w:rsidR="00880BDF" w:rsidRPr="003A58CF">
        <w:t>for example</w:t>
      </w:r>
      <w:r w:rsidRPr="003A58CF">
        <w:t xml:space="preserve"> Romsey and Riddells Creek.</w:t>
      </w:r>
    </w:p>
    <w:p w:rsidR="00462AF6" w:rsidRPr="003A58CF" w:rsidRDefault="001F16ED" w:rsidP="00854F5E">
      <w:pPr>
        <w:pStyle w:val="bt"/>
      </w:pPr>
      <w:r w:rsidRPr="003A58CF">
        <w:t xml:space="preserve">The peri-urban </w:t>
      </w:r>
      <w:r w:rsidR="001858C8" w:rsidRPr="003A58CF">
        <w:t xml:space="preserve">region </w:t>
      </w:r>
      <w:r w:rsidRPr="003A58CF">
        <w:t>includes a number of state significant land assets important to the functioning of Melbourne and Victoria as a whole. These include resources, infrastructure, environmental assets and cultural heritage assets (refer to Table 2). These land assets provide some of our most basic needs</w:t>
      </w:r>
      <w:r w:rsidR="001858C8" w:rsidRPr="003A58CF">
        <w:t>,</w:t>
      </w:r>
      <w:r w:rsidRPr="003A58CF">
        <w:t xml:space="preserve"> which over </w:t>
      </w:r>
      <w:r w:rsidR="001858C8" w:rsidRPr="003A58CF">
        <w:t xml:space="preserve">five </w:t>
      </w:r>
      <w:r w:rsidRPr="003A58CF">
        <w:t>million Victorians rely on every</w:t>
      </w:r>
      <w:r w:rsidR="001858C8" w:rsidRPr="003A58CF">
        <w:t xml:space="preserve"> </w:t>
      </w:r>
      <w:r w:rsidRPr="003A58CF">
        <w:t>day</w:t>
      </w:r>
      <w:r w:rsidR="001858C8" w:rsidRPr="003A58CF">
        <w:t>,</w:t>
      </w:r>
      <w:r w:rsidRPr="003A58CF">
        <w:t xml:space="preserve"> such as quality air and water, food, fibre, and building materials for our homes and roads. The peri-urban region’s unique natural, cultural and recreational assets provide great economic opportunities. This is a significant strength for the state, providing opportunities to maximise our competitive advantage over other cities and regions within Australia and the Asia-Pacific region. The economic opportunities provided by the assets and appropriate growth will contribute to the economy, our quality of life and environmental strengths. </w:t>
      </w:r>
      <w:r w:rsidR="00B15943" w:rsidRPr="003A58CF">
        <w:t xml:space="preserve">Considered land use planning </w:t>
      </w:r>
      <w:r w:rsidRPr="003A58CF">
        <w:t xml:space="preserve">will ensure we, and future generations, can continue to enjoy the benefits that this area provides. </w:t>
      </w:r>
    </w:p>
    <w:p w:rsidR="00462AF6" w:rsidRPr="003A58CF" w:rsidRDefault="001F16ED" w:rsidP="00854F5E">
      <w:pPr>
        <w:pStyle w:val="bt"/>
      </w:pPr>
      <w:r w:rsidRPr="003A58CF">
        <w:t>The proximity of the peri-urban region to Melbourne and high standard road and rail infrastructure reinforces strong two</w:t>
      </w:r>
      <w:r w:rsidR="00F40897" w:rsidRPr="003A58CF">
        <w:t>-</w:t>
      </w:r>
      <w:r w:rsidRPr="003A58CF">
        <w:t xml:space="preserve">way connections between these areas, providing access to jobs, markets, customers and tourists. The peri-urban region has a particularly strong relationship to the Melbourne population. Visitation, tourism and commuting patterns occur between these areas and recreation and amenity areas are frequented by hundreds of thousands of people during weekends and holiday periods. These interactions have had a strong influence on growth and change within the peri-urban region. These areas have had high percentage increases in population and this trend is projected to continue. </w:t>
      </w:r>
    </w:p>
    <w:p w:rsidR="00F96C06" w:rsidRPr="003A58CF" w:rsidRDefault="001F16ED" w:rsidP="00854F5E">
      <w:pPr>
        <w:pStyle w:val="bt"/>
      </w:pPr>
      <w:r w:rsidRPr="003A58CF">
        <w:t xml:space="preserve">If not managed, development pressures and sprawling growth can increase risks from </w:t>
      </w:r>
      <w:r w:rsidR="002D2356" w:rsidRPr="003A58CF">
        <w:t>bushfire</w:t>
      </w:r>
      <w:r w:rsidRPr="003A58CF">
        <w:t>, sea</w:t>
      </w:r>
      <w:r w:rsidR="00F40897" w:rsidRPr="003A58CF">
        <w:t xml:space="preserve"> </w:t>
      </w:r>
      <w:r w:rsidRPr="003A58CF">
        <w:t xml:space="preserve">level rise and flood, add to infrastructure costs and lead to a loss of important </w:t>
      </w:r>
      <w:r w:rsidR="00F40897" w:rsidRPr="003A58CF">
        <w:t>non-</w:t>
      </w:r>
      <w:r w:rsidRPr="003A58CF">
        <w:t>urban assets including productive farmland, water catchments, earth resources, biodiversity and natural ecosystems. Retaining the economic and community value of these assets is a key consideration in planning for this area.</w:t>
      </w:r>
    </w:p>
    <w:p w:rsidR="00F96C06" w:rsidRPr="003A58CF" w:rsidRDefault="001F16ED" w:rsidP="00854F5E">
      <w:pPr>
        <w:pStyle w:val="bt"/>
      </w:pPr>
      <w:r w:rsidRPr="003A58CF">
        <w:t xml:space="preserve">Collectively, the </w:t>
      </w:r>
      <w:r w:rsidR="00D52A87">
        <w:t>m</w:t>
      </w:r>
      <w:r w:rsidRPr="003A58CF">
        <w:t xml:space="preserve">etropolitan </w:t>
      </w:r>
      <w:r w:rsidR="00D52A87">
        <w:t>p</w:t>
      </w:r>
      <w:r w:rsidRPr="003A58CF">
        <w:t xml:space="preserve">lanning </w:t>
      </w:r>
      <w:r w:rsidR="00D52A87">
        <w:t>s</w:t>
      </w:r>
      <w:r w:rsidRPr="003A58CF">
        <w:t>trategy</w:t>
      </w:r>
      <w:r w:rsidR="00D52A87">
        <w:t xml:space="preserve">, </w:t>
      </w:r>
      <w:r w:rsidR="00696CB1" w:rsidRPr="00696CB1">
        <w:rPr>
          <w:i/>
        </w:rPr>
        <w:t>Plan Melbourne</w:t>
      </w:r>
      <w:r w:rsidRPr="003A58CF">
        <w:t xml:space="preserve"> and the peri-urban </w:t>
      </w:r>
      <w:r w:rsidR="00F40897" w:rsidRPr="003A58CF">
        <w:t xml:space="preserve">regional growth plans </w:t>
      </w:r>
      <w:r w:rsidRPr="003A58CF">
        <w:t xml:space="preserve">(G21, Central Highlands, Loddon Mallee South, Hume and Gippsland) provide the vision and broad strategic direction for land use and development across this area. The regional growth plans include high level framework plans for towns and cities where urban growth will be supported. In the Loddon Mallee South region, Gisborne, Kyneton and Castlemaine have been identified as peri-urban locations where growth is supported.  </w:t>
      </w:r>
    </w:p>
    <w:p w:rsidR="00F96C06" w:rsidRPr="003A58CF" w:rsidRDefault="001F16ED" w:rsidP="00854F5E">
      <w:pPr>
        <w:pStyle w:val="bt"/>
      </w:pPr>
      <w:r w:rsidRPr="003A58CF">
        <w:t xml:space="preserve">The government in partnership with councils will work to provide specific statements about the peri-urban </w:t>
      </w:r>
      <w:r w:rsidR="00F80DE0" w:rsidRPr="003A58CF">
        <w:t xml:space="preserve">region </w:t>
      </w:r>
      <w:r w:rsidRPr="003A58CF">
        <w:t xml:space="preserve">to respond to the unique pressures and opportunities </w:t>
      </w:r>
      <w:r w:rsidR="00F80DE0" w:rsidRPr="003A58CF">
        <w:t xml:space="preserve">that </w:t>
      </w:r>
      <w:r w:rsidRPr="003A58CF">
        <w:t xml:space="preserve">are common to these locations. There is an opportunity to clearly articulate the outcomes envisaged for the complex peri-urban region at a finer grain. Stronger and clearer guidance for making land use planning and development decisions in the peri-urban </w:t>
      </w:r>
      <w:r w:rsidR="00F80DE0" w:rsidRPr="003A58CF">
        <w:t xml:space="preserve">region </w:t>
      </w:r>
      <w:r w:rsidR="007E2381">
        <w:t>is</w:t>
      </w:r>
      <w:r w:rsidR="007E2381" w:rsidRPr="003A58CF">
        <w:t xml:space="preserve"> </w:t>
      </w:r>
      <w:r w:rsidR="00F80DE0" w:rsidRPr="003A58CF">
        <w:t>needed</w:t>
      </w:r>
      <w:r w:rsidRPr="003A58CF">
        <w:t>, particularly where trade-offs between competing land uses are required.</w:t>
      </w:r>
    </w:p>
    <w:p w:rsidR="00511F47" w:rsidRDefault="001F16ED" w:rsidP="00854F5E">
      <w:pPr>
        <w:pStyle w:val="bt"/>
      </w:pPr>
      <w:r w:rsidRPr="003A58CF">
        <w:t xml:space="preserve">Understanding the role of regional cities, peri-urban towns and rural communities, and their relationship to one another and to Melbourne is a critical element in planning for the peri-urban </w:t>
      </w:r>
      <w:r w:rsidR="00F80DE0" w:rsidRPr="003A58CF">
        <w:t>region</w:t>
      </w:r>
      <w:r w:rsidRPr="003A58CF">
        <w:t xml:space="preserve">. Peri-urban councils have already led the preparation of detailed research of many of the issues affecting the area, and have developed policy positions in a number of locations to inform decision making at the strategic land use level. The work of councils, together with </w:t>
      </w:r>
      <w:r w:rsidR="00696CB1" w:rsidRPr="00696CB1">
        <w:rPr>
          <w:i/>
        </w:rPr>
        <w:t>Plan Melbourne</w:t>
      </w:r>
      <w:r w:rsidR="00D52A87">
        <w:t xml:space="preserve"> </w:t>
      </w:r>
      <w:r w:rsidRPr="003A58CF">
        <w:t>and the regional growth plans, provide a strong foundation for preparation of statements about the peri-urban</w:t>
      </w:r>
      <w:r w:rsidR="00F80DE0" w:rsidRPr="003A58CF">
        <w:t xml:space="preserve"> region.</w:t>
      </w:r>
    </w:p>
    <w:p w:rsidR="001F16ED" w:rsidRDefault="008F163E" w:rsidP="00C50E1E">
      <w:pPr>
        <w:pStyle w:val="Caption"/>
      </w:pPr>
      <w:bookmarkStart w:id="38" w:name="_Toc373757216"/>
      <w:r w:rsidRPr="004809DF">
        <w:t xml:space="preserve">Table </w:t>
      </w:r>
      <w:r w:rsidR="00F06CD8" w:rsidRPr="004809DF">
        <w:fldChar w:fldCharType="begin"/>
      </w:r>
      <w:r w:rsidRPr="004809DF">
        <w:instrText xml:space="preserve"> SEQ Table \* ARABIC </w:instrText>
      </w:r>
      <w:r w:rsidR="00F06CD8" w:rsidRPr="004809DF">
        <w:fldChar w:fldCharType="separate"/>
      </w:r>
      <w:r w:rsidR="006707B1">
        <w:t>2</w:t>
      </w:r>
      <w:r w:rsidR="00F06CD8" w:rsidRPr="004809DF">
        <w:fldChar w:fldCharType="end"/>
      </w:r>
      <w:r w:rsidR="00E309E3">
        <w:t xml:space="preserve">: </w:t>
      </w:r>
      <w:r w:rsidRPr="00C50E1E">
        <w:rPr>
          <w:b w:val="0"/>
        </w:rPr>
        <w:t xml:space="preserve">State </w:t>
      </w:r>
      <w:r w:rsidR="00BE0F43" w:rsidRPr="00C50E1E">
        <w:rPr>
          <w:b w:val="0"/>
        </w:rPr>
        <w:t xml:space="preserve">significant </w:t>
      </w:r>
      <w:r w:rsidRPr="00C50E1E">
        <w:rPr>
          <w:b w:val="0"/>
        </w:rPr>
        <w:t>land uses present</w:t>
      </w:r>
      <w:r w:rsidR="00145D17" w:rsidRPr="00C50E1E">
        <w:rPr>
          <w:b w:val="0"/>
        </w:rPr>
        <w:t xml:space="preserve"> </w:t>
      </w:r>
      <w:r w:rsidRPr="00C50E1E">
        <w:rPr>
          <w:b w:val="0"/>
        </w:rPr>
        <w:t xml:space="preserve">within </w:t>
      </w:r>
      <w:r w:rsidR="00BE0F43" w:rsidRPr="00C50E1E">
        <w:rPr>
          <w:b w:val="0"/>
        </w:rPr>
        <w:t xml:space="preserve">Melbourne’s </w:t>
      </w:r>
      <w:r w:rsidRPr="00C50E1E">
        <w:rPr>
          <w:b w:val="0"/>
        </w:rPr>
        <w:t>peri-urban region</w:t>
      </w:r>
      <w:bookmarkEnd w:id="38"/>
    </w:p>
    <w:p w:rsidR="00B92980" w:rsidRPr="00B92980" w:rsidRDefault="00B92980" w:rsidP="00B92980">
      <w:pPr>
        <w:pStyle w:val="Heading4"/>
      </w:pPr>
      <w:r w:rsidRPr="00B92980">
        <w:t>Resources</w:t>
      </w:r>
    </w:p>
    <w:p w:rsidR="00B92980" w:rsidRPr="00B92980" w:rsidRDefault="00B92980" w:rsidP="00B92980">
      <w:pPr>
        <w:pStyle w:val="bt"/>
        <w:rPr>
          <w:rStyle w:val="Strong"/>
        </w:rPr>
      </w:pPr>
      <w:r w:rsidRPr="00B92980">
        <w:rPr>
          <w:rStyle w:val="Strong"/>
        </w:rPr>
        <w:t>Land uses - Extractive</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lastRenderedPageBreak/>
        <w:t xml:space="preserve">The cost of transporting stone and sand products over long distances can account for a substantial proportion of product price at the construction site. Sourcing construction materials from local quarries within the peri-urban region enables cost-efficiencies and energy savings. </w:t>
      </w:r>
    </w:p>
    <w:p w:rsidR="00B92980" w:rsidRPr="00B92980" w:rsidRDefault="00B92980" w:rsidP="00B92980">
      <w:pPr>
        <w:pStyle w:val="bt"/>
        <w:rPr>
          <w:rStyle w:val="Strong"/>
        </w:rPr>
      </w:pPr>
      <w:r w:rsidRPr="00B92980">
        <w:rPr>
          <w:rStyle w:val="Strong"/>
        </w:rPr>
        <w:t>Land uses - Forestry</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A number of state forest reserves are located in the peri-urban region. They provide for a variety of uses, including providing timber for sustainable forestry, biodiversity and landscape conservation, protection of water catchments and providing opportunities for recreation.</w:t>
      </w:r>
    </w:p>
    <w:p w:rsidR="00B92980" w:rsidRPr="00B92980" w:rsidRDefault="00B92980" w:rsidP="00B92980">
      <w:pPr>
        <w:pStyle w:val="bt"/>
        <w:rPr>
          <w:rStyle w:val="Strong"/>
        </w:rPr>
      </w:pPr>
      <w:r w:rsidRPr="00B92980">
        <w:rPr>
          <w:rStyle w:val="Strong"/>
        </w:rPr>
        <w:t>Land uses - Productive agriculture</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 xml:space="preserve">Prime agricultural land provides food and fibre to the Victorian community and supports employment and businesses. It also supports associated rural industries, such as food processing, abattoirs, shearing, irrigation supplies and stock feed producers that contribute to Victoria’s economy. </w:t>
      </w:r>
    </w:p>
    <w:p w:rsidR="00B92980" w:rsidRPr="00B92980" w:rsidRDefault="00B92980" w:rsidP="00B92980">
      <w:pPr>
        <w:pStyle w:val="bt"/>
        <w:rPr>
          <w:rStyle w:val="Strong"/>
        </w:rPr>
      </w:pPr>
      <w:r w:rsidRPr="00B92980">
        <w:rPr>
          <w:rStyle w:val="Strong"/>
        </w:rPr>
        <w:t>Land uses - Water catchments</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The peri-urban catchments and storages remain essential to provide potable water for human and domestic animal consumption. The filtering action of the forested surrounds of our reservoirs avoids the need for expensive water treatment facilities for Melbourne and surrounding cities and towns.</w:t>
      </w:r>
    </w:p>
    <w:p w:rsidR="00660EAB" w:rsidRPr="009D4F50" w:rsidRDefault="00660EAB" w:rsidP="00660EAB">
      <w:pPr>
        <w:pStyle w:val="Heading4"/>
        <w:rPr>
          <w:rStyle w:val="Strong"/>
          <w:b/>
          <w:bCs/>
        </w:rPr>
      </w:pPr>
      <w:r w:rsidRPr="009D4F50">
        <w:rPr>
          <w:rStyle w:val="Strong"/>
          <w:b/>
          <w:bCs/>
        </w:rPr>
        <w:t>Infrastructure</w:t>
      </w:r>
    </w:p>
    <w:p w:rsidR="00B92980" w:rsidRPr="00B92980" w:rsidRDefault="00B92980" w:rsidP="00B92980">
      <w:pPr>
        <w:pStyle w:val="bt"/>
        <w:rPr>
          <w:rStyle w:val="Strong"/>
        </w:rPr>
      </w:pPr>
      <w:r w:rsidRPr="00B92980">
        <w:rPr>
          <w:rStyle w:val="Strong"/>
        </w:rPr>
        <w:t>Land uses - Transport</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The peri-urban region is traversed by an extensive arterial road and rail transport network linking major centres of population and industry across Victoria. Progressive transport expansion and safety improvements continue to influence land use activities and are likely to further improve travel times, reducing the commuting time and improving access between peri-urban areas and with Melbourne.</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Utilities</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Water treatment plants, as well as electricity, gas and waste management facilities, pipelines and transmission corridors are located within the peri-urban region. These assets support the functioning of Victoria’s urban areas.</w:t>
      </w:r>
    </w:p>
    <w:p w:rsidR="00B92980" w:rsidRPr="000159E1" w:rsidRDefault="00B92980" w:rsidP="00B92980">
      <w:pPr>
        <w:pStyle w:val="Heading4"/>
      </w:pPr>
      <w:r w:rsidRPr="000159E1">
        <w:t>Environment</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Biodiversity</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lastRenderedPageBreak/>
        <w:t>Strong natural systems with a diversity of natural habitats for native plant and animals are important for the health and wellbeing of people living in urban areas. Opportunities for close connections with the natural world have high social, economic and educational value.</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 xml:space="preserve">Landscapes </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 xml:space="preserve">Landscapes help define the areas in which we live and work, and provide a connection with place and culture. </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Parks and reserves</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There are a large number of parks and reserves in the peri-urban region. These areas provide ecological, environmental and aesthetic value and the opportunity for leisure and recreation.</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 xml:space="preserve">Waterways </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There are many ecologically significant rivers traversing the peri-urban region, connecting our water catchments with bays.</w:t>
      </w:r>
    </w:p>
    <w:p w:rsidR="00B92980" w:rsidRPr="00B92980" w:rsidRDefault="00B92980" w:rsidP="00B92980">
      <w:pPr>
        <w:pStyle w:val="Heading4"/>
      </w:pPr>
      <w:r w:rsidRPr="00B92980">
        <w:t>Cultural</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Heritage</w:t>
      </w:r>
    </w:p>
    <w:p w:rsidR="00B92980" w:rsidRPr="00B92980" w:rsidRDefault="00B92980" w:rsidP="00B92980">
      <w:pPr>
        <w:pStyle w:val="bt"/>
        <w:rPr>
          <w:rStyle w:val="Strong"/>
        </w:rPr>
      </w:pPr>
      <w:r w:rsidRPr="00B92980">
        <w:rPr>
          <w:rStyle w:val="Strong"/>
        </w:rPr>
        <w:t>Why these land uses are considered significant to the state</w:t>
      </w:r>
    </w:p>
    <w:p w:rsidR="00B92980" w:rsidRPr="000159E1" w:rsidRDefault="00B92980" w:rsidP="00B92980">
      <w:pPr>
        <w:pStyle w:val="bt"/>
      </w:pPr>
      <w:r w:rsidRPr="000159E1">
        <w:t xml:space="preserve">There are various places, sites, structures, relics and flora of heritage significance in the peri-urban region. Heritage assets generate social benefits, such as a sense of identity, direct user benefits through tourism and the benefits stemming from the intrinsic value of preserving these assets for future generations to appreciate and enjoy. </w:t>
      </w:r>
    </w:p>
    <w:p w:rsidR="00B92980" w:rsidRPr="00B92980" w:rsidRDefault="00B92980" w:rsidP="00B92980">
      <w:pPr>
        <w:pStyle w:val="bt"/>
        <w:rPr>
          <w:rStyle w:val="Strong"/>
        </w:rPr>
      </w:pPr>
      <w:r w:rsidRPr="00B92980">
        <w:rPr>
          <w:rStyle w:val="Strong"/>
        </w:rPr>
        <w:t>Land uses</w:t>
      </w:r>
      <w:r>
        <w:rPr>
          <w:rStyle w:val="Strong"/>
        </w:rPr>
        <w:t xml:space="preserve"> - </w:t>
      </w:r>
      <w:r w:rsidRPr="00B92980">
        <w:rPr>
          <w:rStyle w:val="Strong"/>
        </w:rPr>
        <w:t>Tourism</w:t>
      </w:r>
    </w:p>
    <w:p w:rsidR="00B92980" w:rsidRPr="00B92980" w:rsidRDefault="00B92980" w:rsidP="00B92980">
      <w:pPr>
        <w:pStyle w:val="bt"/>
        <w:rPr>
          <w:rStyle w:val="Strong"/>
        </w:rPr>
      </w:pPr>
      <w:r w:rsidRPr="00B92980">
        <w:rPr>
          <w:rStyle w:val="Strong"/>
        </w:rPr>
        <w:t>Why these land uses are considered significant to the state</w:t>
      </w:r>
    </w:p>
    <w:p w:rsidR="00B92980" w:rsidRDefault="00B92980" w:rsidP="00B92980">
      <w:pPr>
        <w:pStyle w:val="bt"/>
      </w:pPr>
      <w:r w:rsidRPr="000159E1">
        <w:t>The peri-urban region provides key day trip destinations for residents and visitors from interstate and overseas. Attracting visitors to the peri-urban region also results in indirect employment and additional spend in ‘downstream’ industries such as retail suppliers, food production and construction.</w:t>
      </w:r>
    </w:p>
    <w:p w:rsidR="00AE7B9C" w:rsidRDefault="00AE7B9C" w:rsidP="00AE7B9C">
      <w:pPr>
        <w:pStyle w:val="Heading4"/>
      </w:pPr>
      <w:r>
        <w:t>People and population growth</w:t>
      </w:r>
    </w:p>
    <w:p w:rsidR="007E2381" w:rsidRPr="00AC12B3" w:rsidRDefault="00DE58DB" w:rsidP="00AC12B3">
      <w:pPr>
        <w:pStyle w:val="bt"/>
      </w:pPr>
      <w:r w:rsidRPr="00AC12B3">
        <w:t xml:space="preserve">The </w:t>
      </w:r>
      <w:r w:rsidR="00E54E28" w:rsidRPr="00AC12B3">
        <w:t xml:space="preserve">Loddon Mallee South </w:t>
      </w:r>
      <w:r w:rsidRPr="00AC12B3">
        <w:t xml:space="preserve">region has </w:t>
      </w:r>
      <w:r w:rsidR="00E54E28" w:rsidRPr="00AC12B3">
        <w:t xml:space="preserve">experienced, </w:t>
      </w:r>
      <w:r w:rsidRPr="00AC12B3">
        <w:t>and is expected to continue to experience</w:t>
      </w:r>
      <w:r w:rsidR="00E54E28" w:rsidRPr="00AC12B3">
        <w:t>,</w:t>
      </w:r>
      <w:r w:rsidRPr="00AC12B3">
        <w:t xml:space="preserve"> strong population and economic growth,</w:t>
      </w:r>
      <w:r w:rsidR="00C053E0" w:rsidRPr="00AC12B3">
        <w:t xml:space="preserve"> however</w:t>
      </w:r>
      <w:r w:rsidRPr="00AC12B3">
        <w:t xml:space="preserve"> this growth is unlikely to be evenly </w:t>
      </w:r>
      <w:r w:rsidR="00C053E0" w:rsidRPr="00AC12B3">
        <w:t xml:space="preserve">distributed </w:t>
      </w:r>
      <w:r w:rsidRPr="00AC12B3">
        <w:t>across the region.</w:t>
      </w:r>
      <w:r w:rsidR="00C053E0" w:rsidRPr="00AC12B3">
        <w:t xml:space="preserve"> There are areas of the region experiencing high levels of growth and others where population is decreasing.</w:t>
      </w:r>
      <w:r w:rsidRPr="00AC12B3">
        <w:t xml:space="preserve"> Based on current projections</w:t>
      </w:r>
      <w:r w:rsidR="0098290C" w:rsidRPr="00AC12B3">
        <w:t xml:space="preserve"> the </w:t>
      </w:r>
      <w:r w:rsidR="0098290C" w:rsidRPr="00AC12B3">
        <w:lastRenderedPageBreak/>
        <w:t>region’s population is projected to reach 242,200 by 2031</w:t>
      </w:r>
      <w:r w:rsidR="00184F79" w:rsidRPr="009205DD">
        <w:rPr>
          <w:vertAlign w:val="superscript"/>
        </w:rPr>
        <w:footnoteReference w:id="6"/>
      </w:r>
      <w:r w:rsidR="0098290C" w:rsidRPr="009205DD">
        <w:rPr>
          <w:vertAlign w:val="superscript"/>
        </w:rPr>
        <w:t xml:space="preserve"> </w:t>
      </w:r>
      <w:r w:rsidR="0098290C" w:rsidRPr="00AC12B3">
        <w:t>and approximately 266,900 by 2041 (Victoria in Future 2012).</w:t>
      </w:r>
      <w:r w:rsidRPr="00AC12B3">
        <w:t xml:space="preserve"> </w:t>
      </w:r>
    </w:p>
    <w:p w:rsidR="0066280A" w:rsidRPr="00AC12B3" w:rsidRDefault="001A296A" w:rsidP="00AC12B3">
      <w:pPr>
        <w:pStyle w:val="bt"/>
      </w:pPr>
      <w:r w:rsidRPr="00AC12B3">
        <w:t xml:space="preserve">The Victorian Government uses Victoria in Future (VIF) </w:t>
      </w:r>
      <w:r w:rsidR="00307953" w:rsidRPr="00AC12B3">
        <w:t xml:space="preserve">2012 </w:t>
      </w:r>
      <w:r w:rsidRPr="00AC12B3">
        <w:t xml:space="preserve">as its official population projections. Population projections are estimates of future populations if current demographic, economic and social trends continue, and include analysis of </w:t>
      </w:r>
      <w:r w:rsidR="007E2381" w:rsidRPr="00AC12B3">
        <w:t xml:space="preserve">Census </w:t>
      </w:r>
      <w:r w:rsidRPr="00AC12B3">
        <w:t xml:space="preserve">data. </w:t>
      </w:r>
      <w:r w:rsidR="00184F79" w:rsidRPr="00AC12B3">
        <w:t xml:space="preserve">They are based on observable, </w:t>
      </w:r>
      <w:r w:rsidR="00E863AB" w:rsidRPr="00AC12B3">
        <w:t>‘</w:t>
      </w:r>
      <w:r w:rsidR="00184F79" w:rsidRPr="00AC12B3">
        <w:t>on the ground</w:t>
      </w:r>
      <w:r w:rsidR="00E863AB" w:rsidRPr="00AC12B3">
        <w:t xml:space="preserve">’ </w:t>
      </w:r>
      <w:r w:rsidR="00184F79" w:rsidRPr="00AC12B3">
        <w:t xml:space="preserve">changes in the population. </w:t>
      </w:r>
      <w:r w:rsidRPr="00AC12B3">
        <w:t xml:space="preserve">Projections are not predictions of the future </w:t>
      </w:r>
      <w:r w:rsidR="007E5DCA" w:rsidRPr="00AC12B3">
        <w:t>or</w:t>
      </w:r>
      <w:r w:rsidRPr="00AC12B3">
        <w:t xml:space="preserve"> targets for growth, but rather give an indication of what is likely to happen. These projections may differ as a result of different data sources used by councils, communities and individuals.</w:t>
      </w:r>
    </w:p>
    <w:p w:rsidR="00E309E3" w:rsidRPr="00AC12B3" w:rsidRDefault="00E309E3" w:rsidP="00AC12B3">
      <w:pPr>
        <w:pStyle w:val="Caption"/>
        <w:rPr>
          <w:b w:val="0"/>
        </w:rPr>
      </w:pPr>
      <w:bookmarkStart w:id="39" w:name="_Toc373757217"/>
      <w:r w:rsidRPr="00AC12B3">
        <w:t xml:space="preserve">Table </w:t>
      </w:r>
      <w:r w:rsidR="00F06CD8">
        <w:fldChar w:fldCharType="begin"/>
      </w:r>
      <w:r w:rsidR="00C22A5B">
        <w:instrText xml:space="preserve"> SEQ Table \* ARABIC </w:instrText>
      </w:r>
      <w:r w:rsidR="00F06CD8">
        <w:fldChar w:fldCharType="separate"/>
      </w:r>
      <w:r w:rsidR="006707B1">
        <w:t>3</w:t>
      </w:r>
      <w:r w:rsidR="00F06CD8">
        <w:fldChar w:fldCharType="end"/>
      </w:r>
      <w:r w:rsidRPr="00AC12B3">
        <w:t xml:space="preserve">: </w:t>
      </w:r>
      <w:r w:rsidRPr="00AC12B3">
        <w:rPr>
          <w:b w:val="0"/>
        </w:rPr>
        <w:t>Projected population changes across the Loddon Mallee South region to 2031</w:t>
      </w:r>
      <w:bookmarkEnd w:id="39"/>
    </w:p>
    <w:p w:rsidR="007A3B40" w:rsidRDefault="007A3B40" w:rsidP="007A3B40">
      <w:pPr>
        <w:pStyle w:val="bt"/>
        <w:rPr>
          <w:rStyle w:val="Strong"/>
        </w:rPr>
      </w:pPr>
      <w:r w:rsidRPr="00B92980">
        <w:rPr>
          <w:rStyle w:val="Strong"/>
        </w:rPr>
        <w:t xml:space="preserve">Local government area: </w:t>
      </w:r>
      <w:r w:rsidR="00B92980">
        <w:rPr>
          <w:rStyle w:val="Strong"/>
        </w:rPr>
        <w:t>Central Goldfields</w:t>
      </w:r>
      <w:r w:rsidRPr="00B92980">
        <w:rPr>
          <w:rStyle w:val="Strong"/>
        </w:rPr>
        <w:t xml:space="preserve"> (</w:t>
      </w:r>
      <w:r w:rsidR="00B92980">
        <w:rPr>
          <w:rStyle w:val="Strong"/>
        </w:rPr>
        <w:t>Shire</w:t>
      </w:r>
      <w:r w:rsidRPr="00B92980">
        <w:rPr>
          <w:rStyle w:val="Strong"/>
        </w:rPr>
        <w:t>)</w:t>
      </w:r>
    </w:p>
    <w:p w:rsidR="00874FF2" w:rsidRPr="00E641C4" w:rsidRDefault="00874FF2" w:rsidP="00874FF2">
      <w:pPr>
        <w:pStyle w:val="bt"/>
      </w:pPr>
      <w:r w:rsidRPr="00E641C4">
        <w:t>Total population:</w:t>
      </w:r>
    </w:p>
    <w:p w:rsidR="007A3B40" w:rsidRDefault="007A3B40" w:rsidP="00511F47">
      <w:pPr>
        <w:pStyle w:val="btbullet"/>
        <w:rPr>
          <w:lang w:eastAsia="en-US"/>
        </w:rPr>
      </w:pPr>
      <w:r>
        <w:t>2011</w:t>
      </w:r>
      <w:r>
        <w:rPr>
          <w:lang w:eastAsia="en-US"/>
        </w:rPr>
        <w:t>:</w:t>
      </w:r>
      <w:r w:rsidRPr="00266C63">
        <w:rPr>
          <w:lang w:eastAsia="en-US"/>
        </w:rPr>
        <w:t xml:space="preserve"> </w:t>
      </w:r>
      <w:r>
        <w:rPr>
          <w:lang w:eastAsia="en-US"/>
        </w:rPr>
        <w:t>12,</w:t>
      </w:r>
      <w:r w:rsidR="00B92980">
        <w:rPr>
          <w:lang w:eastAsia="en-US"/>
        </w:rPr>
        <w:t>8</w:t>
      </w:r>
      <w:r>
        <w:rPr>
          <w:lang w:eastAsia="en-US"/>
        </w:rPr>
        <w:t>00</w:t>
      </w:r>
    </w:p>
    <w:p w:rsidR="007A3B40" w:rsidRDefault="007A3B40" w:rsidP="00511F47">
      <w:pPr>
        <w:pStyle w:val="btbullet"/>
        <w:rPr>
          <w:lang w:eastAsia="en-US"/>
        </w:rPr>
      </w:pPr>
      <w:r>
        <w:t>2021</w:t>
      </w:r>
      <w:r>
        <w:rPr>
          <w:lang w:eastAsia="en-US"/>
        </w:rPr>
        <w:t>:</w:t>
      </w:r>
      <w:r w:rsidRPr="00266C63">
        <w:rPr>
          <w:lang w:eastAsia="en-US"/>
        </w:rPr>
        <w:t xml:space="preserve"> </w:t>
      </w:r>
      <w:r>
        <w:rPr>
          <w:lang w:eastAsia="en-US"/>
        </w:rPr>
        <w:t>13,</w:t>
      </w:r>
      <w:r w:rsidR="00804399">
        <w:rPr>
          <w:lang w:eastAsia="en-US"/>
        </w:rPr>
        <w:t>5</w:t>
      </w:r>
      <w:r>
        <w:rPr>
          <w:lang w:eastAsia="en-US"/>
        </w:rPr>
        <w:t>00</w:t>
      </w:r>
    </w:p>
    <w:p w:rsidR="007A3B40" w:rsidRDefault="007A3B40" w:rsidP="00511F47">
      <w:pPr>
        <w:pStyle w:val="btbullet"/>
        <w:rPr>
          <w:lang w:eastAsia="en-US"/>
        </w:rPr>
      </w:pPr>
      <w:r>
        <w:t>2031</w:t>
      </w:r>
      <w:r>
        <w:rPr>
          <w:lang w:eastAsia="en-US"/>
        </w:rPr>
        <w:t>:</w:t>
      </w:r>
      <w:r w:rsidRPr="00266C63">
        <w:rPr>
          <w:lang w:eastAsia="en-US"/>
        </w:rPr>
        <w:t xml:space="preserve"> </w:t>
      </w:r>
      <w:r>
        <w:rPr>
          <w:lang w:eastAsia="en-US"/>
        </w:rPr>
        <w:t>14,000</w:t>
      </w:r>
    </w:p>
    <w:p w:rsidR="007A3B40" w:rsidRDefault="007A3B40" w:rsidP="007A3B40">
      <w:pPr>
        <w:pStyle w:val="bt"/>
        <w:rPr>
          <w:rStyle w:val="Strong"/>
        </w:rPr>
      </w:pPr>
      <w:r w:rsidRPr="00B92980">
        <w:rPr>
          <w:rStyle w:val="Strong"/>
        </w:rPr>
        <w:t xml:space="preserve">Local government area: </w:t>
      </w:r>
      <w:r w:rsidR="00804399">
        <w:rPr>
          <w:rStyle w:val="Strong"/>
        </w:rPr>
        <w:t>Greater Bendigo</w:t>
      </w:r>
      <w:r w:rsidRPr="00B92980">
        <w:rPr>
          <w:rStyle w:val="Strong"/>
        </w:rPr>
        <w:t xml:space="preserve"> (City)</w:t>
      </w:r>
    </w:p>
    <w:p w:rsidR="00874FF2" w:rsidRPr="00E641C4" w:rsidRDefault="00874FF2" w:rsidP="00874FF2">
      <w:pPr>
        <w:pStyle w:val="bt"/>
      </w:pPr>
      <w:r w:rsidRPr="00E641C4">
        <w:t>Total population:</w:t>
      </w:r>
    </w:p>
    <w:p w:rsidR="007A3B40" w:rsidRDefault="007A3B40" w:rsidP="00511F47">
      <w:pPr>
        <w:pStyle w:val="btbullet"/>
        <w:rPr>
          <w:lang w:eastAsia="en-US"/>
        </w:rPr>
      </w:pPr>
      <w:r>
        <w:t>2011</w:t>
      </w:r>
      <w:r>
        <w:rPr>
          <w:lang w:eastAsia="en-US"/>
        </w:rPr>
        <w:t>:</w:t>
      </w:r>
      <w:r w:rsidRPr="00266C63">
        <w:rPr>
          <w:lang w:eastAsia="en-US"/>
        </w:rPr>
        <w:t xml:space="preserve"> </w:t>
      </w:r>
      <w:r w:rsidR="00804399">
        <w:rPr>
          <w:lang w:eastAsia="en-US"/>
        </w:rPr>
        <w:t>105,600</w:t>
      </w:r>
    </w:p>
    <w:p w:rsidR="007A3B40" w:rsidRDefault="007A3B40" w:rsidP="00511F47">
      <w:pPr>
        <w:pStyle w:val="btbullet"/>
        <w:rPr>
          <w:lang w:eastAsia="en-US"/>
        </w:rPr>
      </w:pPr>
      <w:r>
        <w:t>2021</w:t>
      </w:r>
      <w:r>
        <w:rPr>
          <w:lang w:eastAsia="en-US"/>
        </w:rPr>
        <w:t>:</w:t>
      </w:r>
      <w:r w:rsidRPr="00266C63">
        <w:rPr>
          <w:lang w:eastAsia="en-US"/>
        </w:rPr>
        <w:t xml:space="preserve"> </w:t>
      </w:r>
      <w:r>
        <w:rPr>
          <w:lang w:eastAsia="en-US"/>
        </w:rPr>
        <w:t>1</w:t>
      </w:r>
      <w:r w:rsidR="00804399">
        <w:rPr>
          <w:lang w:eastAsia="en-US"/>
        </w:rPr>
        <w:t>22,600</w:t>
      </w:r>
    </w:p>
    <w:p w:rsidR="00B92980" w:rsidRDefault="007A3B40" w:rsidP="00511F47">
      <w:pPr>
        <w:pStyle w:val="btbullet"/>
        <w:rPr>
          <w:lang w:eastAsia="en-US"/>
        </w:rPr>
      </w:pPr>
      <w:r>
        <w:t>2031</w:t>
      </w:r>
      <w:r>
        <w:rPr>
          <w:lang w:eastAsia="en-US"/>
        </w:rPr>
        <w:t>:</w:t>
      </w:r>
      <w:r w:rsidRPr="00266C63">
        <w:rPr>
          <w:lang w:eastAsia="en-US"/>
        </w:rPr>
        <w:t xml:space="preserve"> </w:t>
      </w:r>
      <w:r>
        <w:rPr>
          <w:lang w:eastAsia="en-US"/>
        </w:rPr>
        <w:t>13</w:t>
      </w:r>
      <w:r w:rsidR="00804399">
        <w:rPr>
          <w:lang w:eastAsia="en-US"/>
        </w:rPr>
        <w:t>9,8</w:t>
      </w:r>
      <w:r>
        <w:rPr>
          <w:lang w:eastAsia="en-US"/>
        </w:rPr>
        <w:t>00</w:t>
      </w:r>
    </w:p>
    <w:p w:rsidR="007A3B40" w:rsidRDefault="007A3B40" w:rsidP="007A3B40">
      <w:pPr>
        <w:pStyle w:val="bt"/>
        <w:rPr>
          <w:rStyle w:val="Strong"/>
        </w:rPr>
      </w:pPr>
      <w:r w:rsidRPr="00B92980">
        <w:rPr>
          <w:rStyle w:val="Strong"/>
        </w:rPr>
        <w:t xml:space="preserve">Local government area: </w:t>
      </w:r>
      <w:r w:rsidR="00804399">
        <w:rPr>
          <w:rStyle w:val="Strong"/>
        </w:rPr>
        <w:t>Loddon</w:t>
      </w:r>
      <w:r w:rsidRPr="00B92980">
        <w:rPr>
          <w:rStyle w:val="Strong"/>
        </w:rPr>
        <w:t xml:space="preserve"> (Shire)</w:t>
      </w:r>
    </w:p>
    <w:p w:rsidR="00874FF2" w:rsidRPr="00E641C4" w:rsidRDefault="00874FF2" w:rsidP="00874FF2">
      <w:pPr>
        <w:pStyle w:val="bt"/>
      </w:pPr>
      <w:r w:rsidRPr="00E641C4">
        <w:t>Total population:</w:t>
      </w:r>
    </w:p>
    <w:p w:rsidR="007A3B40" w:rsidRDefault="007A3B40" w:rsidP="00511F47">
      <w:pPr>
        <w:pStyle w:val="btbullet"/>
        <w:rPr>
          <w:lang w:eastAsia="en-US"/>
        </w:rPr>
      </w:pPr>
      <w:r>
        <w:t>2011</w:t>
      </w:r>
      <w:r>
        <w:rPr>
          <w:lang w:eastAsia="en-US"/>
        </w:rPr>
        <w:t>:</w:t>
      </w:r>
      <w:r w:rsidRPr="00266C63">
        <w:rPr>
          <w:lang w:eastAsia="en-US"/>
        </w:rPr>
        <w:t xml:space="preserve"> </w:t>
      </w:r>
      <w:r>
        <w:rPr>
          <w:lang w:eastAsia="en-US"/>
        </w:rPr>
        <w:t>8</w:t>
      </w:r>
      <w:r w:rsidR="00804399">
        <w:rPr>
          <w:lang w:eastAsia="en-US"/>
        </w:rPr>
        <w:t>0</w:t>
      </w:r>
      <w:r>
        <w:rPr>
          <w:lang w:eastAsia="en-US"/>
        </w:rPr>
        <w:t>00</w:t>
      </w:r>
    </w:p>
    <w:p w:rsidR="007A3B40" w:rsidRDefault="007A3B40" w:rsidP="00511F47">
      <w:pPr>
        <w:pStyle w:val="btbullet"/>
        <w:rPr>
          <w:lang w:eastAsia="en-US"/>
        </w:rPr>
      </w:pPr>
      <w:r>
        <w:t>2021</w:t>
      </w:r>
      <w:r>
        <w:rPr>
          <w:lang w:eastAsia="en-US"/>
        </w:rPr>
        <w:t>:</w:t>
      </w:r>
      <w:r w:rsidRPr="00266C63">
        <w:rPr>
          <w:lang w:eastAsia="en-US"/>
        </w:rPr>
        <w:t xml:space="preserve"> </w:t>
      </w:r>
      <w:r w:rsidR="00804399">
        <w:rPr>
          <w:lang w:eastAsia="en-US"/>
        </w:rPr>
        <w:t>78</w:t>
      </w:r>
      <w:r>
        <w:rPr>
          <w:lang w:eastAsia="en-US"/>
        </w:rPr>
        <w:t>00</w:t>
      </w:r>
    </w:p>
    <w:p w:rsidR="00511F47" w:rsidRDefault="007A3B40" w:rsidP="00511F47">
      <w:pPr>
        <w:pStyle w:val="btbullet"/>
        <w:rPr>
          <w:lang w:eastAsia="en-US"/>
        </w:rPr>
      </w:pPr>
      <w:r>
        <w:t>2031</w:t>
      </w:r>
      <w:r>
        <w:rPr>
          <w:lang w:eastAsia="en-US"/>
        </w:rPr>
        <w:t>:</w:t>
      </w:r>
      <w:r w:rsidRPr="00266C63">
        <w:rPr>
          <w:lang w:eastAsia="en-US"/>
        </w:rPr>
        <w:t xml:space="preserve"> </w:t>
      </w:r>
      <w:r w:rsidR="00804399">
        <w:rPr>
          <w:lang w:eastAsia="en-US"/>
        </w:rPr>
        <w:t>76</w:t>
      </w:r>
      <w:r>
        <w:rPr>
          <w:lang w:eastAsia="en-US"/>
        </w:rPr>
        <w:t>00</w:t>
      </w:r>
    </w:p>
    <w:p w:rsidR="007A3B40" w:rsidRDefault="007A3B40" w:rsidP="007A3B40">
      <w:pPr>
        <w:pStyle w:val="bt"/>
        <w:rPr>
          <w:rStyle w:val="Strong"/>
        </w:rPr>
      </w:pPr>
      <w:r w:rsidRPr="00B92980">
        <w:rPr>
          <w:rStyle w:val="Strong"/>
        </w:rPr>
        <w:t xml:space="preserve">Local government area: </w:t>
      </w:r>
      <w:r w:rsidR="00804399">
        <w:rPr>
          <w:rStyle w:val="Strong"/>
        </w:rPr>
        <w:t>Macedon Ranges</w:t>
      </w:r>
      <w:r w:rsidRPr="00B92980">
        <w:rPr>
          <w:rStyle w:val="Strong"/>
        </w:rPr>
        <w:t xml:space="preserve"> (Shire)</w:t>
      </w:r>
    </w:p>
    <w:p w:rsidR="00874FF2" w:rsidRPr="00E641C4" w:rsidRDefault="00874FF2" w:rsidP="00874FF2">
      <w:pPr>
        <w:pStyle w:val="bt"/>
      </w:pPr>
      <w:r w:rsidRPr="00E641C4">
        <w:t>Total population:</w:t>
      </w:r>
    </w:p>
    <w:p w:rsidR="007A3B40" w:rsidRDefault="007A3B40" w:rsidP="00511F47">
      <w:pPr>
        <w:pStyle w:val="btbullet"/>
        <w:rPr>
          <w:lang w:eastAsia="en-US"/>
        </w:rPr>
      </w:pPr>
      <w:r>
        <w:t>2011</w:t>
      </w:r>
      <w:r>
        <w:rPr>
          <w:lang w:eastAsia="en-US"/>
        </w:rPr>
        <w:t>:</w:t>
      </w:r>
      <w:r w:rsidRPr="00266C63">
        <w:rPr>
          <w:lang w:eastAsia="en-US"/>
        </w:rPr>
        <w:t xml:space="preserve"> </w:t>
      </w:r>
      <w:r w:rsidR="00804399">
        <w:rPr>
          <w:lang w:eastAsia="en-US"/>
        </w:rPr>
        <w:t>43,2</w:t>
      </w:r>
      <w:r>
        <w:rPr>
          <w:lang w:eastAsia="en-US"/>
        </w:rPr>
        <w:t>00</w:t>
      </w:r>
    </w:p>
    <w:p w:rsidR="007A3B40" w:rsidRDefault="007A3B40" w:rsidP="00511F47">
      <w:pPr>
        <w:pStyle w:val="btbullet"/>
        <w:rPr>
          <w:lang w:eastAsia="en-US"/>
        </w:rPr>
      </w:pPr>
      <w:r>
        <w:t>2021</w:t>
      </w:r>
      <w:r>
        <w:rPr>
          <w:lang w:eastAsia="en-US"/>
        </w:rPr>
        <w:t>:</w:t>
      </w:r>
      <w:r w:rsidRPr="00266C63">
        <w:rPr>
          <w:lang w:eastAsia="en-US"/>
        </w:rPr>
        <w:t xml:space="preserve"> </w:t>
      </w:r>
      <w:r w:rsidR="00804399">
        <w:rPr>
          <w:lang w:eastAsia="en-US"/>
        </w:rPr>
        <w:t>51,3</w:t>
      </w:r>
      <w:r>
        <w:rPr>
          <w:lang w:eastAsia="en-US"/>
        </w:rPr>
        <w:t>00</w:t>
      </w:r>
    </w:p>
    <w:p w:rsidR="007A3B40" w:rsidRDefault="007A3B40" w:rsidP="00511F47">
      <w:pPr>
        <w:pStyle w:val="btbullet"/>
        <w:rPr>
          <w:lang w:eastAsia="en-US"/>
        </w:rPr>
      </w:pPr>
      <w:r>
        <w:t>2031</w:t>
      </w:r>
      <w:r>
        <w:rPr>
          <w:lang w:eastAsia="en-US"/>
        </w:rPr>
        <w:t>:</w:t>
      </w:r>
      <w:r w:rsidRPr="00266C63">
        <w:rPr>
          <w:lang w:eastAsia="en-US"/>
        </w:rPr>
        <w:t xml:space="preserve"> </w:t>
      </w:r>
      <w:r w:rsidR="00804399">
        <w:rPr>
          <w:lang w:eastAsia="en-US"/>
        </w:rPr>
        <w:t>58,9</w:t>
      </w:r>
      <w:r>
        <w:rPr>
          <w:lang w:eastAsia="en-US"/>
        </w:rPr>
        <w:t>00</w:t>
      </w:r>
    </w:p>
    <w:p w:rsidR="007A3B40" w:rsidRDefault="00804399" w:rsidP="007A3B40">
      <w:pPr>
        <w:pStyle w:val="bt"/>
        <w:rPr>
          <w:rStyle w:val="Strong"/>
        </w:rPr>
      </w:pPr>
      <w:r>
        <w:rPr>
          <w:rStyle w:val="Strong"/>
        </w:rPr>
        <w:t>Local government area: Mount Alexander</w:t>
      </w:r>
      <w:r w:rsidR="007A3B40" w:rsidRPr="00B92980">
        <w:rPr>
          <w:rStyle w:val="Strong"/>
        </w:rPr>
        <w:t xml:space="preserve"> (Shire)</w:t>
      </w:r>
    </w:p>
    <w:p w:rsidR="00874FF2" w:rsidRPr="00E641C4" w:rsidRDefault="00874FF2" w:rsidP="00874FF2">
      <w:pPr>
        <w:pStyle w:val="bt"/>
      </w:pPr>
      <w:r w:rsidRPr="00E641C4">
        <w:t>Total population:</w:t>
      </w:r>
    </w:p>
    <w:p w:rsidR="007A3B40" w:rsidRDefault="007A3B40" w:rsidP="00511F47">
      <w:pPr>
        <w:pStyle w:val="btbullet"/>
        <w:rPr>
          <w:lang w:eastAsia="en-US"/>
        </w:rPr>
      </w:pPr>
      <w:r>
        <w:t>2011</w:t>
      </w:r>
      <w:r>
        <w:rPr>
          <w:lang w:eastAsia="en-US"/>
        </w:rPr>
        <w:t>:</w:t>
      </w:r>
      <w:r w:rsidRPr="00266C63">
        <w:rPr>
          <w:lang w:eastAsia="en-US"/>
        </w:rPr>
        <w:t xml:space="preserve"> </w:t>
      </w:r>
      <w:r w:rsidR="00804399">
        <w:rPr>
          <w:lang w:eastAsia="en-US"/>
        </w:rPr>
        <w:t>18</w:t>
      </w:r>
      <w:r>
        <w:rPr>
          <w:lang w:eastAsia="en-US"/>
        </w:rPr>
        <w:t>,400</w:t>
      </w:r>
    </w:p>
    <w:p w:rsidR="007A3B40" w:rsidRDefault="007A3B40" w:rsidP="00511F47">
      <w:pPr>
        <w:pStyle w:val="btbullet"/>
        <w:rPr>
          <w:lang w:eastAsia="en-US"/>
        </w:rPr>
      </w:pPr>
      <w:r>
        <w:t>2021</w:t>
      </w:r>
      <w:r>
        <w:rPr>
          <w:lang w:eastAsia="en-US"/>
        </w:rPr>
        <w:t>:</w:t>
      </w:r>
      <w:r w:rsidRPr="00266C63">
        <w:rPr>
          <w:lang w:eastAsia="en-US"/>
        </w:rPr>
        <w:t xml:space="preserve"> </w:t>
      </w:r>
      <w:r w:rsidR="00804399">
        <w:rPr>
          <w:lang w:eastAsia="en-US"/>
        </w:rPr>
        <w:t>20,1</w:t>
      </w:r>
      <w:r>
        <w:rPr>
          <w:lang w:eastAsia="en-US"/>
        </w:rPr>
        <w:t>00</w:t>
      </w:r>
    </w:p>
    <w:p w:rsidR="007A3B40" w:rsidRPr="00A02895" w:rsidRDefault="007A3B40" w:rsidP="00511F47">
      <w:pPr>
        <w:pStyle w:val="btbullet"/>
        <w:rPr>
          <w:lang w:eastAsia="en-US"/>
        </w:rPr>
      </w:pPr>
      <w:r>
        <w:rPr>
          <w:lang w:eastAsia="en-US"/>
        </w:rPr>
        <w:lastRenderedPageBreak/>
        <w:t>2031:</w:t>
      </w:r>
      <w:r w:rsidRPr="00266C63">
        <w:rPr>
          <w:lang w:eastAsia="en-US"/>
        </w:rPr>
        <w:t xml:space="preserve"> </w:t>
      </w:r>
      <w:r w:rsidR="00804399">
        <w:rPr>
          <w:lang w:eastAsia="en-US"/>
        </w:rPr>
        <w:t>21,9</w:t>
      </w:r>
      <w:r>
        <w:rPr>
          <w:lang w:eastAsia="en-US"/>
        </w:rPr>
        <w:t>00</w:t>
      </w:r>
    </w:p>
    <w:p w:rsidR="007A3B40" w:rsidRDefault="003272EF" w:rsidP="007A3B40">
      <w:pPr>
        <w:pStyle w:val="bt"/>
        <w:rPr>
          <w:rStyle w:val="Strong"/>
        </w:rPr>
      </w:pPr>
      <w:r>
        <w:rPr>
          <w:rStyle w:val="Strong"/>
        </w:rPr>
        <w:t>Loddon Mallee South region</w:t>
      </w:r>
      <w:r w:rsidR="007A3B40" w:rsidRPr="00B92980">
        <w:rPr>
          <w:rStyle w:val="Strong"/>
        </w:rPr>
        <w:t>:</w:t>
      </w:r>
    </w:p>
    <w:p w:rsidR="00874FF2" w:rsidRPr="00E641C4" w:rsidRDefault="00874FF2" w:rsidP="00874FF2">
      <w:pPr>
        <w:pStyle w:val="bt"/>
      </w:pPr>
      <w:r w:rsidRPr="00E641C4">
        <w:t>Total population:</w:t>
      </w:r>
    </w:p>
    <w:p w:rsidR="007A3B40" w:rsidRPr="00266C63" w:rsidRDefault="007A3B40" w:rsidP="00511F47">
      <w:pPr>
        <w:pStyle w:val="btbullet"/>
        <w:rPr>
          <w:lang w:eastAsia="en-US"/>
        </w:rPr>
      </w:pPr>
      <w:r>
        <w:t>2011</w:t>
      </w:r>
      <w:r w:rsidRPr="00266C63">
        <w:rPr>
          <w:lang w:eastAsia="en-US"/>
        </w:rPr>
        <w:t xml:space="preserve">: </w:t>
      </w:r>
      <w:r>
        <w:rPr>
          <w:lang w:eastAsia="en-US"/>
        </w:rPr>
        <w:t>1</w:t>
      </w:r>
      <w:r w:rsidR="00804399">
        <w:rPr>
          <w:lang w:eastAsia="en-US"/>
        </w:rPr>
        <w:t>88,0</w:t>
      </w:r>
      <w:r>
        <w:rPr>
          <w:lang w:eastAsia="en-US"/>
        </w:rPr>
        <w:t>00</w:t>
      </w:r>
    </w:p>
    <w:p w:rsidR="007A3B40" w:rsidRPr="00266C63" w:rsidRDefault="007A3B40" w:rsidP="00511F47">
      <w:pPr>
        <w:pStyle w:val="btbullet"/>
        <w:rPr>
          <w:lang w:eastAsia="en-US"/>
        </w:rPr>
      </w:pPr>
      <w:r>
        <w:t>2021</w:t>
      </w:r>
      <w:r w:rsidRPr="00266C63">
        <w:rPr>
          <w:lang w:eastAsia="en-US"/>
        </w:rPr>
        <w:t xml:space="preserve">: </w:t>
      </w:r>
      <w:r w:rsidR="00804399">
        <w:rPr>
          <w:lang w:eastAsia="en-US"/>
        </w:rPr>
        <w:t>215,3</w:t>
      </w:r>
      <w:r>
        <w:rPr>
          <w:lang w:eastAsia="en-US"/>
        </w:rPr>
        <w:t>00</w:t>
      </w:r>
    </w:p>
    <w:p w:rsidR="007A3B40" w:rsidRPr="00266C63" w:rsidRDefault="007A3B40" w:rsidP="00511F47">
      <w:pPr>
        <w:pStyle w:val="btbullet"/>
        <w:rPr>
          <w:lang w:eastAsia="en-US"/>
        </w:rPr>
      </w:pPr>
      <w:r>
        <w:t>2031</w:t>
      </w:r>
      <w:r w:rsidRPr="00266C63">
        <w:rPr>
          <w:lang w:eastAsia="en-US"/>
        </w:rPr>
        <w:t xml:space="preserve">: </w:t>
      </w:r>
      <w:r w:rsidR="00804399">
        <w:rPr>
          <w:lang w:eastAsia="en-US"/>
        </w:rPr>
        <w:t>242,2</w:t>
      </w:r>
      <w:r>
        <w:rPr>
          <w:lang w:eastAsia="en-US"/>
        </w:rPr>
        <w:t>00</w:t>
      </w:r>
    </w:p>
    <w:p w:rsidR="00874FF2" w:rsidRPr="00E641C4" w:rsidRDefault="00874FF2" w:rsidP="00874FF2">
      <w:pPr>
        <w:pStyle w:val="source"/>
      </w:pPr>
      <w:r w:rsidRPr="00E641C4">
        <w:t>Source: Department of Planning and Community Development, Victoria in Future 2012</w:t>
      </w:r>
    </w:p>
    <w:p w:rsidR="00184F79" w:rsidRPr="003A58CF" w:rsidRDefault="008D2EE2" w:rsidP="00854F5E">
      <w:pPr>
        <w:pStyle w:val="bt"/>
      </w:pPr>
      <w:r w:rsidRPr="003A58CF">
        <w:t xml:space="preserve">In Table </w:t>
      </w:r>
      <w:r w:rsidR="00E978E8" w:rsidRPr="003A58CF">
        <w:t>3</w:t>
      </w:r>
      <w:r w:rsidRPr="003A58CF">
        <w:t xml:space="preserve">, the total populations </w:t>
      </w:r>
      <w:r w:rsidR="00307953" w:rsidRPr="003A58CF">
        <w:t xml:space="preserve">in </w:t>
      </w:r>
      <w:r w:rsidRPr="003A58CF">
        <w:t xml:space="preserve">2011 represent the base populations for the VIF 2012 projections and are equal to the </w:t>
      </w:r>
      <w:r w:rsidR="000E1A43" w:rsidRPr="003A58CF">
        <w:t xml:space="preserve">Australian Bureau of Statistics </w:t>
      </w:r>
      <w:r w:rsidRPr="003A58CF">
        <w:t>Estimated Resident Population at 30 June 2011.</w:t>
      </w:r>
    </w:p>
    <w:p w:rsidR="00DE58DB" w:rsidRPr="003A58CF" w:rsidRDefault="008D2EE2" w:rsidP="00854F5E">
      <w:pPr>
        <w:pStyle w:val="bt"/>
      </w:pPr>
      <w:r w:rsidRPr="003A58CF">
        <w:t>In the Loddon Mallee South region t</w:t>
      </w:r>
      <w:r w:rsidR="00DE58DB" w:rsidRPr="003A58CF">
        <w:t xml:space="preserve">here will be more people in all age </w:t>
      </w:r>
      <w:r w:rsidR="00BB678A" w:rsidRPr="003A58CF">
        <w:t>ranges;</w:t>
      </w:r>
      <w:r w:rsidR="00DE58DB" w:rsidRPr="003A58CF">
        <w:t xml:space="preserve"> however there is much higher growth in the older age ranges across the region. Providing appropriate housing and services for an ageing population </w:t>
      </w:r>
      <w:r w:rsidR="00E54E28" w:rsidRPr="003A58CF">
        <w:t xml:space="preserve">is </w:t>
      </w:r>
      <w:r w:rsidR="00DE58DB" w:rsidRPr="003A58CF">
        <w:t xml:space="preserve">a challenge that needs to be managed. One role of this </w:t>
      </w:r>
      <w:r w:rsidR="00491DC8" w:rsidRPr="003A58CF">
        <w:t xml:space="preserve">plan </w:t>
      </w:r>
      <w:r w:rsidR="00DE58DB" w:rsidRPr="003A58CF">
        <w:t xml:space="preserve">is to set out a desired future that ensures sustainable and viable communities </w:t>
      </w:r>
      <w:r w:rsidR="00307953" w:rsidRPr="003A58CF">
        <w:t xml:space="preserve">and </w:t>
      </w:r>
      <w:r w:rsidR="00DE58DB" w:rsidRPr="003A58CF">
        <w:t xml:space="preserve">a strong economy </w:t>
      </w:r>
      <w:r w:rsidR="00307953" w:rsidRPr="003A58CF">
        <w:t xml:space="preserve">while </w:t>
      </w:r>
      <w:r w:rsidR="00DE58DB" w:rsidRPr="003A58CF">
        <w:t>protecting the valued assets and character that define the Loddon Mallee</w:t>
      </w:r>
      <w:r w:rsidR="00E54E28" w:rsidRPr="003A58CF">
        <w:t xml:space="preserve"> South region</w:t>
      </w:r>
      <w:r w:rsidR="00DE58DB" w:rsidRPr="003A58CF">
        <w:t xml:space="preserve">. </w:t>
      </w:r>
    </w:p>
    <w:p w:rsidR="00DE58DB" w:rsidRPr="003A58CF" w:rsidRDefault="00DE58DB" w:rsidP="00854F5E">
      <w:pPr>
        <w:pStyle w:val="bt"/>
      </w:pPr>
      <w:r w:rsidRPr="003A58CF">
        <w:t>Currently</w:t>
      </w:r>
      <w:r w:rsidR="00E54E28" w:rsidRPr="003A58CF">
        <w:t>,</w:t>
      </w:r>
      <w:r w:rsidRPr="003A58CF">
        <w:t xml:space="preserve"> both population and economic growth across the region is not uniform. </w:t>
      </w:r>
      <w:r w:rsidR="002D1E92" w:rsidRPr="003A58CF">
        <w:t xml:space="preserve">The existing Calder transport corridor (road and rail) has accelerated growth in locations with ease of access to transport. </w:t>
      </w:r>
      <w:r w:rsidRPr="003A58CF">
        <w:t xml:space="preserve">Most growth is occurring in the corridor between Bendigo and Melbourne. </w:t>
      </w:r>
      <w:r w:rsidR="007E2381">
        <w:t xml:space="preserve">The </w:t>
      </w:r>
      <w:r w:rsidRPr="003A58CF">
        <w:t>Greater Bendigo and Macedon Ranges</w:t>
      </w:r>
      <w:r w:rsidR="007E2381">
        <w:t xml:space="preserve"> municipalities</w:t>
      </w:r>
      <w:r w:rsidRPr="003A58CF">
        <w:t xml:space="preserve"> have experienced rapid growth, above the region’s average. Mount Alexander</w:t>
      </w:r>
      <w:r w:rsidR="007E2381">
        <w:t xml:space="preserve"> Shire</w:t>
      </w:r>
      <w:r w:rsidRPr="003A58CF">
        <w:t xml:space="preserve"> </w:t>
      </w:r>
      <w:r w:rsidR="00AE37B2" w:rsidRPr="003A58CF">
        <w:t xml:space="preserve">has </w:t>
      </w:r>
      <w:r w:rsidRPr="003A58CF">
        <w:t xml:space="preserve">experienced steady growth, below the region’s average. There </w:t>
      </w:r>
      <w:r w:rsidR="00446AA5" w:rsidRPr="003A58CF">
        <w:t xml:space="preserve">has been </w:t>
      </w:r>
      <w:r w:rsidRPr="003A58CF">
        <w:t xml:space="preserve">a small amount of growth in Central Goldfields </w:t>
      </w:r>
      <w:r w:rsidR="007E2381">
        <w:t xml:space="preserve">Shire </w:t>
      </w:r>
      <w:r w:rsidRPr="003A58CF">
        <w:t>and a decrease in overall population in Loddon</w:t>
      </w:r>
      <w:r w:rsidR="007E2381">
        <w:t xml:space="preserve"> Shire</w:t>
      </w:r>
      <w:r w:rsidRPr="003A58CF">
        <w:t xml:space="preserve">. </w:t>
      </w:r>
    </w:p>
    <w:p w:rsidR="00DE58DB" w:rsidRPr="003A58CF" w:rsidRDefault="00DE58DB" w:rsidP="00854F5E">
      <w:pPr>
        <w:pStyle w:val="bt"/>
      </w:pPr>
      <w:bookmarkStart w:id="40" w:name="OLE_LINK14"/>
      <w:bookmarkStart w:id="41" w:name="OLE_LINK15"/>
      <w:r w:rsidRPr="003A58CF">
        <w:t xml:space="preserve">This </w:t>
      </w:r>
      <w:r w:rsidR="00491DC8" w:rsidRPr="003A58CF">
        <w:t xml:space="preserve">plan </w:t>
      </w:r>
      <w:r w:rsidRPr="003A58CF">
        <w:t xml:space="preserve">does not predict a growth rate or forecast population size at specific periods in time. Instead, it </w:t>
      </w:r>
      <w:r w:rsidR="00491DC8" w:rsidRPr="003A58CF">
        <w:t xml:space="preserve">acknowledges that </w:t>
      </w:r>
      <w:r w:rsidR="00B32DA0" w:rsidRPr="003A58CF">
        <w:t>there is</w:t>
      </w:r>
      <w:r w:rsidR="00491DC8" w:rsidRPr="003A58CF">
        <w:t xml:space="preserve"> likely to continue to </w:t>
      </w:r>
      <w:r w:rsidRPr="003A58CF">
        <w:t>be steady growth in the region and that the population is likely to reach</w:t>
      </w:r>
      <w:r w:rsidR="00B32DA0" w:rsidRPr="003A58CF">
        <w:t xml:space="preserve"> the projected</w:t>
      </w:r>
      <w:r w:rsidRPr="003A58CF">
        <w:t xml:space="preserve"> </w:t>
      </w:r>
      <w:r w:rsidR="00E247AE" w:rsidRPr="003A58CF">
        <w:t>266,900 by 2041</w:t>
      </w:r>
      <w:r w:rsidRPr="003A58CF">
        <w:t xml:space="preserve">. </w:t>
      </w:r>
      <w:r w:rsidR="00E247AE" w:rsidRPr="003A58CF">
        <w:t>Th</w:t>
      </w:r>
      <w:r w:rsidR="00B32DA0" w:rsidRPr="003A58CF">
        <w:t>e</w:t>
      </w:r>
      <w:r w:rsidR="00E247AE" w:rsidRPr="003A58CF">
        <w:t xml:space="preserve"> </w:t>
      </w:r>
      <w:r w:rsidR="00491DC8" w:rsidRPr="003A58CF">
        <w:t>p</w:t>
      </w:r>
      <w:r w:rsidR="00E247AE" w:rsidRPr="003A58CF">
        <w:t xml:space="preserve">lan considers the implications of growing to a </w:t>
      </w:r>
      <w:r w:rsidRPr="003A58CF">
        <w:t>population</w:t>
      </w:r>
      <w:r w:rsidR="00A20343" w:rsidRPr="003A58CF">
        <w:t xml:space="preserve"> </w:t>
      </w:r>
      <w:r w:rsidRPr="003A58CF">
        <w:t>of 300</w:t>
      </w:r>
      <w:r w:rsidR="0021421B" w:rsidRPr="003A58CF">
        <w:t>,</w:t>
      </w:r>
      <w:r w:rsidRPr="003A58CF">
        <w:t>000 in this period, with 150</w:t>
      </w:r>
      <w:r w:rsidR="00D00DAA" w:rsidRPr="003A58CF">
        <w:t>,000</w:t>
      </w:r>
      <w:r w:rsidRPr="003A58CF">
        <w:t xml:space="preserve"> </w:t>
      </w:r>
      <w:r w:rsidR="0021421B" w:rsidRPr="003A58CF">
        <w:t xml:space="preserve">to </w:t>
      </w:r>
      <w:r w:rsidRPr="003A58CF">
        <w:t>200</w:t>
      </w:r>
      <w:r w:rsidR="0021421B" w:rsidRPr="003A58CF">
        <w:t>,</w:t>
      </w:r>
      <w:r w:rsidRPr="003A58CF">
        <w:t xml:space="preserve">000 </w:t>
      </w:r>
      <w:r w:rsidR="0021421B" w:rsidRPr="003A58CF">
        <w:t xml:space="preserve">people </w:t>
      </w:r>
      <w:r w:rsidRPr="003A58CF">
        <w:t>residing in</w:t>
      </w:r>
      <w:r w:rsidR="00A20343" w:rsidRPr="003A58CF">
        <w:t xml:space="preserve"> the City of Greater</w:t>
      </w:r>
      <w:r w:rsidRPr="003A58CF">
        <w:t xml:space="preserve"> Bendigo. More information on population growth can be found in the </w:t>
      </w:r>
      <w:r w:rsidR="009A5597" w:rsidRPr="003A58CF">
        <w:t>background report</w:t>
      </w:r>
      <w:r w:rsidRPr="003A58CF">
        <w:t xml:space="preserve">. </w:t>
      </w:r>
    </w:p>
    <w:p w:rsidR="00135CA1" w:rsidRPr="000C0C09" w:rsidRDefault="0018666D" w:rsidP="00AE7B9C">
      <w:pPr>
        <w:pStyle w:val="Heading4"/>
        <w:rPr>
          <w:rStyle w:val="Strong"/>
          <w:b/>
          <w:bCs/>
        </w:rPr>
      </w:pPr>
      <w:bookmarkStart w:id="42" w:name="_Toc351459080"/>
      <w:bookmarkEnd w:id="40"/>
      <w:bookmarkEnd w:id="41"/>
      <w:r w:rsidRPr="000C0C09">
        <w:rPr>
          <w:rStyle w:val="Strong"/>
          <w:b/>
          <w:bCs/>
        </w:rPr>
        <w:t>Economic growth</w:t>
      </w:r>
      <w:bookmarkEnd w:id="42"/>
    </w:p>
    <w:p w:rsidR="00DE58DB" w:rsidRPr="003A58CF" w:rsidRDefault="00DE58DB" w:rsidP="00854F5E">
      <w:pPr>
        <w:pStyle w:val="bt"/>
      </w:pPr>
      <w:bookmarkStart w:id="43" w:name="OLE_LINK58"/>
      <w:bookmarkStart w:id="44" w:name="OLE_LINK59"/>
      <w:r w:rsidRPr="003A58CF">
        <w:t xml:space="preserve">Over the past decade, the region has outpaced the rest of regional Victoria in economic growth. The key sectors contributing to this economic growth </w:t>
      </w:r>
      <w:r w:rsidR="00BB678A" w:rsidRPr="003A58CF">
        <w:t>are</w:t>
      </w:r>
      <w:r w:rsidRPr="003A58CF">
        <w:t xml:space="preserve"> </w:t>
      </w:r>
      <w:r w:rsidR="00205346" w:rsidRPr="003A58CF">
        <w:t xml:space="preserve">financial, health and insurance services, </w:t>
      </w:r>
      <w:r w:rsidRPr="003A58CF">
        <w:t>manufacturing</w:t>
      </w:r>
      <w:r w:rsidR="00205346" w:rsidRPr="003A58CF">
        <w:t xml:space="preserve"> and</w:t>
      </w:r>
      <w:r w:rsidRPr="003A58CF">
        <w:t xml:space="preserve"> </w:t>
      </w:r>
      <w:r w:rsidR="00205346" w:rsidRPr="003A58CF">
        <w:t>mining</w:t>
      </w:r>
      <w:r w:rsidRPr="003A58CF">
        <w:t>. Agriculture continues to be a significant employer in the region</w:t>
      </w:r>
      <w:r w:rsidR="0021421B" w:rsidRPr="003A58CF">
        <w:t>,</w:t>
      </w:r>
      <w:r w:rsidRPr="003A58CF">
        <w:t xml:space="preserve"> particularly horticulture, viticulture, poultry and swine. Population</w:t>
      </w:r>
      <w:r w:rsidR="0021421B" w:rsidRPr="003A58CF">
        <w:t>-</w:t>
      </w:r>
      <w:r w:rsidRPr="003A58CF">
        <w:t xml:space="preserve">driven sectors such as healthcare, construction, education and retail trade are also significant to the regional economy. </w:t>
      </w:r>
    </w:p>
    <w:bookmarkEnd w:id="43"/>
    <w:bookmarkEnd w:id="44"/>
    <w:p w:rsidR="00DE58DB" w:rsidRPr="003A58CF" w:rsidRDefault="00DE58DB" w:rsidP="00854F5E">
      <w:pPr>
        <w:pStyle w:val="bt"/>
        <w:rPr>
          <w:noProof/>
        </w:rPr>
      </w:pPr>
      <w:r w:rsidRPr="003A58CF">
        <w:t xml:space="preserve">Bendigo has driven much of the economic growth in the region, through its function as the regional </w:t>
      </w:r>
      <w:r w:rsidR="00446AA5" w:rsidRPr="003A58CF">
        <w:t>city</w:t>
      </w:r>
      <w:r w:rsidRPr="003A58CF">
        <w:t xml:space="preserve">. Bendigo had the highest annual average growth rate on </w:t>
      </w:r>
      <w:r w:rsidR="00D00DAA" w:rsidRPr="003A58CF">
        <w:t>G</w:t>
      </w:r>
      <w:r w:rsidRPr="003A58CF">
        <w:t xml:space="preserve">ross </w:t>
      </w:r>
      <w:r w:rsidR="00D00DAA" w:rsidRPr="003A58CF">
        <w:t>R</w:t>
      </w:r>
      <w:r w:rsidRPr="003A58CF">
        <w:t xml:space="preserve">egional </w:t>
      </w:r>
      <w:r w:rsidR="00D00DAA" w:rsidRPr="003A58CF">
        <w:t>P</w:t>
      </w:r>
      <w:r w:rsidRPr="003A58CF">
        <w:t xml:space="preserve">roduct among regional cities (2001 to 2011). While manufacturing is Bendigo’s largest industry in terms of economic output, there has been substantial growth in all business sectors and </w:t>
      </w:r>
      <w:r w:rsidR="00374ADD" w:rsidRPr="003A58CF">
        <w:t>48,246</w:t>
      </w:r>
      <w:r w:rsidRPr="003A58CF">
        <w:t xml:space="preserve"> people are employed in </w:t>
      </w:r>
      <w:r w:rsidR="00374ADD" w:rsidRPr="003A58CF">
        <w:t xml:space="preserve">the City of Greater </w:t>
      </w:r>
      <w:r w:rsidRPr="003A58CF">
        <w:t>Bendigo. The</w:t>
      </w:r>
      <w:r w:rsidR="00643E86" w:rsidRPr="003A58CF">
        <w:t xml:space="preserve"> City of Greater Bendigo</w:t>
      </w:r>
      <w:r w:rsidRPr="003A58CF">
        <w:t xml:space="preserve"> is home to over 4000 businesses including finance, </w:t>
      </w:r>
      <w:r w:rsidR="00762133">
        <w:t>information and communication technology</w:t>
      </w:r>
      <w:r w:rsidRPr="003A58CF">
        <w:t>, business, manufacturing, health, education and government. These sectors are anticipated to grow significantly in the future.</w:t>
      </w:r>
    </w:p>
    <w:p w:rsidR="00DE58DB" w:rsidRPr="003A58CF" w:rsidRDefault="00DE58DB" w:rsidP="00854F5E">
      <w:pPr>
        <w:pStyle w:val="bt"/>
      </w:pPr>
      <w:r w:rsidRPr="003A58CF">
        <w:t xml:space="preserve">Attracting and maintaining younger age groups for both education and further employment will be critical to maintaining community diversity and a vital economy. The desire for the regional city and settlements to grow and sustain viable populations also relies on attracting families to the region, which in turn </w:t>
      </w:r>
      <w:r w:rsidR="00762133">
        <w:t>depends</w:t>
      </w:r>
      <w:r w:rsidR="00762133" w:rsidRPr="003A58CF">
        <w:t xml:space="preserve"> </w:t>
      </w:r>
      <w:r w:rsidRPr="003A58CF">
        <w:t>on offering a range of employment opportunities and appropriate access to social infrastructure.</w:t>
      </w:r>
    </w:p>
    <w:p w:rsidR="00135CA1" w:rsidRPr="00AE7B9C" w:rsidRDefault="0018666D" w:rsidP="00AE7B9C">
      <w:pPr>
        <w:pStyle w:val="Heading4"/>
        <w:rPr>
          <w:rStyle w:val="Strong"/>
          <w:b/>
          <w:bCs/>
        </w:rPr>
      </w:pPr>
      <w:bookmarkStart w:id="45" w:name="_Toc351459081"/>
      <w:r w:rsidRPr="00AE7B9C">
        <w:rPr>
          <w:rStyle w:val="Strong"/>
          <w:b/>
          <w:bCs/>
        </w:rPr>
        <w:lastRenderedPageBreak/>
        <w:t>Environmental and heritage assets</w:t>
      </w:r>
      <w:bookmarkEnd w:id="45"/>
    </w:p>
    <w:p w:rsidR="00951524" w:rsidRDefault="001F16ED" w:rsidP="00854F5E">
      <w:pPr>
        <w:pStyle w:val="bt"/>
      </w:pPr>
      <w:r w:rsidRPr="003A58CF">
        <w:t>The Loddon Mallee South region contains significant environmental assets including native vegetation, waterways, soils and water supply catchments. These assets occur on both public and private land and need to be considered carefully when planning for the settlement and economic growth in the region. These environmental assets provide numerous environmental values to the region beyond supporting natural systems and processes, such as recreation and tourism destinations, supporting the attractiveness and liveability of the region, and enabling the provision of water and food for communities.</w:t>
      </w:r>
    </w:p>
    <w:p w:rsidR="00951524" w:rsidRDefault="001F16ED" w:rsidP="00854F5E">
      <w:pPr>
        <w:pStyle w:val="bt"/>
      </w:pPr>
      <w:r w:rsidRPr="003A58CF">
        <w:t xml:space="preserve">The </w:t>
      </w:r>
      <w:r w:rsidR="00D00DAA" w:rsidRPr="003A58CF">
        <w:t xml:space="preserve">region’s </w:t>
      </w:r>
      <w:r w:rsidRPr="003A58CF">
        <w:t>cultural heritage assets include a rich goldfields history, rural production areas, historic settlements and places and landscapes of Aboriginal cultural heritage significance. These assets have always attracted, and will continue to attract</w:t>
      </w:r>
      <w:r w:rsidR="00D00DAA" w:rsidRPr="003A58CF">
        <w:t>,</w:t>
      </w:r>
      <w:r w:rsidRPr="003A58CF">
        <w:t xml:space="preserve"> people to the region to live, work and visit.</w:t>
      </w:r>
    </w:p>
    <w:p w:rsidR="00A20343" w:rsidRPr="003A58CF" w:rsidRDefault="001F16ED" w:rsidP="00854F5E">
      <w:pPr>
        <w:pStyle w:val="bt"/>
      </w:pPr>
      <w:r w:rsidRPr="003A58CF">
        <w:t xml:space="preserve">The region has many </w:t>
      </w:r>
      <w:r w:rsidR="00D00DAA" w:rsidRPr="003A58CF">
        <w:t>well-</w:t>
      </w:r>
      <w:r w:rsidRPr="003A58CF">
        <w:t>known areas that contain multiple environmental and heritage assets, including the Castlemaine Diggings National Heritage Park, Hanging Rock, the Macedon Ranges, Terrick Terrick National Park</w:t>
      </w:r>
      <w:r w:rsidR="00D3068D" w:rsidRPr="003A58CF">
        <w:t>, Kooyoora State Park</w:t>
      </w:r>
      <w:r w:rsidRPr="003A58CF">
        <w:t xml:space="preserve"> and the numerous wetlands in the Loddon River </w:t>
      </w:r>
      <w:r w:rsidR="00D00DAA" w:rsidRPr="003A58CF">
        <w:t>F</w:t>
      </w:r>
      <w:r w:rsidRPr="003A58CF">
        <w:t>loodplain.</w:t>
      </w:r>
    </w:p>
    <w:p w:rsidR="00135CA1" w:rsidRPr="00AE7B9C" w:rsidRDefault="0018666D" w:rsidP="00AE7B9C">
      <w:pPr>
        <w:pStyle w:val="Heading4"/>
        <w:rPr>
          <w:rStyle w:val="Strong"/>
          <w:b/>
          <w:bCs/>
        </w:rPr>
      </w:pPr>
      <w:bookmarkStart w:id="46" w:name="_Toc351459082"/>
      <w:r w:rsidRPr="00AE7B9C">
        <w:rPr>
          <w:rStyle w:val="Strong"/>
          <w:b/>
          <w:bCs/>
        </w:rPr>
        <w:t>Transport access and infrastructure</w:t>
      </w:r>
      <w:bookmarkEnd w:id="46"/>
    </w:p>
    <w:p w:rsidR="002D1E92" w:rsidRPr="003A58CF" w:rsidRDefault="00DE58DB" w:rsidP="00854F5E">
      <w:pPr>
        <w:pStyle w:val="bt"/>
        <w:rPr>
          <w:lang w:val="en-US" w:eastAsia="en-US"/>
        </w:rPr>
      </w:pPr>
      <w:r w:rsidRPr="003A58CF">
        <w:rPr>
          <w:lang w:val="en-US" w:eastAsia="en-US"/>
        </w:rPr>
        <w:t xml:space="preserve">The Calder transport corridor (road and rail) is the key transport spine in the region providing access to Melbourne to the south and </w:t>
      </w:r>
      <w:bookmarkStart w:id="47" w:name="OLE_LINK113"/>
      <w:bookmarkStart w:id="48" w:name="OLE_LINK114"/>
      <w:r w:rsidR="00205346" w:rsidRPr="003A58CF">
        <w:rPr>
          <w:lang w:val="en-US" w:eastAsia="en-US"/>
        </w:rPr>
        <w:t>Mildura through to Adelaide to the north</w:t>
      </w:r>
      <w:r w:rsidR="00D00DAA" w:rsidRPr="003A58CF">
        <w:rPr>
          <w:lang w:val="en-US" w:eastAsia="en-US"/>
        </w:rPr>
        <w:t xml:space="preserve"> </w:t>
      </w:r>
      <w:r w:rsidR="00205346" w:rsidRPr="003A58CF">
        <w:rPr>
          <w:lang w:val="en-US" w:eastAsia="en-US"/>
        </w:rPr>
        <w:t>west</w:t>
      </w:r>
      <w:bookmarkEnd w:id="47"/>
      <w:bookmarkEnd w:id="48"/>
      <w:r w:rsidRPr="003A58CF">
        <w:rPr>
          <w:lang w:val="en-US" w:eastAsia="en-US"/>
        </w:rPr>
        <w:t xml:space="preserve">. </w:t>
      </w:r>
      <w:r w:rsidR="000C4A46" w:rsidRPr="003A58CF">
        <w:rPr>
          <w:lang w:val="en-US" w:eastAsia="en-US"/>
        </w:rPr>
        <w:t>R</w:t>
      </w:r>
      <w:r w:rsidR="002D1E92" w:rsidRPr="003A58CF">
        <w:rPr>
          <w:lang w:val="en-US" w:eastAsia="en-US"/>
        </w:rPr>
        <w:t xml:space="preserve">ecent infrastructure </w:t>
      </w:r>
      <w:r w:rsidR="00CB0644" w:rsidRPr="003A58CF">
        <w:rPr>
          <w:lang w:val="en-US" w:eastAsia="en-US"/>
        </w:rPr>
        <w:t>investments</w:t>
      </w:r>
      <w:r w:rsidR="000C4A46" w:rsidRPr="003A58CF">
        <w:rPr>
          <w:lang w:val="en-US" w:eastAsia="en-US"/>
        </w:rPr>
        <w:t xml:space="preserve"> have encouraged the growth of towns and communities along the corridor</w:t>
      </w:r>
      <w:r w:rsidR="002D1E92" w:rsidRPr="003A58CF">
        <w:rPr>
          <w:lang w:val="en-US" w:eastAsia="en-US"/>
        </w:rPr>
        <w:t xml:space="preserve">. Upgrades to the Calder Freeway and Bendigo </w:t>
      </w:r>
      <w:r w:rsidR="00CB0644" w:rsidRPr="003A58CF">
        <w:rPr>
          <w:lang w:val="en-US" w:eastAsia="en-US"/>
        </w:rPr>
        <w:t>rail</w:t>
      </w:r>
      <w:r w:rsidR="002D1E92" w:rsidRPr="003A58CF">
        <w:rPr>
          <w:lang w:val="en-US" w:eastAsia="en-US"/>
        </w:rPr>
        <w:t xml:space="preserve"> line</w:t>
      </w:r>
      <w:r w:rsidR="00CB0644" w:rsidRPr="003A58CF">
        <w:rPr>
          <w:lang w:val="en-US" w:eastAsia="en-US"/>
        </w:rPr>
        <w:t xml:space="preserve"> </w:t>
      </w:r>
      <w:r w:rsidR="002D1E92" w:rsidRPr="003A58CF">
        <w:rPr>
          <w:lang w:val="en-US" w:eastAsia="en-US"/>
        </w:rPr>
        <w:t xml:space="preserve">over the past decade </w:t>
      </w:r>
      <w:r w:rsidR="003B3035" w:rsidRPr="003A58CF">
        <w:rPr>
          <w:lang w:val="en-US" w:eastAsia="en-US"/>
        </w:rPr>
        <w:t xml:space="preserve">have </w:t>
      </w:r>
      <w:r w:rsidR="002D1E92" w:rsidRPr="003A58CF">
        <w:rPr>
          <w:lang w:val="en-US" w:eastAsia="en-US"/>
        </w:rPr>
        <w:t xml:space="preserve">resulted in </w:t>
      </w:r>
      <w:r w:rsidR="003B3035" w:rsidRPr="003A58CF">
        <w:rPr>
          <w:lang w:val="en-US" w:eastAsia="en-US"/>
        </w:rPr>
        <w:t xml:space="preserve">greater </w:t>
      </w:r>
      <w:r w:rsidR="00BB678A" w:rsidRPr="003A58CF">
        <w:rPr>
          <w:lang w:val="en-US" w:eastAsia="en-US"/>
        </w:rPr>
        <w:t>movement</w:t>
      </w:r>
      <w:r w:rsidR="002D1E92" w:rsidRPr="003A58CF">
        <w:rPr>
          <w:lang w:val="en-US" w:eastAsia="en-US"/>
        </w:rPr>
        <w:t xml:space="preserve"> along this important </w:t>
      </w:r>
      <w:r w:rsidR="00BB678A" w:rsidRPr="003A58CF">
        <w:rPr>
          <w:lang w:val="en-US" w:eastAsia="en-US"/>
        </w:rPr>
        <w:t>transport</w:t>
      </w:r>
      <w:r w:rsidR="002D1E92" w:rsidRPr="003A58CF">
        <w:rPr>
          <w:lang w:val="en-US" w:eastAsia="en-US"/>
        </w:rPr>
        <w:t xml:space="preserve"> spine. These networks and movements are critical to business and commuter transport. </w:t>
      </w:r>
    </w:p>
    <w:p w:rsidR="002D1E92" w:rsidRPr="003A58CF" w:rsidRDefault="00DE58DB" w:rsidP="00854F5E">
      <w:pPr>
        <w:pStyle w:val="bt"/>
        <w:rPr>
          <w:lang w:val="en-US" w:eastAsia="en-US"/>
        </w:rPr>
      </w:pPr>
      <w:r w:rsidRPr="003A58CF">
        <w:rPr>
          <w:lang w:val="en-US" w:eastAsia="en-US"/>
        </w:rPr>
        <w:t>Other key road links include</w:t>
      </w:r>
      <w:r w:rsidR="003B3035" w:rsidRPr="003A58CF">
        <w:rPr>
          <w:lang w:val="en-US" w:eastAsia="en-US"/>
        </w:rPr>
        <w:t xml:space="preserve"> </w:t>
      </w:r>
      <w:r w:rsidRPr="003A58CF">
        <w:rPr>
          <w:lang w:val="en-US" w:eastAsia="en-US"/>
        </w:rPr>
        <w:t xml:space="preserve">the Northern and Sunraysia </w:t>
      </w:r>
      <w:r w:rsidR="003B3035" w:rsidRPr="003A58CF">
        <w:rPr>
          <w:lang w:val="en-US" w:eastAsia="en-US"/>
        </w:rPr>
        <w:t>h</w:t>
      </w:r>
      <w:r w:rsidRPr="003A58CF">
        <w:rPr>
          <w:lang w:val="en-US" w:eastAsia="en-US"/>
        </w:rPr>
        <w:t>ighways</w:t>
      </w:r>
      <w:r w:rsidR="000C4A46" w:rsidRPr="003A58CF">
        <w:rPr>
          <w:lang w:val="en-US" w:eastAsia="en-US"/>
        </w:rPr>
        <w:t>,</w:t>
      </w:r>
      <w:r w:rsidRPr="003A58CF">
        <w:rPr>
          <w:lang w:val="en-US" w:eastAsia="en-US"/>
        </w:rPr>
        <w:t xml:space="preserve"> which provide strategic routes to intra-regional cities such as Ballarat and Geelong; the </w:t>
      </w:r>
      <w:r w:rsidR="002D1E92" w:rsidRPr="003A58CF">
        <w:rPr>
          <w:lang w:val="en-US" w:eastAsia="en-US"/>
        </w:rPr>
        <w:t>M</w:t>
      </w:r>
      <w:r w:rsidRPr="003A58CF">
        <w:rPr>
          <w:lang w:val="en-US" w:eastAsia="en-US"/>
        </w:rPr>
        <w:t>idland Highway</w:t>
      </w:r>
      <w:r w:rsidR="00D00DAA" w:rsidRPr="003A58CF">
        <w:rPr>
          <w:lang w:val="en-US" w:eastAsia="en-US"/>
        </w:rPr>
        <w:t>,</w:t>
      </w:r>
      <w:r w:rsidRPr="003A58CF">
        <w:rPr>
          <w:lang w:val="en-US" w:eastAsia="en-US"/>
        </w:rPr>
        <w:t xml:space="preserve"> which provides a </w:t>
      </w:r>
      <w:r w:rsidR="000C4A46" w:rsidRPr="003A58CF">
        <w:rPr>
          <w:lang w:val="en-US" w:eastAsia="en-US"/>
        </w:rPr>
        <w:t>north-south</w:t>
      </w:r>
      <w:r w:rsidRPr="003A58CF">
        <w:rPr>
          <w:lang w:val="en-US" w:eastAsia="en-US"/>
        </w:rPr>
        <w:t xml:space="preserve"> link between the Hume Freeway and the Port of Geelong via Benalla, Shepparton, Bendigo and Ballarat</w:t>
      </w:r>
      <w:r w:rsidR="000C4A46" w:rsidRPr="003A58CF">
        <w:rPr>
          <w:lang w:val="en-US" w:eastAsia="en-US"/>
        </w:rPr>
        <w:t>; the McIvor Highway</w:t>
      </w:r>
      <w:r w:rsidR="00A70B44" w:rsidRPr="003A58CF">
        <w:rPr>
          <w:lang w:val="en-US" w:eastAsia="en-US"/>
        </w:rPr>
        <w:t>,</w:t>
      </w:r>
      <w:r w:rsidR="000C4A46" w:rsidRPr="003A58CF">
        <w:rPr>
          <w:lang w:val="en-US" w:eastAsia="en-US"/>
        </w:rPr>
        <w:t xml:space="preserve"> which links Bendigo with Kilmore and Melbourne; and the Wimmera Highway</w:t>
      </w:r>
      <w:r w:rsidR="00A70B44" w:rsidRPr="003A58CF">
        <w:rPr>
          <w:lang w:val="en-US" w:eastAsia="en-US"/>
        </w:rPr>
        <w:t>,</w:t>
      </w:r>
      <w:r w:rsidR="000C4A46" w:rsidRPr="003A58CF">
        <w:rPr>
          <w:lang w:val="en-US" w:eastAsia="en-US"/>
        </w:rPr>
        <w:t xml:space="preserve"> which provides a link from Bendigo to Horsham and South Australia</w:t>
      </w:r>
      <w:r w:rsidRPr="003A58CF">
        <w:rPr>
          <w:lang w:val="en-US" w:eastAsia="en-US"/>
        </w:rPr>
        <w:t xml:space="preserve">. </w:t>
      </w:r>
    </w:p>
    <w:p w:rsidR="00BE2271" w:rsidRPr="003A58CF" w:rsidRDefault="002D1E92" w:rsidP="00854F5E">
      <w:pPr>
        <w:pStyle w:val="bt"/>
        <w:rPr>
          <w:lang w:val="en-US" w:eastAsia="en-US"/>
        </w:rPr>
      </w:pPr>
      <w:r w:rsidRPr="003A58CF">
        <w:rPr>
          <w:lang w:val="en-US" w:eastAsia="en-US"/>
        </w:rPr>
        <w:t>The Bendig</w:t>
      </w:r>
      <w:r w:rsidR="000C4A46" w:rsidRPr="003A58CF">
        <w:rPr>
          <w:lang w:val="en-US" w:eastAsia="en-US"/>
        </w:rPr>
        <w:t>o</w:t>
      </w:r>
      <w:r w:rsidRPr="003A58CF">
        <w:rPr>
          <w:lang w:val="en-US" w:eastAsia="en-US"/>
        </w:rPr>
        <w:t xml:space="preserve"> rail line</w:t>
      </w:r>
      <w:r w:rsidR="003F6464" w:rsidRPr="003A58CF">
        <w:rPr>
          <w:lang w:val="en-US" w:eastAsia="en-US"/>
        </w:rPr>
        <w:t xml:space="preserve"> </w:t>
      </w:r>
      <w:r w:rsidRPr="003A58CF">
        <w:rPr>
          <w:lang w:val="en-US" w:eastAsia="en-US"/>
        </w:rPr>
        <w:t xml:space="preserve">enables </w:t>
      </w:r>
      <w:r w:rsidR="00120C92" w:rsidRPr="003A58CF">
        <w:rPr>
          <w:lang w:val="en-US" w:eastAsia="en-US"/>
        </w:rPr>
        <w:t>commuting</w:t>
      </w:r>
      <w:r w:rsidRPr="003A58CF">
        <w:rPr>
          <w:lang w:val="en-US" w:eastAsia="en-US"/>
        </w:rPr>
        <w:t xml:space="preserve"> to larger centres for education</w:t>
      </w:r>
      <w:r w:rsidR="00A70B44" w:rsidRPr="003A58CF">
        <w:rPr>
          <w:lang w:val="en-US" w:eastAsia="en-US"/>
        </w:rPr>
        <w:t xml:space="preserve"> and </w:t>
      </w:r>
      <w:r w:rsidRPr="003A58CF">
        <w:rPr>
          <w:lang w:val="en-US" w:eastAsia="en-US"/>
        </w:rPr>
        <w:t xml:space="preserve">employment and access </w:t>
      </w:r>
      <w:r w:rsidR="0008129B" w:rsidRPr="003A58CF">
        <w:rPr>
          <w:lang w:val="en-US" w:eastAsia="en-US"/>
        </w:rPr>
        <w:t xml:space="preserve">to </w:t>
      </w:r>
      <w:r w:rsidRPr="003A58CF">
        <w:rPr>
          <w:lang w:val="en-US" w:eastAsia="en-US"/>
        </w:rPr>
        <w:t xml:space="preserve">a range of higher order services. </w:t>
      </w:r>
      <w:r w:rsidR="0008129B" w:rsidRPr="003A58CF">
        <w:rPr>
          <w:lang w:val="en-US" w:eastAsia="en-US"/>
        </w:rPr>
        <w:t xml:space="preserve">The rail line has two branches north to Echuca and Swan Hill. </w:t>
      </w:r>
      <w:r w:rsidRPr="003A58CF">
        <w:rPr>
          <w:lang w:val="en-US" w:eastAsia="en-US"/>
        </w:rPr>
        <w:t xml:space="preserve">This movement is between </w:t>
      </w:r>
      <w:r w:rsidR="003B3035" w:rsidRPr="003A58CF">
        <w:rPr>
          <w:lang w:val="en-US" w:eastAsia="en-US"/>
        </w:rPr>
        <w:t xml:space="preserve">regional </w:t>
      </w:r>
      <w:r w:rsidRPr="003A58CF">
        <w:rPr>
          <w:lang w:val="en-US" w:eastAsia="en-US"/>
        </w:rPr>
        <w:t xml:space="preserve">townships </w:t>
      </w:r>
      <w:r w:rsidR="00120C92" w:rsidRPr="003A58CF">
        <w:rPr>
          <w:lang w:val="en-US" w:eastAsia="en-US"/>
        </w:rPr>
        <w:t>a</w:t>
      </w:r>
      <w:r w:rsidRPr="003A58CF">
        <w:rPr>
          <w:lang w:val="en-US" w:eastAsia="en-US"/>
        </w:rPr>
        <w:t xml:space="preserve">s well as to </w:t>
      </w:r>
      <w:r w:rsidR="00155F80" w:rsidRPr="003A58CF">
        <w:rPr>
          <w:lang w:val="en-US" w:eastAsia="en-US"/>
        </w:rPr>
        <w:t xml:space="preserve">and from </w:t>
      </w:r>
      <w:r w:rsidRPr="003A58CF">
        <w:rPr>
          <w:lang w:val="en-US" w:eastAsia="en-US"/>
        </w:rPr>
        <w:t xml:space="preserve">Melbourne. </w:t>
      </w:r>
    </w:p>
    <w:p w:rsidR="00DE58DB" w:rsidRPr="003A58CF" w:rsidRDefault="00BE2271" w:rsidP="00854F5E">
      <w:pPr>
        <w:pStyle w:val="bt"/>
        <w:rPr>
          <w:lang w:val="en-US" w:eastAsia="en-US"/>
        </w:rPr>
      </w:pPr>
      <w:r w:rsidRPr="003A58CF">
        <w:rPr>
          <w:lang w:val="en-US" w:eastAsia="en-US"/>
        </w:rPr>
        <w:t xml:space="preserve">The provision of infrastructure and the protection of assets </w:t>
      </w:r>
      <w:r w:rsidR="00871135" w:rsidRPr="003A58CF">
        <w:rPr>
          <w:lang w:val="en-US" w:eastAsia="en-US"/>
        </w:rPr>
        <w:t>are</w:t>
      </w:r>
      <w:r w:rsidRPr="003A58CF">
        <w:rPr>
          <w:lang w:val="en-US" w:eastAsia="en-US"/>
        </w:rPr>
        <w:t xml:space="preserve"> critical to achieving and managing growth. The provision of safe drinking water is essential and the quality of water sources has a major impact on human health. The region </w:t>
      </w:r>
      <w:r w:rsidR="00071A25" w:rsidRPr="003A58CF">
        <w:rPr>
          <w:lang w:val="en-US" w:eastAsia="en-US"/>
        </w:rPr>
        <w:t xml:space="preserve">includes </w:t>
      </w:r>
      <w:r w:rsidR="00A20343" w:rsidRPr="003A58CF">
        <w:rPr>
          <w:lang w:val="en-US" w:eastAsia="en-US"/>
        </w:rPr>
        <w:t xml:space="preserve">Lake </w:t>
      </w:r>
      <w:r w:rsidRPr="003A58CF">
        <w:rPr>
          <w:lang w:val="en-US" w:eastAsia="en-US"/>
        </w:rPr>
        <w:t>Eppalock and Loddon</w:t>
      </w:r>
      <w:r w:rsidR="00A20343" w:rsidRPr="003A58CF">
        <w:rPr>
          <w:lang w:val="en-US" w:eastAsia="en-US"/>
        </w:rPr>
        <w:t xml:space="preserve"> River </w:t>
      </w:r>
      <w:r w:rsidR="003B3035" w:rsidRPr="003A58CF">
        <w:rPr>
          <w:lang w:val="en-US" w:eastAsia="en-US"/>
        </w:rPr>
        <w:t>c</w:t>
      </w:r>
      <w:r w:rsidRPr="003A58CF">
        <w:rPr>
          <w:lang w:val="en-US" w:eastAsia="en-US"/>
        </w:rPr>
        <w:t>atchments, and their protection</w:t>
      </w:r>
      <w:r w:rsidR="00AE37B2" w:rsidRPr="003A58CF">
        <w:rPr>
          <w:lang w:val="en-US" w:eastAsia="en-US"/>
        </w:rPr>
        <w:t xml:space="preserve"> is</w:t>
      </w:r>
      <w:r w:rsidRPr="003A58CF">
        <w:rPr>
          <w:lang w:val="en-US" w:eastAsia="en-US"/>
        </w:rPr>
        <w:t xml:space="preserve"> important to </w:t>
      </w:r>
      <w:r w:rsidR="00A20343" w:rsidRPr="003A58CF">
        <w:rPr>
          <w:lang w:val="en-US" w:eastAsia="en-US"/>
        </w:rPr>
        <w:t xml:space="preserve">help maintain the </w:t>
      </w:r>
      <w:r w:rsidR="009C7A0F" w:rsidRPr="003A58CF">
        <w:rPr>
          <w:lang w:val="en-US" w:eastAsia="en-US"/>
        </w:rPr>
        <w:t xml:space="preserve">region’s </w:t>
      </w:r>
      <w:r w:rsidRPr="003A58CF">
        <w:rPr>
          <w:lang w:val="en-US" w:eastAsia="en-US"/>
        </w:rPr>
        <w:t xml:space="preserve">water supplies. </w:t>
      </w:r>
      <w:r w:rsidR="00A20343" w:rsidRPr="003A58CF">
        <w:rPr>
          <w:lang w:val="en-US" w:eastAsia="en-US"/>
        </w:rPr>
        <w:t xml:space="preserve">Significant irrigation infrastructure is located in the north of the </w:t>
      </w:r>
      <w:r w:rsidR="005B31F5" w:rsidRPr="003A58CF">
        <w:rPr>
          <w:lang w:val="en-US" w:eastAsia="en-US"/>
        </w:rPr>
        <w:t>region, which</w:t>
      </w:r>
      <w:r w:rsidR="00A20343" w:rsidRPr="003A58CF">
        <w:rPr>
          <w:lang w:val="en-US" w:eastAsia="en-US"/>
        </w:rPr>
        <w:t xml:space="preserve"> provides water to extensive areas of irrigated farmland.</w:t>
      </w:r>
    </w:p>
    <w:p w:rsidR="00135CA1" w:rsidRPr="00AE7B9C" w:rsidRDefault="0018666D" w:rsidP="00AE7B9C">
      <w:pPr>
        <w:pStyle w:val="Heading4"/>
        <w:rPr>
          <w:rStyle w:val="Strong"/>
          <w:b/>
          <w:bCs/>
        </w:rPr>
      </w:pPr>
      <w:bookmarkStart w:id="49" w:name="_Toc332184037"/>
      <w:bookmarkStart w:id="50" w:name="_Toc339962618"/>
      <w:bookmarkStart w:id="51" w:name="_Toc351459083"/>
      <w:r w:rsidRPr="00AE7B9C">
        <w:rPr>
          <w:rStyle w:val="Strong"/>
          <w:b/>
          <w:bCs/>
        </w:rPr>
        <w:t>Relationships with other regions</w:t>
      </w:r>
      <w:bookmarkEnd w:id="49"/>
      <w:bookmarkEnd w:id="50"/>
      <w:bookmarkEnd w:id="51"/>
    </w:p>
    <w:p w:rsidR="00DE58DB" w:rsidRPr="003A58CF" w:rsidRDefault="00DE58DB" w:rsidP="00854F5E">
      <w:pPr>
        <w:pStyle w:val="bt"/>
      </w:pPr>
      <w:r w:rsidRPr="003A58CF">
        <w:t>The region has strong links with its neighbouring regions</w:t>
      </w:r>
      <w:r w:rsidR="00192612" w:rsidRPr="003A58CF">
        <w:t>.</w:t>
      </w:r>
      <w:r w:rsidRPr="003A58CF">
        <w:t xml:space="preserve"> </w:t>
      </w:r>
      <w:r w:rsidR="0067219F" w:rsidRPr="003A58CF">
        <w:t xml:space="preserve">The region is closely linked to the </w:t>
      </w:r>
      <w:r w:rsidRPr="003A58CF">
        <w:t xml:space="preserve">Loddon Mallee North, </w:t>
      </w:r>
      <w:r w:rsidR="00762133">
        <w:t xml:space="preserve">Hume, </w:t>
      </w:r>
      <w:r w:rsidRPr="003A58CF">
        <w:t>Central Highlands and Wimmera Southern Mallee</w:t>
      </w:r>
      <w:r w:rsidR="0067219F" w:rsidRPr="003A58CF">
        <w:t xml:space="preserve"> regions,</w:t>
      </w:r>
      <w:r w:rsidR="003F6464" w:rsidRPr="003A58CF">
        <w:t xml:space="preserve"> and to Melbourne at its southern end,</w:t>
      </w:r>
      <w:r w:rsidRPr="003A58CF">
        <w:t xml:space="preserve"> sharing communities of interest, agricultural landscapes and production, as well as movement of people and goods between these regions. The proximity to metropolitan Melbourne is an advantage to access services and employment, but also puts</w:t>
      </w:r>
      <w:r w:rsidR="00071A25" w:rsidRPr="003A58CF">
        <w:t xml:space="preserve"> residential growth</w:t>
      </w:r>
      <w:r w:rsidRPr="003A58CF">
        <w:t xml:space="preserve"> pressure on </w:t>
      </w:r>
      <w:r w:rsidR="00762133">
        <w:t>parts of</w:t>
      </w:r>
      <w:r w:rsidR="00071A25" w:rsidRPr="003A58CF">
        <w:t xml:space="preserve"> the region that are with</w:t>
      </w:r>
      <w:r w:rsidRPr="003A58CF">
        <w:t xml:space="preserve">in </w:t>
      </w:r>
      <w:r w:rsidR="009D4D5C" w:rsidRPr="003A58CF">
        <w:t>100 kilometres of Melbourne</w:t>
      </w:r>
      <w:r w:rsidRPr="003A58CF">
        <w:t xml:space="preserve">. </w:t>
      </w:r>
    </w:p>
    <w:p w:rsidR="00DE58DB" w:rsidRPr="003A58CF" w:rsidRDefault="003B3035" w:rsidP="00854F5E">
      <w:pPr>
        <w:pStyle w:val="bt"/>
      </w:pPr>
      <w:r w:rsidRPr="003A58CF">
        <w:t xml:space="preserve">The Loddon Mallee South region’s </w:t>
      </w:r>
      <w:r w:rsidR="00DE58DB" w:rsidRPr="003A58CF">
        <w:t xml:space="preserve">relationship with metropolitan Melbourne is important and will continue to influence </w:t>
      </w:r>
      <w:r w:rsidRPr="003A58CF">
        <w:t xml:space="preserve">regional </w:t>
      </w:r>
      <w:r w:rsidR="00DE58DB" w:rsidRPr="003A58CF">
        <w:t>growth. Many residents commute to Melbourne for work, it is the location through which exports take place and its residents are major consumers of regional products and tourism. As transport links with Melbourne are improved</w:t>
      </w:r>
      <w:r w:rsidR="00192612" w:rsidRPr="003A58CF">
        <w:t>,</w:t>
      </w:r>
      <w:r w:rsidR="00DE58DB" w:rsidRPr="003A58CF">
        <w:t xml:space="preserve"> this interrelationship will continue to strengthen. </w:t>
      </w:r>
    </w:p>
    <w:p w:rsidR="00DE58DB" w:rsidRPr="003A58CF" w:rsidRDefault="00DE58DB" w:rsidP="00854F5E">
      <w:pPr>
        <w:pStyle w:val="bt"/>
      </w:pPr>
      <w:r w:rsidRPr="003A58CF">
        <w:lastRenderedPageBreak/>
        <w:t xml:space="preserve">The links to </w:t>
      </w:r>
      <w:r w:rsidR="00224612" w:rsidRPr="003A58CF">
        <w:t>Loddon Mallee</w:t>
      </w:r>
      <w:r w:rsidRPr="003A58CF">
        <w:t xml:space="preserve"> </w:t>
      </w:r>
      <w:r w:rsidR="00224612" w:rsidRPr="003A58CF">
        <w:t xml:space="preserve">North </w:t>
      </w:r>
      <w:r w:rsidRPr="003A58CF">
        <w:t xml:space="preserve">are through existing </w:t>
      </w:r>
      <w:r w:rsidR="00224612" w:rsidRPr="003A58CF">
        <w:t xml:space="preserve">passenger </w:t>
      </w:r>
      <w:r w:rsidRPr="003A58CF">
        <w:t>rail transport connections to Echuca</w:t>
      </w:r>
      <w:r w:rsidR="00224612" w:rsidRPr="003A58CF">
        <w:t xml:space="preserve"> and Swan Hill</w:t>
      </w:r>
      <w:r w:rsidR="00D424DE" w:rsidRPr="003A58CF">
        <w:t xml:space="preserve"> with</w:t>
      </w:r>
      <w:r w:rsidRPr="003A58CF">
        <w:t xml:space="preserve"> </w:t>
      </w:r>
      <w:r w:rsidR="00224612" w:rsidRPr="003A58CF">
        <w:t xml:space="preserve">road, </w:t>
      </w:r>
      <w:r w:rsidRPr="003A58CF">
        <w:t>freight</w:t>
      </w:r>
      <w:r w:rsidR="00D13A4A" w:rsidRPr="003A58CF">
        <w:t>,</w:t>
      </w:r>
      <w:r w:rsidRPr="003A58CF">
        <w:t xml:space="preserve"> farming</w:t>
      </w:r>
      <w:r w:rsidR="00D13A4A" w:rsidRPr="003A58CF">
        <w:t xml:space="preserve"> </w:t>
      </w:r>
      <w:r w:rsidR="00602D32" w:rsidRPr="003A58CF">
        <w:t xml:space="preserve">links and </w:t>
      </w:r>
      <w:r w:rsidR="00D13A4A" w:rsidRPr="003A58CF">
        <w:t>vegetation corridors</w:t>
      </w:r>
      <w:r w:rsidRPr="003A58CF">
        <w:t xml:space="preserve"> across both regions. Towns such as Maryborough in the south</w:t>
      </w:r>
      <w:r w:rsidR="00327A4C" w:rsidRPr="003A58CF">
        <w:t>-</w:t>
      </w:r>
      <w:r w:rsidRPr="003A58CF">
        <w:t xml:space="preserve">west of the region also have a strong relationship with Ballarat, another growing regional city in the Central Highlands region. Bendigo, as the regional city in Loddon Mallee South, is located at the junction of </w:t>
      </w:r>
      <w:r w:rsidR="004169D3" w:rsidRPr="003A58CF">
        <w:t xml:space="preserve">the </w:t>
      </w:r>
      <w:r w:rsidR="00D17396" w:rsidRPr="003A58CF">
        <w:t>Calder</w:t>
      </w:r>
      <w:r w:rsidR="004169D3" w:rsidRPr="003A58CF">
        <w:t>, Loddon Valley, Midland</w:t>
      </w:r>
      <w:r w:rsidR="003F6464" w:rsidRPr="003A58CF">
        <w:t>, Wimmera</w:t>
      </w:r>
      <w:r w:rsidR="004169D3" w:rsidRPr="003A58CF">
        <w:t xml:space="preserve"> and McIvor </w:t>
      </w:r>
      <w:r w:rsidR="00327A4C" w:rsidRPr="003A58CF">
        <w:t>h</w:t>
      </w:r>
      <w:r w:rsidR="004169D3" w:rsidRPr="003A58CF">
        <w:t>ighway</w:t>
      </w:r>
      <w:r w:rsidR="00327A4C" w:rsidRPr="003A58CF">
        <w:t>s</w:t>
      </w:r>
      <w:r w:rsidRPr="003A58CF">
        <w:t xml:space="preserve">, providing connections to interstate and trade routes. Bendigo provides employment and services to </w:t>
      </w:r>
      <w:r w:rsidR="003F6464" w:rsidRPr="003A58CF">
        <w:t xml:space="preserve">communities </w:t>
      </w:r>
      <w:r w:rsidRPr="003A58CF">
        <w:t xml:space="preserve">within and outside the region. Some towns in Loddon Mallee North and Hume regions rely on Bendigo for high level services such as health and education. </w:t>
      </w:r>
    </w:p>
    <w:p w:rsidR="001C18F4" w:rsidRPr="005B42B4" w:rsidRDefault="001C18F4" w:rsidP="005B42B4">
      <w:pPr>
        <w:pStyle w:val="bt"/>
      </w:pPr>
      <w:bookmarkStart w:id="52" w:name="_Ref352069547"/>
      <w:bookmarkStart w:id="53" w:name="_Toc373757224"/>
      <w:bookmarkStart w:id="54" w:name="OLE_LINK28"/>
      <w:bookmarkStart w:id="55" w:name="OLE_LINK29"/>
      <w:r w:rsidRPr="005B42B4">
        <w:t xml:space="preserve">Map </w:t>
      </w:r>
      <w:bookmarkEnd w:id="52"/>
      <w:r w:rsidR="00993A78">
        <w:t>4</w:t>
      </w:r>
      <w:r w:rsidR="005B42B4" w:rsidRPr="005B42B4">
        <w:t xml:space="preserve"> is located here in the document and it shows - </w:t>
      </w:r>
      <w:r w:rsidR="008A5847">
        <w:t>L</w:t>
      </w:r>
      <w:r w:rsidRPr="005B42B4">
        <w:t>inks to surrounding regions</w:t>
      </w:r>
      <w:bookmarkEnd w:id="53"/>
    </w:p>
    <w:p w:rsidR="004809DF" w:rsidRPr="004809DF" w:rsidRDefault="004809DF" w:rsidP="004809DF">
      <w:pPr>
        <w:pStyle w:val="Heading2"/>
      </w:pPr>
      <w:bookmarkStart w:id="56" w:name="_Toc352079232"/>
      <w:bookmarkStart w:id="57" w:name="_Toc352080162"/>
      <w:bookmarkStart w:id="58" w:name="_Toc352080209"/>
      <w:bookmarkStart w:id="59" w:name="_Toc372888327"/>
      <w:bookmarkStart w:id="60" w:name="_Toc373143033"/>
      <w:bookmarkStart w:id="61" w:name="_Toc373228924"/>
      <w:bookmarkStart w:id="62" w:name="_Toc373757275"/>
      <w:bookmarkStart w:id="63" w:name="_Toc377026327"/>
      <w:bookmarkEnd w:id="54"/>
      <w:bookmarkEnd w:id="55"/>
      <w:bookmarkEnd w:id="56"/>
      <w:bookmarkEnd w:id="57"/>
      <w:bookmarkEnd w:id="58"/>
      <w:r w:rsidRPr="004809DF">
        <w:t>Strategic assets</w:t>
      </w:r>
      <w:bookmarkEnd w:id="59"/>
      <w:bookmarkEnd w:id="60"/>
      <w:bookmarkEnd w:id="61"/>
      <w:bookmarkEnd w:id="62"/>
      <w:bookmarkEnd w:id="63"/>
    </w:p>
    <w:p w:rsidR="00DE58DB" w:rsidRPr="003A58CF" w:rsidRDefault="00DE58DB" w:rsidP="00854F5E">
      <w:pPr>
        <w:pStyle w:val="bt"/>
      </w:pPr>
      <w:r w:rsidRPr="003A58CF">
        <w:rPr>
          <w:lang w:val="en-US" w:eastAsia="en-US"/>
        </w:rPr>
        <w:t>Th</w:t>
      </w:r>
      <w:r w:rsidR="00327A4C" w:rsidRPr="003A58CF">
        <w:rPr>
          <w:lang w:val="en-US" w:eastAsia="en-US"/>
        </w:rPr>
        <w:t>is</w:t>
      </w:r>
      <w:r w:rsidRPr="003A58CF">
        <w:rPr>
          <w:lang w:val="en-US" w:eastAsia="en-US"/>
        </w:rPr>
        <w:t xml:space="preserve"> </w:t>
      </w:r>
      <w:r w:rsidR="004C63C9" w:rsidRPr="003A58CF">
        <w:rPr>
          <w:lang w:val="en-US" w:eastAsia="en-US"/>
        </w:rPr>
        <w:t xml:space="preserve">plan </w:t>
      </w:r>
      <w:r w:rsidRPr="003A58CF">
        <w:rPr>
          <w:lang w:val="en-US" w:eastAsia="en-US"/>
        </w:rPr>
        <w:t>builds on the region’s strategic assets to support growth</w:t>
      </w:r>
      <w:r w:rsidR="00410EE5" w:rsidRPr="003A58CF">
        <w:rPr>
          <w:lang w:val="en-US" w:eastAsia="en-US"/>
        </w:rPr>
        <w:t xml:space="preserve"> </w:t>
      </w:r>
      <w:r w:rsidR="005D6A40" w:rsidRPr="003A58CF">
        <w:t xml:space="preserve">while </w:t>
      </w:r>
      <w:r w:rsidRPr="003A58CF">
        <w:t xml:space="preserve">respecting the natural attributes that characterise the region. </w:t>
      </w:r>
    </w:p>
    <w:p w:rsidR="005D6A40" w:rsidRPr="003A58CF" w:rsidRDefault="00BA6E4B" w:rsidP="00854F5E">
      <w:pPr>
        <w:pStyle w:val="bt"/>
      </w:pPr>
      <w:r w:rsidRPr="003A58CF">
        <w:t xml:space="preserve">Map 5 </w:t>
      </w:r>
      <w:r w:rsidR="005D6A40" w:rsidRPr="003A58CF">
        <w:t>shows the key strategic assets including:</w:t>
      </w:r>
    </w:p>
    <w:p w:rsidR="0067219F" w:rsidRPr="003A58CF" w:rsidRDefault="0067219F" w:rsidP="007A2D19">
      <w:pPr>
        <w:pStyle w:val="btbullet"/>
      </w:pPr>
      <w:r w:rsidRPr="003A58CF">
        <w:t>significant tourism areas</w:t>
      </w:r>
      <w:r w:rsidR="00EF37A2" w:rsidRPr="003A58CF">
        <w:t>, such as</w:t>
      </w:r>
      <w:r w:rsidRPr="003A58CF">
        <w:t xml:space="preserve"> the Goldfields region, the Macedon Ranges and Bendigo</w:t>
      </w:r>
    </w:p>
    <w:p w:rsidR="0067219F" w:rsidRPr="003A58CF" w:rsidRDefault="0067219F" w:rsidP="007A2D19">
      <w:pPr>
        <w:pStyle w:val="btbullet"/>
      </w:pPr>
      <w:r w:rsidRPr="003A58CF">
        <w:t>the central role Bendigo plays in providing high level services and facilities to the region and surrounding regions</w:t>
      </w:r>
    </w:p>
    <w:p w:rsidR="00DE58DB" w:rsidRPr="003A58CF" w:rsidRDefault="00DE58DB" w:rsidP="007A2D19">
      <w:pPr>
        <w:pStyle w:val="btbullet"/>
      </w:pPr>
      <w:r w:rsidRPr="003A58CF">
        <w:t>the central location of the region within Victoria</w:t>
      </w:r>
      <w:r w:rsidR="00192612" w:rsidRPr="003A58CF">
        <w:t>,</w:t>
      </w:r>
      <w:r w:rsidRPr="003A58CF">
        <w:t xml:space="preserve"> making </w:t>
      </w:r>
      <w:r w:rsidR="00AE37B2" w:rsidRPr="003A58CF">
        <w:t xml:space="preserve">it </w:t>
      </w:r>
      <w:r w:rsidRPr="003A58CF">
        <w:t>highly accessible from other areas and a strong location for business</w:t>
      </w:r>
    </w:p>
    <w:p w:rsidR="00DE58DB" w:rsidRPr="003A58CF" w:rsidRDefault="00DE58DB" w:rsidP="007A2D19">
      <w:pPr>
        <w:pStyle w:val="btbullet"/>
      </w:pPr>
      <w:r w:rsidRPr="003A58CF">
        <w:t xml:space="preserve">the Calder transport corridor </w:t>
      </w:r>
      <w:r w:rsidR="004C63C9" w:rsidRPr="003A58CF">
        <w:t xml:space="preserve">and </w:t>
      </w:r>
      <w:r w:rsidR="0067219F" w:rsidRPr="003A58CF">
        <w:t>other major transport networks</w:t>
      </w:r>
      <w:r w:rsidR="00192612" w:rsidRPr="003A58CF">
        <w:t>,</w:t>
      </w:r>
      <w:r w:rsidR="004C63C9" w:rsidRPr="003A58CF">
        <w:t xml:space="preserve"> </w:t>
      </w:r>
      <w:r w:rsidRPr="003A58CF">
        <w:t>which provide easy access for both passenger and freight</w:t>
      </w:r>
      <w:r w:rsidR="00327A4C" w:rsidRPr="003A58CF">
        <w:t xml:space="preserve"> transport </w:t>
      </w:r>
    </w:p>
    <w:p w:rsidR="004C63C9" w:rsidRPr="003A58CF" w:rsidRDefault="006D1663" w:rsidP="007A2D19">
      <w:pPr>
        <w:pStyle w:val="btbullet"/>
      </w:pPr>
      <w:r w:rsidRPr="003A58CF">
        <w:t>a well</w:t>
      </w:r>
      <w:r w:rsidR="00327A4C" w:rsidRPr="003A58CF">
        <w:t>-</w:t>
      </w:r>
      <w:r w:rsidRPr="003A58CF">
        <w:t>established agricultural industry, including significant irrigation infrastructure</w:t>
      </w:r>
    </w:p>
    <w:p w:rsidR="001514AA" w:rsidRDefault="006D1663" w:rsidP="00C50E1E">
      <w:pPr>
        <w:pStyle w:val="btbullet"/>
      </w:pPr>
      <w:r w:rsidRPr="003A58CF">
        <w:t xml:space="preserve">environmental </w:t>
      </w:r>
      <w:r w:rsidR="00DE58DB" w:rsidRPr="003A58CF">
        <w:t xml:space="preserve">assets </w:t>
      </w:r>
      <w:r w:rsidRPr="003A58CF">
        <w:t>including</w:t>
      </w:r>
      <w:r w:rsidR="004C63C9" w:rsidRPr="003A58CF">
        <w:t xml:space="preserve"> </w:t>
      </w:r>
      <w:r w:rsidR="00DE58DB" w:rsidRPr="003A58CF">
        <w:t>forests, rivers and water bodies.</w:t>
      </w:r>
      <w:bookmarkStart w:id="64" w:name="_Ref352069606"/>
      <w:bookmarkStart w:id="65" w:name="_Toc373757225"/>
      <w:bookmarkStart w:id="66" w:name="_Toc336871215"/>
    </w:p>
    <w:p w:rsidR="00694846" w:rsidRDefault="00D543BB" w:rsidP="001514AA">
      <w:pPr>
        <w:pStyle w:val="bt"/>
      </w:pPr>
      <w:r w:rsidRPr="004809DF">
        <w:t xml:space="preserve">Map </w:t>
      </w:r>
      <w:bookmarkEnd w:id="64"/>
      <w:r w:rsidR="00993A78">
        <w:t>5</w:t>
      </w:r>
      <w:r w:rsidR="001514AA">
        <w:t xml:space="preserve"> is located here in the document and it shows -</w:t>
      </w:r>
      <w:r w:rsidR="005770F9">
        <w:t xml:space="preserve"> </w:t>
      </w:r>
      <w:r w:rsidRPr="001514AA">
        <w:t>Strategic assets</w:t>
      </w:r>
      <w:bookmarkEnd w:id="65"/>
    </w:p>
    <w:p w:rsidR="00DE58DB" w:rsidRPr="003A58CF" w:rsidRDefault="00DE58DB" w:rsidP="004809DF">
      <w:pPr>
        <w:pStyle w:val="Heading11"/>
      </w:pPr>
      <w:bookmarkStart w:id="67" w:name="_Toc377026328"/>
      <w:r w:rsidRPr="003A58CF">
        <w:t>Drivers of change</w:t>
      </w:r>
      <w:bookmarkEnd w:id="66"/>
      <w:bookmarkEnd w:id="67"/>
    </w:p>
    <w:p w:rsidR="00DE58DB" w:rsidRPr="003A58CF" w:rsidRDefault="00DE58DB" w:rsidP="00854F5E">
      <w:pPr>
        <w:pStyle w:val="bt"/>
      </w:pPr>
      <w:bookmarkStart w:id="68" w:name="OLE_LINK22"/>
      <w:bookmarkStart w:id="69" w:name="OLE_LINK23"/>
      <w:r w:rsidRPr="003A58CF">
        <w:t xml:space="preserve">The </w:t>
      </w:r>
      <w:r w:rsidR="00631AD0" w:rsidRPr="003A58CF">
        <w:t xml:space="preserve">Loddon Mallee South </w:t>
      </w:r>
      <w:r w:rsidRPr="003A58CF">
        <w:t>region is growing in population</w:t>
      </w:r>
      <w:r w:rsidR="00631AD0" w:rsidRPr="003A58CF">
        <w:t xml:space="preserve">, </w:t>
      </w:r>
      <w:r w:rsidRPr="003A58CF">
        <w:t xml:space="preserve">the economic profile is changing </w:t>
      </w:r>
      <w:r w:rsidR="00631AD0" w:rsidRPr="003A58CF">
        <w:t xml:space="preserve">and so </w:t>
      </w:r>
      <w:r w:rsidR="00192612" w:rsidRPr="003A58CF">
        <w:t xml:space="preserve">are </w:t>
      </w:r>
      <w:r w:rsidRPr="003A58CF">
        <w:t xml:space="preserve">the means of rural production and </w:t>
      </w:r>
      <w:r w:rsidR="00631AD0" w:rsidRPr="003A58CF">
        <w:t xml:space="preserve">the </w:t>
      </w:r>
      <w:r w:rsidRPr="003A58CF">
        <w:t xml:space="preserve">quality of landscapes. These critical drivers of change have been </w:t>
      </w:r>
      <w:r w:rsidR="00205346" w:rsidRPr="003A58CF">
        <w:t xml:space="preserve">identified </w:t>
      </w:r>
      <w:r w:rsidRPr="003A58CF">
        <w:t xml:space="preserve">through input from the </w:t>
      </w:r>
      <w:r w:rsidR="004C63C9" w:rsidRPr="003A58CF">
        <w:t xml:space="preserve">Loddon Mallee South Regional Growth Plan </w:t>
      </w:r>
      <w:r w:rsidRPr="003A58CF">
        <w:t>Project Steering Group</w:t>
      </w:r>
      <w:r w:rsidR="004C63C9" w:rsidRPr="003A58CF">
        <w:t xml:space="preserve"> and Technical Working Group</w:t>
      </w:r>
      <w:r w:rsidRPr="003A58CF">
        <w:t>.</w:t>
      </w:r>
    </w:p>
    <w:p w:rsidR="00720BB5" w:rsidRDefault="00DE58DB" w:rsidP="00854F5E">
      <w:pPr>
        <w:pStyle w:val="bt"/>
      </w:pPr>
      <w:r w:rsidRPr="003A58CF">
        <w:t>Drivers of change range fr</w:t>
      </w:r>
      <w:r w:rsidR="0018666D" w:rsidRPr="003A58CF">
        <w:t xml:space="preserve">om global economic trends and impacts to more state and regional considerations. </w:t>
      </w:r>
    </w:p>
    <w:p w:rsidR="00DE58DB" w:rsidRPr="003A58CF" w:rsidRDefault="0018666D" w:rsidP="00854F5E">
      <w:pPr>
        <w:pStyle w:val="bt"/>
      </w:pPr>
      <w:r w:rsidRPr="003A58CF">
        <w:t xml:space="preserve">In summary, the key drivers of change in the region include: </w:t>
      </w:r>
    </w:p>
    <w:p w:rsidR="00DE58DB" w:rsidRPr="003A58CF" w:rsidRDefault="0018666D" w:rsidP="007A2D19">
      <w:pPr>
        <w:pStyle w:val="btbullet"/>
      </w:pPr>
      <w:r w:rsidRPr="003A58CF">
        <w:t xml:space="preserve">the proximity to Melbourne and strong transport links of the Calder transport corridor, increasing the movement of people and goods and the interrelationship of employment and tourism </w:t>
      </w:r>
    </w:p>
    <w:p w:rsidR="00DE58DB" w:rsidRPr="003A58CF" w:rsidRDefault="0018666D" w:rsidP="007A2D19">
      <w:pPr>
        <w:pStyle w:val="btbullet"/>
      </w:pPr>
      <w:r w:rsidRPr="003A58CF">
        <w:t xml:space="preserve">improved accessibility with connections to the north, east, west and south to support the movement of people and goods </w:t>
      </w:r>
    </w:p>
    <w:p w:rsidR="00DE58DB" w:rsidRPr="003A58CF" w:rsidRDefault="0018666D" w:rsidP="007A2D19">
      <w:pPr>
        <w:pStyle w:val="btbullet"/>
      </w:pPr>
      <w:r w:rsidRPr="003A58CF">
        <w:t xml:space="preserve">the relative affordability of housing compared to Melbourne, combined with the regional lifestyle, amenity and culture </w:t>
      </w:r>
    </w:p>
    <w:p w:rsidR="00DE58DB" w:rsidRPr="003A58CF" w:rsidRDefault="0018666D" w:rsidP="007A2D19">
      <w:pPr>
        <w:pStyle w:val="btbullet"/>
      </w:pPr>
      <w:r w:rsidRPr="003A58CF">
        <w:t>Bendigo</w:t>
      </w:r>
      <w:r w:rsidR="004C63C9" w:rsidRPr="003A58CF">
        <w:t xml:space="preserve">, the </w:t>
      </w:r>
      <w:r w:rsidRPr="003A58CF">
        <w:t xml:space="preserve">regional city, </w:t>
      </w:r>
      <w:r w:rsidR="004C63C9" w:rsidRPr="003A58CF">
        <w:t>providing</w:t>
      </w:r>
      <w:r w:rsidRPr="003A58CF">
        <w:t xml:space="preserve"> many higher order services and </w:t>
      </w:r>
      <w:r w:rsidR="004C63C9" w:rsidRPr="003A58CF">
        <w:t xml:space="preserve">offering </w:t>
      </w:r>
      <w:r w:rsidRPr="003A58CF">
        <w:t xml:space="preserve">an alternative to Melbourne </w:t>
      </w:r>
    </w:p>
    <w:p w:rsidR="00DE58DB" w:rsidRPr="003A58CF" w:rsidRDefault="0018666D" w:rsidP="007A2D19">
      <w:pPr>
        <w:pStyle w:val="btbullet"/>
      </w:pPr>
      <w:r w:rsidRPr="003A58CF">
        <w:t xml:space="preserve">changes in economic sectors, particularly agriculture and manufacturing, </w:t>
      </w:r>
      <w:r w:rsidR="004C63C9" w:rsidRPr="003A58CF">
        <w:t>influencing</w:t>
      </w:r>
      <w:r w:rsidRPr="003A58CF">
        <w:t xml:space="preserve"> employment and population movement within the region </w:t>
      </w:r>
    </w:p>
    <w:p w:rsidR="00DE58DB" w:rsidRPr="003A58CF" w:rsidRDefault="0018666D" w:rsidP="007A2D19">
      <w:pPr>
        <w:pStyle w:val="btbullet"/>
      </w:pPr>
      <w:r w:rsidRPr="003A58CF">
        <w:t>managing growth within a naturally hazardous landscape, particularly when considering flood and bushfire risk</w:t>
      </w:r>
      <w:bookmarkEnd w:id="68"/>
      <w:bookmarkEnd w:id="69"/>
    </w:p>
    <w:p w:rsidR="00205346" w:rsidRPr="003A58CF" w:rsidRDefault="00BE655F" w:rsidP="007A2D19">
      <w:pPr>
        <w:pStyle w:val="btbullet"/>
      </w:pPr>
      <w:r w:rsidRPr="003A58CF">
        <w:lastRenderedPageBreak/>
        <w:t>f</w:t>
      </w:r>
      <w:r w:rsidR="004C63C9" w:rsidRPr="003A58CF">
        <w:t xml:space="preserve">ederal </w:t>
      </w:r>
      <w:r w:rsidR="0018666D" w:rsidRPr="003A58CF">
        <w:t xml:space="preserve">and </w:t>
      </w:r>
      <w:r w:rsidR="004C63C9" w:rsidRPr="003A58CF">
        <w:t xml:space="preserve">state government </w:t>
      </w:r>
      <w:r w:rsidR="0018666D" w:rsidRPr="003A58CF">
        <w:t>policy having a significant impact on growth</w:t>
      </w:r>
    </w:p>
    <w:p w:rsidR="00565F27" w:rsidRPr="003A58CF" w:rsidRDefault="00565F27" w:rsidP="007A2D19">
      <w:pPr>
        <w:pStyle w:val="btbullet"/>
      </w:pPr>
      <w:r w:rsidRPr="003A58CF">
        <w:t xml:space="preserve">impacts of climatic conditions such as long-term droughts, widespread </w:t>
      </w:r>
      <w:r w:rsidR="002D2356" w:rsidRPr="003A58CF">
        <w:t>flood</w:t>
      </w:r>
      <w:r w:rsidRPr="003A58CF">
        <w:t xml:space="preserve"> and an increase in the number of days of extreme heat and bushfire danger</w:t>
      </w:r>
      <w:r w:rsidR="00192612" w:rsidRPr="003A58CF">
        <w:t>.</w:t>
      </w:r>
    </w:p>
    <w:p w:rsidR="00DE58DB" w:rsidRPr="003A58CF" w:rsidRDefault="00DE58DB" w:rsidP="004809DF">
      <w:pPr>
        <w:pStyle w:val="Heading11"/>
      </w:pPr>
      <w:bookmarkStart w:id="70" w:name="_Toc336871216"/>
      <w:bookmarkStart w:id="71" w:name="_Toc377026329"/>
      <w:r w:rsidRPr="003A58CF">
        <w:t>Challenges for growth</w:t>
      </w:r>
      <w:bookmarkEnd w:id="70"/>
      <w:bookmarkEnd w:id="71"/>
    </w:p>
    <w:p w:rsidR="00DE58DB" w:rsidRPr="003A58CF" w:rsidRDefault="00DE58DB" w:rsidP="00854F5E">
      <w:pPr>
        <w:pStyle w:val="bt"/>
      </w:pPr>
      <w:r w:rsidRPr="003A58CF">
        <w:t xml:space="preserve">There are a range of challenges for growth in the region, aspects of which this </w:t>
      </w:r>
      <w:r w:rsidR="00BE655F" w:rsidRPr="003A58CF">
        <w:t xml:space="preserve">plan </w:t>
      </w:r>
      <w:r w:rsidRPr="003A58CF">
        <w:t xml:space="preserve">seeks to manage or address. These include: </w:t>
      </w:r>
    </w:p>
    <w:p w:rsidR="00DE58DB" w:rsidRPr="003A58CF" w:rsidRDefault="00DE58DB" w:rsidP="007A2D19">
      <w:pPr>
        <w:pStyle w:val="btbullet"/>
      </w:pPr>
      <w:r w:rsidRPr="003A58CF">
        <w:t>the uneven distribution of both population and economic growth across the region</w:t>
      </w:r>
      <w:r w:rsidR="00BA1189" w:rsidRPr="003A58CF">
        <w:t>, and the need to support smaller communities</w:t>
      </w:r>
      <w:r w:rsidRPr="003A58CF">
        <w:t xml:space="preserve">  </w:t>
      </w:r>
    </w:p>
    <w:p w:rsidR="00DE58DB" w:rsidRPr="003A58CF" w:rsidRDefault="00DE58DB" w:rsidP="007A2D19">
      <w:pPr>
        <w:pStyle w:val="btbullet"/>
      </w:pPr>
      <w:r w:rsidRPr="003A58CF">
        <w:t>managing growth so that it does not overwhelm the environmental and social attributes that are attracting growth</w:t>
      </w:r>
    </w:p>
    <w:p w:rsidR="00DE58DB" w:rsidRPr="003A58CF" w:rsidRDefault="00DE58DB" w:rsidP="007A2D19">
      <w:pPr>
        <w:pStyle w:val="btbullet"/>
      </w:pPr>
      <w:r w:rsidRPr="003A58CF">
        <w:t>ensuring land supply for employment and housing</w:t>
      </w:r>
    </w:p>
    <w:p w:rsidR="00DE58DB" w:rsidRPr="003A58CF" w:rsidRDefault="00DE58DB" w:rsidP="007A2D19">
      <w:pPr>
        <w:pStyle w:val="btbullet"/>
      </w:pPr>
      <w:r w:rsidRPr="003A58CF">
        <w:t xml:space="preserve">adapting to </w:t>
      </w:r>
      <w:r w:rsidR="00131432" w:rsidRPr="003A58CF">
        <w:t xml:space="preserve">the potential impacts of </w:t>
      </w:r>
      <w:r w:rsidRPr="003A58CF">
        <w:t>changing climate</w:t>
      </w:r>
    </w:p>
    <w:p w:rsidR="00DE58DB" w:rsidRPr="003A58CF" w:rsidRDefault="00DE58DB" w:rsidP="007A2D19">
      <w:pPr>
        <w:pStyle w:val="btbullet"/>
      </w:pPr>
      <w:r w:rsidRPr="003A58CF">
        <w:t>managing growth in a way that protects the</w:t>
      </w:r>
      <w:r w:rsidR="00131432" w:rsidRPr="003A58CF">
        <w:t xml:space="preserve"> environmental assets and</w:t>
      </w:r>
      <w:r w:rsidRPr="003A58CF">
        <w:t xml:space="preserve"> natural resources </w:t>
      </w:r>
      <w:r w:rsidR="00AE37B2" w:rsidRPr="003A58CF">
        <w:t xml:space="preserve">of </w:t>
      </w:r>
      <w:r w:rsidRPr="003A58CF">
        <w:t>the region</w:t>
      </w:r>
    </w:p>
    <w:p w:rsidR="00DE58DB" w:rsidRPr="003A58CF" w:rsidRDefault="00DE58DB" w:rsidP="007A2D19">
      <w:pPr>
        <w:pStyle w:val="btbullet"/>
      </w:pPr>
      <w:r w:rsidRPr="003A58CF">
        <w:t>ensuring all growth is supported by sustainable reticulated or independent infrastructure services</w:t>
      </w:r>
      <w:r w:rsidR="00BA1189" w:rsidRPr="003A58CF">
        <w:t>,</w:t>
      </w:r>
      <w:r w:rsidRPr="003A58CF">
        <w:t xml:space="preserve"> </w:t>
      </w:r>
      <w:r w:rsidR="00BA1189" w:rsidRPr="003A58CF">
        <w:t xml:space="preserve">such as </w:t>
      </w:r>
      <w:r w:rsidRPr="003A58CF">
        <w:t xml:space="preserve">water, power and waste </w:t>
      </w:r>
      <w:r w:rsidR="00D52B8D" w:rsidRPr="003A58CF">
        <w:t xml:space="preserve">and resource recovery </w:t>
      </w:r>
      <w:r w:rsidRPr="003A58CF">
        <w:t>in particular</w:t>
      </w:r>
    </w:p>
    <w:p w:rsidR="00DE58DB" w:rsidRPr="003A58CF" w:rsidRDefault="00DE58DB" w:rsidP="007A2D19">
      <w:pPr>
        <w:pStyle w:val="btbullet"/>
      </w:pPr>
      <w:r w:rsidRPr="003A58CF">
        <w:t xml:space="preserve">supporting residential and commercial growth </w:t>
      </w:r>
      <w:r w:rsidR="00BE710D" w:rsidRPr="003A58CF">
        <w:t xml:space="preserve">of </w:t>
      </w:r>
      <w:r w:rsidRPr="003A58CF">
        <w:t xml:space="preserve">centres throughout the region </w:t>
      </w:r>
      <w:r w:rsidR="00BE710D" w:rsidRPr="003A58CF">
        <w:t xml:space="preserve">and </w:t>
      </w:r>
      <w:r w:rsidR="002D1E92" w:rsidRPr="003A58CF">
        <w:t>access to employment, education and services</w:t>
      </w:r>
      <w:r w:rsidR="00BE710D" w:rsidRPr="003A58CF">
        <w:t>,</w:t>
      </w:r>
      <w:r w:rsidR="002D1E92" w:rsidRPr="003A58CF">
        <w:t xml:space="preserve"> including from dispersed settlements</w:t>
      </w:r>
    </w:p>
    <w:p w:rsidR="00DE58DB" w:rsidRPr="003A58CF" w:rsidRDefault="00DE58DB" w:rsidP="007A2D19">
      <w:pPr>
        <w:pStyle w:val="btbullet"/>
      </w:pPr>
      <w:r w:rsidRPr="003A58CF">
        <w:t>stimulating sustainable growth over the long term</w:t>
      </w:r>
      <w:r w:rsidR="00D52B8D" w:rsidRPr="003A58CF">
        <w:t xml:space="preserve"> while maintaining the </w:t>
      </w:r>
      <w:r w:rsidR="00BE710D" w:rsidRPr="003A58CF">
        <w:t>distinctive character of the region’s</w:t>
      </w:r>
      <w:r w:rsidR="00D52B8D" w:rsidRPr="003A58CF">
        <w:t xml:space="preserve"> rural </w:t>
      </w:r>
      <w:r w:rsidR="00BE710D" w:rsidRPr="003A58CF">
        <w:t xml:space="preserve">areas </w:t>
      </w:r>
      <w:r w:rsidR="00D52B8D" w:rsidRPr="003A58CF">
        <w:t>and town</w:t>
      </w:r>
      <w:r w:rsidR="00BE710D" w:rsidRPr="003A58CF">
        <w:t>s</w:t>
      </w:r>
      <w:r w:rsidR="00D52B8D" w:rsidRPr="003A58CF">
        <w:t xml:space="preserve"> </w:t>
      </w:r>
    </w:p>
    <w:p w:rsidR="00205346" w:rsidRPr="003A58CF" w:rsidRDefault="00BE710D" w:rsidP="007A2D19">
      <w:pPr>
        <w:pStyle w:val="btbullet"/>
      </w:pPr>
      <w:r w:rsidRPr="003A58CF">
        <w:t xml:space="preserve">maintaining the </w:t>
      </w:r>
      <w:r w:rsidR="00205346" w:rsidRPr="003A58CF">
        <w:t xml:space="preserve">extent of the region’s agricultural areas </w:t>
      </w:r>
      <w:r w:rsidRPr="003A58CF">
        <w:t xml:space="preserve">recognising </w:t>
      </w:r>
      <w:r w:rsidR="00205346" w:rsidRPr="003A58CF">
        <w:t xml:space="preserve">its importance </w:t>
      </w:r>
      <w:r w:rsidRPr="003A58CF">
        <w:t xml:space="preserve">to </w:t>
      </w:r>
      <w:r w:rsidR="00205346" w:rsidRPr="003A58CF">
        <w:t>the region</w:t>
      </w:r>
      <w:r w:rsidRPr="003A58CF">
        <w:t>’s economy</w:t>
      </w:r>
      <w:r w:rsidR="00205346" w:rsidRPr="003A58CF">
        <w:t xml:space="preserve"> </w:t>
      </w:r>
    </w:p>
    <w:p w:rsidR="002D1E92" w:rsidRPr="003A58CF" w:rsidRDefault="00131432" w:rsidP="007A2D19">
      <w:pPr>
        <w:pStyle w:val="btbullet"/>
      </w:pPr>
      <w:r w:rsidRPr="003A58CF">
        <w:t>managing the risk to</w:t>
      </w:r>
      <w:r w:rsidR="006F1F37" w:rsidRPr="003A58CF">
        <w:t xml:space="preserve"> settlements from natural haza</w:t>
      </w:r>
      <w:r w:rsidR="002D1E92" w:rsidRPr="003A58CF">
        <w:t xml:space="preserve">rds such as </w:t>
      </w:r>
      <w:r w:rsidR="002D2356" w:rsidRPr="003A58CF">
        <w:t>bushfire</w:t>
      </w:r>
      <w:r w:rsidR="002D1E92" w:rsidRPr="003A58CF">
        <w:t xml:space="preserve"> and </w:t>
      </w:r>
      <w:r w:rsidR="002D2356" w:rsidRPr="003A58CF">
        <w:t>flood</w:t>
      </w:r>
    </w:p>
    <w:p w:rsidR="002D1E92" w:rsidRPr="003A58CF" w:rsidRDefault="002D1E92" w:rsidP="007A2D19">
      <w:pPr>
        <w:pStyle w:val="btbullet"/>
      </w:pPr>
      <w:r w:rsidRPr="003A58CF">
        <w:t>supporting capacity enhancements to infrastructure to enable sustainable growth</w:t>
      </w:r>
    </w:p>
    <w:p w:rsidR="002D1E92" w:rsidRPr="003A58CF" w:rsidRDefault="00E04172" w:rsidP="007A2D19">
      <w:pPr>
        <w:pStyle w:val="btbullet"/>
      </w:pPr>
      <w:r w:rsidRPr="003A58CF">
        <w:t>future-</w:t>
      </w:r>
      <w:r w:rsidR="002D1E92" w:rsidRPr="003A58CF">
        <w:t>proofing transport routes to support efficient freight and people movement</w:t>
      </w:r>
    </w:p>
    <w:p w:rsidR="004C66F4" w:rsidRPr="003A58CF" w:rsidRDefault="002D1E92" w:rsidP="007A2D19">
      <w:pPr>
        <w:pStyle w:val="btbullet"/>
      </w:pPr>
      <w:r w:rsidRPr="003A58CF">
        <w:t>the ongoing maintenance and replac</w:t>
      </w:r>
      <w:r w:rsidR="00E635A9" w:rsidRPr="003A58CF">
        <w:t>ement of ageing infrastructure</w:t>
      </w:r>
      <w:r w:rsidR="00E04172" w:rsidRPr="003A58CF">
        <w:t>.</w:t>
      </w:r>
    </w:p>
    <w:p w:rsidR="00DE58DB" w:rsidRPr="003A58CF" w:rsidRDefault="00DE58DB" w:rsidP="004809DF">
      <w:pPr>
        <w:pStyle w:val="Heading11"/>
      </w:pPr>
      <w:bookmarkStart w:id="72" w:name="_Toc352079236"/>
      <w:bookmarkStart w:id="73" w:name="_Toc352080166"/>
      <w:bookmarkStart w:id="74" w:name="_Toc352080213"/>
      <w:bookmarkStart w:id="75" w:name="_Toc352080411"/>
      <w:bookmarkStart w:id="76" w:name="_Toc343841465"/>
      <w:bookmarkStart w:id="77" w:name="_Toc345407180"/>
      <w:bookmarkStart w:id="78" w:name="_Toc345491009"/>
      <w:bookmarkStart w:id="79" w:name="_Toc336871217"/>
      <w:bookmarkStart w:id="80" w:name="_Toc377026330"/>
      <w:bookmarkEnd w:id="72"/>
      <w:bookmarkEnd w:id="73"/>
      <w:bookmarkEnd w:id="74"/>
      <w:bookmarkEnd w:id="75"/>
      <w:bookmarkEnd w:id="76"/>
      <w:bookmarkEnd w:id="77"/>
      <w:bookmarkEnd w:id="78"/>
      <w:r w:rsidRPr="003A58CF">
        <w:t xml:space="preserve">Vision for the </w:t>
      </w:r>
      <w:r w:rsidR="00631AD0" w:rsidRPr="003A58CF">
        <w:t>r</w:t>
      </w:r>
      <w:r w:rsidRPr="003A58CF">
        <w:t>egion</w:t>
      </w:r>
      <w:bookmarkEnd w:id="79"/>
      <w:bookmarkEnd w:id="80"/>
    </w:p>
    <w:p w:rsidR="00DE58DB" w:rsidRPr="003A58CF" w:rsidRDefault="00DE58DB" w:rsidP="00854F5E">
      <w:pPr>
        <w:pStyle w:val="bt"/>
      </w:pPr>
      <w:r w:rsidRPr="003A58CF">
        <w:t xml:space="preserve">The vision and principles for the </w:t>
      </w:r>
      <w:r w:rsidR="00360EA5" w:rsidRPr="003A58CF">
        <w:t xml:space="preserve">Loddon Mallee South </w:t>
      </w:r>
      <w:r w:rsidR="004D7580" w:rsidRPr="003A58CF">
        <w:t xml:space="preserve">Regional Growth Plan </w:t>
      </w:r>
      <w:r w:rsidR="00360EA5" w:rsidRPr="003A58CF">
        <w:t xml:space="preserve">have </w:t>
      </w:r>
      <w:r w:rsidRPr="003A58CF">
        <w:t>been developed from the Strategic Plan 2010 and in conjunction with the</w:t>
      </w:r>
      <w:r w:rsidR="00AE37B2" w:rsidRPr="003A58CF">
        <w:t xml:space="preserve"> </w:t>
      </w:r>
      <w:r w:rsidR="004D7580" w:rsidRPr="003A58CF">
        <w:t xml:space="preserve">Loddon Mallee South Regional Growth Plan </w:t>
      </w:r>
      <w:r w:rsidR="00AE37B2" w:rsidRPr="003A58CF">
        <w:t xml:space="preserve">Project Steering </w:t>
      </w:r>
      <w:r w:rsidR="00360EA5" w:rsidRPr="003A58CF">
        <w:t xml:space="preserve">Group </w:t>
      </w:r>
      <w:r w:rsidR="00AE37B2" w:rsidRPr="003A58CF">
        <w:t>and</w:t>
      </w:r>
      <w:r w:rsidRPr="003A58CF">
        <w:t xml:space="preserve"> Technical Working Group. </w:t>
      </w:r>
      <w:r w:rsidR="004D7580" w:rsidRPr="003A58CF">
        <w:t xml:space="preserve">The vision </w:t>
      </w:r>
      <w:r w:rsidR="0008129B" w:rsidRPr="003A58CF">
        <w:t>for the Loddon Mallee South Regional Growth Plan is</w:t>
      </w:r>
      <w:r w:rsidR="004D7580" w:rsidRPr="003A58CF">
        <w:t>:</w:t>
      </w:r>
    </w:p>
    <w:p w:rsidR="000C0FF0" w:rsidRPr="00AE7B9C" w:rsidRDefault="001F16ED" w:rsidP="000C0C09">
      <w:pPr>
        <w:pStyle w:val="bt"/>
        <w:rPr>
          <w:rStyle w:val="Strong"/>
        </w:rPr>
      </w:pPr>
      <w:r w:rsidRPr="00AE7B9C">
        <w:rPr>
          <w:rStyle w:val="Strong"/>
        </w:rPr>
        <w:t>In 2041 our communities continue to enjoy regional liveability with urban accessibility. We are a region with vibrant, innovative, sustainable and connected communities offering a diversity of lifestyles, building on our heritage, natural environme</w:t>
      </w:r>
      <w:r w:rsidR="004809DF" w:rsidRPr="00AE7B9C">
        <w:rPr>
          <w:rStyle w:val="Strong"/>
        </w:rPr>
        <w:t>nt and agricultural landscapes.</w:t>
      </w:r>
    </w:p>
    <w:p w:rsidR="000C0FF0" w:rsidRPr="00AE7B9C" w:rsidRDefault="001F16ED" w:rsidP="000C0C09">
      <w:pPr>
        <w:pStyle w:val="bt"/>
        <w:rPr>
          <w:rStyle w:val="Strong"/>
        </w:rPr>
      </w:pPr>
      <w:r w:rsidRPr="00AE7B9C">
        <w:rPr>
          <w:rStyle w:val="Strong"/>
        </w:rPr>
        <w:t>The region is home to some 300,000 people by 2041, with access to employment, infrastructure, educational opportunities, healthcare and other services. The region continues to attract new investment</w:t>
      </w:r>
      <w:r w:rsidR="00B15943" w:rsidRPr="00AE7B9C">
        <w:rPr>
          <w:rStyle w:val="Strong"/>
        </w:rPr>
        <w:t xml:space="preserve"> and</w:t>
      </w:r>
      <w:r w:rsidRPr="00AE7B9C">
        <w:rPr>
          <w:rStyle w:val="Strong"/>
        </w:rPr>
        <w:t xml:space="preserve"> a diverse range of jobs, anchored within a diversifying economy, capitalising on competitive advantages.</w:t>
      </w:r>
    </w:p>
    <w:p w:rsidR="00DE58DB" w:rsidRPr="003A58CF" w:rsidRDefault="00DE58DB" w:rsidP="004809DF">
      <w:pPr>
        <w:pStyle w:val="Heading11"/>
      </w:pPr>
      <w:bookmarkStart w:id="81" w:name="_Toc336871218"/>
      <w:bookmarkStart w:id="82" w:name="_Toc377026331"/>
      <w:r w:rsidRPr="003A58CF">
        <w:t>Principles to achieve the vision</w:t>
      </w:r>
      <w:bookmarkEnd w:id="81"/>
      <w:bookmarkEnd w:id="82"/>
    </w:p>
    <w:p w:rsidR="00330CD8" w:rsidRPr="00AE7B9C" w:rsidRDefault="00330CD8" w:rsidP="00AE7B9C">
      <w:pPr>
        <w:pStyle w:val="Heading4"/>
        <w:rPr>
          <w:rStyle w:val="Strong"/>
          <w:b/>
          <w:bCs/>
        </w:rPr>
      </w:pPr>
      <w:r w:rsidRPr="00AE7B9C">
        <w:rPr>
          <w:rStyle w:val="Strong"/>
          <w:b/>
          <w:bCs/>
        </w:rPr>
        <w:t>Principle 1.</w:t>
      </w:r>
      <w:r w:rsidR="00C97A59" w:rsidRPr="00AE7B9C">
        <w:rPr>
          <w:rStyle w:val="Strong"/>
          <w:b/>
          <w:bCs/>
        </w:rPr>
        <w:t xml:space="preserve"> </w:t>
      </w:r>
      <w:r w:rsidRPr="00AE7B9C">
        <w:rPr>
          <w:rStyle w:val="Strong"/>
          <w:b/>
          <w:bCs/>
        </w:rPr>
        <w:t>Manage our population growth and settlements</w:t>
      </w:r>
    </w:p>
    <w:p w:rsidR="00330CD8" w:rsidRPr="003A58CF" w:rsidRDefault="00330CD8" w:rsidP="00854F5E">
      <w:pPr>
        <w:pStyle w:val="bt"/>
        <w:rPr>
          <w:lang w:eastAsia="en-US"/>
        </w:rPr>
      </w:pPr>
      <w:r w:rsidRPr="003A58CF">
        <w:rPr>
          <w:lang w:eastAsia="en-US"/>
        </w:rPr>
        <w:t>Sustainable growth is encouraged to enhance the integrated network of settlements that characterise our region. Our settlements will continue to be attractive places to live, with high amenity and access to services.</w:t>
      </w:r>
    </w:p>
    <w:p w:rsidR="002D2356" w:rsidRPr="003A58CF" w:rsidRDefault="00CA7A90" w:rsidP="00AE7B9C">
      <w:pPr>
        <w:pStyle w:val="Heading4"/>
        <w:rPr>
          <w:lang w:eastAsia="en-US"/>
        </w:rPr>
      </w:pPr>
      <w:r w:rsidRPr="003A58CF">
        <w:rPr>
          <w:lang w:eastAsia="en-US"/>
        </w:rPr>
        <w:lastRenderedPageBreak/>
        <w:t xml:space="preserve">Future </w:t>
      </w:r>
      <w:r w:rsidR="00330CD8" w:rsidRPr="003A58CF">
        <w:rPr>
          <w:lang w:eastAsia="en-US"/>
        </w:rPr>
        <w:t>d</w:t>
      </w:r>
      <w:r w:rsidRPr="003A58CF">
        <w:rPr>
          <w:lang w:eastAsia="en-US"/>
        </w:rPr>
        <w:t>irections</w:t>
      </w:r>
    </w:p>
    <w:p w:rsidR="00330CD8" w:rsidRPr="003A58CF" w:rsidRDefault="00330CD8" w:rsidP="007A2D19">
      <w:pPr>
        <w:pStyle w:val="btbullet"/>
        <w:rPr>
          <w:lang w:eastAsia="en-US"/>
        </w:rPr>
      </w:pPr>
      <w:r w:rsidRPr="003A58CF">
        <w:rPr>
          <w:lang w:eastAsia="en-US"/>
        </w:rPr>
        <w:t xml:space="preserve">Focus growth to </w:t>
      </w:r>
      <w:r w:rsidR="004735E4" w:rsidRPr="003A58CF">
        <w:rPr>
          <w:lang w:eastAsia="en-US"/>
        </w:rPr>
        <w:t xml:space="preserve">the region’s </w:t>
      </w:r>
      <w:r w:rsidRPr="003A58CF">
        <w:rPr>
          <w:lang w:eastAsia="en-US"/>
        </w:rPr>
        <w:t>existing settlements with capacity for growth</w:t>
      </w:r>
    </w:p>
    <w:p w:rsidR="00330CD8" w:rsidRPr="003A58CF" w:rsidRDefault="00330CD8" w:rsidP="007A2D19">
      <w:pPr>
        <w:pStyle w:val="btbullet"/>
        <w:rPr>
          <w:lang w:eastAsia="en-US"/>
        </w:rPr>
      </w:pPr>
      <w:r w:rsidRPr="003A58CF">
        <w:rPr>
          <w:lang w:eastAsia="en-US"/>
        </w:rPr>
        <w:t>Reinforce the role of Bendigo as the regional city, offering a range of employment and services as an alternative to Melbourne</w:t>
      </w:r>
    </w:p>
    <w:p w:rsidR="00330CD8" w:rsidRPr="003A58CF" w:rsidRDefault="00330CD8" w:rsidP="007A2D19">
      <w:pPr>
        <w:pStyle w:val="btbullet"/>
        <w:rPr>
          <w:lang w:eastAsia="en-US"/>
        </w:rPr>
      </w:pPr>
      <w:r w:rsidRPr="003A58CF">
        <w:rPr>
          <w:lang w:eastAsia="en-US"/>
        </w:rPr>
        <w:t>Target new growth to settlements including Bendigo, Maryborough, Castlemaine, Gisborne and Kyneton</w:t>
      </w:r>
    </w:p>
    <w:p w:rsidR="00330CD8" w:rsidRPr="003A58CF" w:rsidRDefault="00330CD8" w:rsidP="007A2D19">
      <w:pPr>
        <w:pStyle w:val="btbullet"/>
        <w:rPr>
          <w:lang w:eastAsia="en-US"/>
        </w:rPr>
      </w:pPr>
      <w:r w:rsidRPr="003A58CF">
        <w:rPr>
          <w:lang w:eastAsia="en-US"/>
        </w:rPr>
        <w:t xml:space="preserve">Plan for settlement growth away from areas of high risk from natural hazards such as </w:t>
      </w:r>
      <w:r w:rsidR="00192D9B" w:rsidRPr="003A58CF">
        <w:rPr>
          <w:lang w:eastAsia="en-US"/>
        </w:rPr>
        <w:t>bushfire</w:t>
      </w:r>
      <w:r w:rsidRPr="003A58CF">
        <w:rPr>
          <w:lang w:eastAsia="en-US"/>
        </w:rPr>
        <w:t xml:space="preserve"> and </w:t>
      </w:r>
      <w:r w:rsidR="002D2356" w:rsidRPr="003A58CF">
        <w:rPr>
          <w:lang w:eastAsia="en-US"/>
        </w:rPr>
        <w:t>flood</w:t>
      </w:r>
    </w:p>
    <w:p w:rsidR="003674FF" w:rsidRPr="003A58CF" w:rsidRDefault="003674FF" w:rsidP="007A2D19">
      <w:pPr>
        <w:pStyle w:val="btbullet"/>
      </w:pPr>
      <w:r w:rsidRPr="003A58CF">
        <w:t>Favour development proposals that maximise existing infrastructure and provide significant economic or community benefit</w:t>
      </w:r>
    </w:p>
    <w:p w:rsidR="00330CD8" w:rsidRPr="003A58CF" w:rsidRDefault="00330CD8" w:rsidP="007A2D19">
      <w:pPr>
        <w:pStyle w:val="btbullet"/>
        <w:rPr>
          <w:lang w:eastAsia="en-US"/>
        </w:rPr>
      </w:pPr>
      <w:r w:rsidRPr="003A58CF">
        <w:rPr>
          <w:lang w:eastAsia="en-US"/>
        </w:rPr>
        <w:t>Manage settlement growth to limit the impact on agricultural productivity, natural resources and ecological values</w:t>
      </w:r>
    </w:p>
    <w:p w:rsidR="00330CD8" w:rsidRPr="003A58CF" w:rsidRDefault="00330CD8" w:rsidP="007A2D19">
      <w:pPr>
        <w:pStyle w:val="btbullet"/>
        <w:rPr>
          <w:lang w:eastAsia="en-US"/>
        </w:rPr>
      </w:pPr>
      <w:r w:rsidRPr="003A58CF">
        <w:rPr>
          <w:lang w:eastAsia="en-US"/>
        </w:rPr>
        <w:t xml:space="preserve">Value </w:t>
      </w:r>
      <w:r w:rsidR="004735E4" w:rsidRPr="003A58CF">
        <w:rPr>
          <w:lang w:eastAsia="en-US"/>
        </w:rPr>
        <w:t xml:space="preserve">the region’s </w:t>
      </w:r>
      <w:r w:rsidRPr="003A58CF">
        <w:rPr>
          <w:lang w:eastAsia="en-US"/>
        </w:rPr>
        <w:t>unique and connected communities</w:t>
      </w:r>
    </w:p>
    <w:p w:rsidR="00330CD8" w:rsidRPr="00AE7B9C" w:rsidRDefault="00330CD8" w:rsidP="00AE7B9C">
      <w:pPr>
        <w:pStyle w:val="Heading4"/>
        <w:rPr>
          <w:rStyle w:val="Strong"/>
          <w:b/>
          <w:bCs/>
        </w:rPr>
      </w:pPr>
      <w:r w:rsidRPr="00AE7B9C">
        <w:rPr>
          <w:rStyle w:val="Strong"/>
          <w:b/>
          <w:bCs/>
        </w:rPr>
        <w:t>Principle 2. Strengthen our communities, especially in our small towns</w:t>
      </w:r>
    </w:p>
    <w:p w:rsidR="00330CD8" w:rsidRPr="003A58CF" w:rsidRDefault="00330CD8" w:rsidP="00854F5E">
      <w:pPr>
        <w:pStyle w:val="bt"/>
        <w:rPr>
          <w:lang w:eastAsia="en-US"/>
        </w:rPr>
      </w:pPr>
      <w:r w:rsidRPr="003A58CF">
        <w:rPr>
          <w:lang w:eastAsia="en-US"/>
        </w:rPr>
        <w:t>Small towns and villages play an essential role in the function and character of the region. Many of the small towns have significant historic or landscape value and offer an alternative lifestyle from the more urbanised and larger centres. Supporting the diversification of the economy of these (and other) small towns is important, as is maintaining social infrastructure and services.</w:t>
      </w:r>
    </w:p>
    <w:p w:rsidR="002D2356" w:rsidRPr="00AE7B9C" w:rsidRDefault="00330CD8" w:rsidP="00AE7B9C">
      <w:pPr>
        <w:pStyle w:val="Heading4"/>
      </w:pPr>
      <w:r w:rsidRPr="00AE7B9C">
        <w:t>Future directions</w:t>
      </w:r>
    </w:p>
    <w:p w:rsidR="00330CD8" w:rsidRPr="003A58CF" w:rsidRDefault="00330CD8" w:rsidP="007A2D19">
      <w:pPr>
        <w:pStyle w:val="btbullet"/>
        <w:rPr>
          <w:lang w:eastAsia="en-US"/>
        </w:rPr>
      </w:pPr>
      <w:r w:rsidRPr="003A58CF">
        <w:rPr>
          <w:lang w:eastAsia="en-US"/>
        </w:rPr>
        <w:t xml:space="preserve">Support the ongoing role of </w:t>
      </w:r>
      <w:r w:rsidR="00E21B22" w:rsidRPr="003A58CF">
        <w:rPr>
          <w:lang w:eastAsia="en-US"/>
        </w:rPr>
        <w:t xml:space="preserve">the region’s </w:t>
      </w:r>
      <w:r w:rsidRPr="003A58CF">
        <w:rPr>
          <w:lang w:eastAsia="en-US"/>
        </w:rPr>
        <w:t>small towns and settlements</w:t>
      </w:r>
    </w:p>
    <w:p w:rsidR="00330CD8" w:rsidRPr="003A58CF" w:rsidRDefault="00330CD8" w:rsidP="007A2D19">
      <w:pPr>
        <w:pStyle w:val="btbullet"/>
        <w:rPr>
          <w:lang w:eastAsia="en-US"/>
        </w:rPr>
      </w:pPr>
      <w:r w:rsidRPr="003A58CF">
        <w:rPr>
          <w:lang w:eastAsia="en-US"/>
        </w:rPr>
        <w:t xml:space="preserve">Acknowledge </w:t>
      </w:r>
      <w:r w:rsidR="004735E4" w:rsidRPr="003A58CF">
        <w:rPr>
          <w:lang w:eastAsia="en-US"/>
        </w:rPr>
        <w:t xml:space="preserve">the </w:t>
      </w:r>
      <w:r w:rsidRPr="003A58CF">
        <w:rPr>
          <w:lang w:eastAsia="en-US"/>
        </w:rPr>
        <w:t>non-urban population</w:t>
      </w:r>
      <w:r w:rsidR="001943CD" w:rsidRPr="003A58CF">
        <w:rPr>
          <w:lang w:eastAsia="en-US"/>
        </w:rPr>
        <w:t xml:space="preserve">’s </w:t>
      </w:r>
      <w:r w:rsidRPr="003A58CF">
        <w:rPr>
          <w:lang w:eastAsia="en-US"/>
        </w:rPr>
        <w:t>contribution to the region</w:t>
      </w:r>
    </w:p>
    <w:p w:rsidR="00330CD8" w:rsidRPr="003A58CF" w:rsidRDefault="00330CD8" w:rsidP="007A2D19">
      <w:pPr>
        <w:pStyle w:val="btbullet"/>
        <w:rPr>
          <w:lang w:eastAsia="en-US"/>
        </w:rPr>
      </w:pPr>
      <w:r w:rsidRPr="003A58CF">
        <w:rPr>
          <w:lang w:eastAsia="en-US"/>
        </w:rPr>
        <w:t xml:space="preserve">Invest in liveability, infrastructure and urban design initiatives to make </w:t>
      </w:r>
      <w:r w:rsidR="004735E4" w:rsidRPr="003A58CF">
        <w:rPr>
          <w:lang w:eastAsia="en-US"/>
        </w:rPr>
        <w:t xml:space="preserve">the region’s </w:t>
      </w:r>
      <w:r w:rsidRPr="003A58CF">
        <w:rPr>
          <w:lang w:eastAsia="en-US"/>
        </w:rPr>
        <w:t>towns great places to live</w:t>
      </w:r>
    </w:p>
    <w:p w:rsidR="00330CD8" w:rsidRPr="003A58CF" w:rsidRDefault="00330CD8" w:rsidP="007A2D19">
      <w:pPr>
        <w:pStyle w:val="btbullet"/>
        <w:rPr>
          <w:lang w:eastAsia="en-US"/>
        </w:rPr>
      </w:pPr>
      <w:r w:rsidRPr="003A58CF">
        <w:rPr>
          <w:lang w:eastAsia="en-US"/>
        </w:rPr>
        <w:t>Build community connectedness and reduce areas of social disadvantage</w:t>
      </w:r>
    </w:p>
    <w:p w:rsidR="006352F5" w:rsidRPr="003A58CF" w:rsidRDefault="006352F5" w:rsidP="007A2D19">
      <w:pPr>
        <w:pStyle w:val="btbullet"/>
      </w:pPr>
      <w:r w:rsidRPr="003A58CF">
        <w:t>Build a skilled and adaptable workforce by attracting skilled workers and providing access to high quality education and training opportunities</w:t>
      </w:r>
      <w:r w:rsidR="00425811" w:rsidRPr="003A58CF">
        <w:t>,</w:t>
      </w:r>
      <w:r w:rsidRPr="003A58CF">
        <w:t xml:space="preserve"> which provide pathways to employment</w:t>
      </w:r>
    </w:p>
    <w:p w:rsidR="001F16ED" w:rsidRPr="003A58CF" w:rsidRDefault="006352F5" w:rsidP="007A2D19">
      <w:pPr>
        <w:pStyle w:val="btbullet"/>
      </w:pPr>
      <w:r w:rsidRPr="003A58CF">
        <w:t>Plan for the facilities and infrastructure needed for delivery of education and training to support growth</w:t>
      </w:r>
    </w:p>
    <w:p w:rsidR="00330CD8" w:rsidRPr="00AE7B9C" w:rsidRDefault="00330CD8" w:rsidP="00AE7B9C">
      <w:pPr>
        <w:pStyle w:val="Heading4"/>
        <w:rPr>
          <w:rStyle w:val="Strong"/>
          <w:b/>
          <w:bCs/>
        </w:rPr>
      </w:pPr>
      <w:r w:rsidRPr="00AE7B9C">
        <w:rPr>
          <w:rStyle w:val="Strong"/>
          <w:b/>
          <w:bCs/>
        </w:rPr>
        <w:t>Principle 3. Strengthen and diversify our economy</w:t>
      </w:r>
    </w:p>
    <w:p w:rsidR="00330CD8" w:rsidRPr="003A58CF" w:rsidRDefault="00330CD8" w:rsidP="00854F5E">
      <w:pPr>
        <w:pStyle w:val="bt"/>
        <w:rPr>
          <w:lang w:eastAsia="en-US"/>
        </w:rPr>
      </w:pPr>
      <w:r w:rsidRPr="003A58CF">
        <w:rPr>
          <w:lang w:eastAsia="en-US"/>
        </w:rPr>
        <w:t>Ensuring access to diverse employment, recreation, retail and cultural activities will develop Loddon Mallee South as a preferred destination and self-sustaining region. Strategic opportunities for the growth of the region’s economic base, including agricultural diversification</w:t>
      </w:r>
      <w:r w:rsidR="00512B1B" w:rsidRPr="003A58CF">
        <w:rPr>
          <w:lang w:eastAsia="en-US"/>
        </w:rPr>
        <w:t xml:space="preserve">, minerals </w:t>
      </w:r>
      <w:r w:rsidR="008D2EE2" w:rsidRPr="003A58CF">
        <w:rPr>
          <w:lang w:eastAsia="en-US"/>
        </w:rPr>
        <w:t xml:space="preserve">and extractive </w:t>
      </w:r>
      <w:r w:rsidR="00512B1B" w:rsidRPr="003A58CF">
        <w:rPr>
          <w:lang w:eastAsia="en-US"/>
        </w:rPr>
        <w:t>industr</w:t>
      </w:r>
      <w:r w:rsidR="008D2EE2" w:rsidRPr="003A58CF">
        <w:rPr>
          <w:lang w:eastAsia="en-US"/>
        </w:rPr>
        <w:t>ies</w:t>
      </w:r>
      <w:r w:rsidRPr="003A58CF">
        <w:rPr>
          <w:lang w:eastAsia="en-US"/>
        </w:rPr>
        <w:t xml:space="preserve"> and new industries, will also be facilitated.</w:t>
      </w:r>
    </w:p>
    <w:p w:rsidR="002D2356" w:rsidRPr="00AE7B9C" w:rsidRDefault="00330CD8" w:rsidP="00AE7B9C">
      <w:pPr>
        <w:pStyle w:val="Heading4"/>
      </w:pPr>
      <w:r w:rsidRPr="00AE7B9C">
        <w:t>Future directions</w:t>
      </w:r>
    </w:p>
    <w:p w:rsidR="00330CD8" w:rsidRPr="003A58CF" w:rsidRDefault="00330CD8" w:rsidP="007A2D19">
      <w:pPr>
        <w:pStyle w:val="btbullet"/>
        <w:rPr>
          <w:lang w:eastAsia="en-US"/>
        </w:rPr>
      </w:pPr>
      <w:r w:rsidRPr="003A58CF">
        <w:rPr>
          <w:lang w:eastAsia="en-US"/>
        </w:rPr>
        <w:t>Enable residents to work and participate in the region by continuing to expand the region’s diverse economy</w:t>
      </w:r>
    </w:p>
    <w:p w:rsidR="00330CD8" w:rsidRPr="003A58CF" w:rsidRDefault="00330CD8" w:rsidP="007A2D19">
      <w:pPr>
        <w:pStyle w:val="btbullet"/>
        <w:rPr>
          <w:lang w:eastAsia="en-US"/>
        </w:rPr>
      </w:pPr>
      <w:r w:rsidRPr="003A58CF">
        <w:rPr>
          <w:lang w:eastAsia="en-US"/>
        </w:rPr>
        <w:t>Leverage greater employment and investment outcomes from growth sectors such as health, education and professional services</w:t>
      </w:r>
    </w:p>
    <w:p w:rsidR="00325BF8" w:rsidRPr="003A58CF" w:rsidRDefault="00325BF8" w:rsidP="007A2D19">
      <w:pPr>
        <w:pStyle w:val="btbullet"/>
      </w:pPr>
      <w:r w:rsidRPr="003A58CF">
        <w:t>Develop employment areas that are located, serviced and sited to take advantage of water, infrastructure, transport and energy connections</w:t>
      </w:r>
    </w:p>
    <w:p w:rsidR="00330CD8" w:rsidRPr="003A58CF" w:rsidRDefault="007A03A2" w:rsidP="007A2D19">
      <w:pPr>
        <w:pStyle w:val="btbullet"/>
        <w:rPr>
          <w:lang w:eastAsia="en-US"/>
        </w:rPr>
      </w:pPr>
      <w:r w:rsidRPr="003A58CF">
        <w:t>Support and develop emerging and potential growth sectors such as tourism, renewable energy, resource recovery and other</w:t>
      </w:r>
      <w:r w:rsidR="0004381B" w:rsidRPr="003A58CF">
        <w:t xml:space="preserve"> </w:t>
      </w:r>
      <w:r w:rsidRPr="003A58CF">
        <w:t>green industries</w:t>
      </w:r>
    </w:p>
    <w:p w:rsidR="00B21FFA" w:rsidRPr="00AE7B9C" w:rsidRDefault="00B21FFA" w:rsidP="00AE7B9C">
      <w:pPr>
        <w:pStyle w:val="Heading4"/>
        <w:rPr>
          <w:rStyle w:val="Strong"/>
          <w:b/>
          <w:bCs/>
        </w:rPr>
      </w:pPr>
      <w:r w:rsidRPr="00AE7B9C">
        <w:rPr>
          <w:rStyle w:val="Strong"/>
          <w:b/>
          <w:bCs/>
        </w:rPr>
        <w:t>Principle 4. Improve our infrastructure</w:t>
      </w:r>
    </w:p>
    <w:p w:rsidR="00B21FFA" w:rsidRPr="003A58CF" w:rsidRDefault="00B21FFA" w:rsidP="00854F5E">
      <w:pPr>
        <w:pStyle w:val="bt"/>
        <w:rPr>
          <w:lang w:eastAsia="en-US"/>
        </w:rPr>
      </w:pPr>
      <w:r w:rsidRPr="003A58CF">
        <w:rPr>
          <w:lang w:eastAsia="en-US"/>
        </w:rPr>
        <w:lastRenderedPageBreak/>
        <w:t>Good infrastructure enables our communities to remain connected, sustainable and vibrant. Planning for growth is undertaken alongside planning and development of infrastructure to enable economic and settlement growth in strategic locations.</w:t>
      </w:r>
    </w:p>
    <w:p w:rsidR="002D2356" w:rsidRPr="00AE7B9C" w:rsidRDefault="00B21FFA" w:rsidP="00AE7B9C">
      <w:pPr>
        <w:pStyle w:val="Heading4"/>
      </w:pPr>
      <w:r w:rsidRPr="00AE7B9C">
        <w:t>Future directions</w:t>
      </w:r>
    </w:p>
    <w:p w:rsidR="002E163C" w:rsidRPr="003A58CF" w:rsidRDefault="002E163C" w:rsidP="007A2D19">
      <w:pPr>
        <w:pStyle w:val="btbullet"/>
        <w:rPr>
          <w:lang w:eastAsia="en-US"/>
        </w:rPr>
      </w:pPr>
      <w:r w:rsidRPr="003A58CF">
        <w:rPr>
          <w:lang w:eastAsia="en-US"/>
        </w:rPr>
        <w:t>Strategically direct growth to locations with good existing infrastructure and infrastructure with the capacity for enhancement</w:t>
      </w:r>
    </w:p>
    <w:p w:rsidR="00B91EE1" w:rsidRPr="003A58CF" w:rsidRDefault="008D2EE2" w:rsidP="007A2D19">
      <w:pPr>
        <w:pStyle w:val="btbullet"/>
        <w:rPr>
          <w:lang w:eastAsia="en-US"/>
        </w:rPr>
      </w:pPr>
      <w:r w:rsidRPr="003A58CF">
        <w:rPr>
          <w:lang w:eastAsia="en-US"/>
        </w:rPr>
        <w:t>Provide</w:t>
      </w:r>
      <w:r w:rsidR="00B91EE1" w:rsidRPr="003A58CF">
        <w:rPr>
          <w:lang w:eastAsia="en-US"/>
        </w:rPr>
        <w:t xml:space="preserve"> adequate waste </w:t>
      </w:r>
      <w:r w:rsidRPr="003A58CF">
        <w:rPr>
          <w:lang w:eastAsia="en-US"/>
        </w:rPr>
        <w:t xml:space="preserve">and resource recovery </w:t>
      </w:r>
      <w:r w:rsidR="00B91EE1" w:rsidRPr="003A58CF">
        <w:rPr>
          <w:lang w:eastAsia="en-US"/>
        </w:rPr>
        <w:t>infrastructure and services to support new developments and population growth in the region</w:t>
      </w:r>
    </w:p>
    <w:p w:rsidR="00B22D9A" w:rsidRPr="003A58CF" w:rsidRDefault="00B22D9A" w:rsidP="007A2D19">
      <w:pPr>
        <w:pStyle w:val="btbullet"/>
        <w:rPr>
          <w:lang w:eastAsia="en-US"/>
        </w:rPr>
      </w:pPr>
      <w:r w:rsidRPr="003A58CF">
        <w:rPr>
          <w:lang w:eastAsia="en-US"/>
        </w:rPr>
        <w:t>Ensure that the current and future operation of major infrastructure of state and regional significance</w:t>
      </w:r>
      <w:r w:rsidR="009334CD" w:rsidRPr="003A58CF">
        <w:rPr>
          <w:lang w:eastAsia="en-US"/>
        </w:rPr>
        <w:t>,</w:t>
      </w:r>
      <w:r w:rsidRPr="003A58CF">
        <w:rPr>
          <w:lang w:eastAsia="en-US"/>
        </w:rPr>
        <w:t xml:space="preserve"> including highways, railways, airports, communications networks and energy generation and distribution systems</w:t>
      </w:r>
      <w:r w:rsidR="009334CD" w:rsidRPr="003A58CF">
        <w:rPr>
          <w:lang w:eastAsia="en-US"/>
        </w:rPr>
        <w:t>,</w:t>
      </w:r>
      <w:r w:rsidRPr="003A58CF">
        <w:rPr>
          <w:lang w:eastAsia="en-US"/>
        </w:rPr>
        <w:t xml:space="preserve"> is not adversely affected by urban development in adjacent areas</w:t>
      </w:r>
    </w:p>
    <w:p w:rsidR="00B21FFA" w:rsidRPr="003A58CF" w:rsidRDefault="00B21FFA" w:rsidP="007A2D19">
      <w:pPr>
        <w:pStyle w:val="btbullet"/>
        <w:rPr>
          <w:lang w:eastAsia="en-US"/>
        </w:rPr>
      </w:pPr>
      <w:r w:rsidRPr="003A58CF">
        <w:rPr>
          <w:lang w:eastAsia="en-US"/>
        </w:rPr>
        <w:t xml:space="preserve">Prioritise infrastructure that connects </w:t>
      </w:r>
      <w:r w:rsidR="0045082B" w:rsidRPr="003A58CF">
        <w:rPr>
          <w:lang w:eastAsia="en-US"/>
        </w:rPr>
        <w:t xml:space="preserve">the region’s </w:t>
      </w:r>
      <w:r w:rsidRPr="003A58CF">
        <w:rPr>
          <w:lang w:eastAsia="en-US"/>
        </w:rPr>
        <w:t>communities through physical and electronic means, such as transport and internet access</w:t>
      </w:r>
    </w:p>
    <w:p w:rsidR="00B22D9A" w:rsidRPr="003A58CF" w:rsidRDefault="00B22D9A" w:rsidP="007A2D19">
      <w:pPr>
        <w:pStyle w:val="btbullet"/>
        <w:rPr>
          <w:lang w:eastAsia="en-US"/>
        </w:rPr>
      </w:pPr>
      <w:r w:rsidRPr="003A58CF">
        <w:rPr>
          <w:lang w:eastAsia="en-US"/>
        </w:rPr>
        <w:t>Strategically renew, maintain and develop infrastructure to maximise opportunities and services to meet anticipated need</w:t>
      </w:r>
    </w:p>
    <w:p w:rsidR="003674FF" w:rsidRPr="003A58CF" w:rsidRDefault="00B21FFA" w:rsidP="007A2D19">
      <w:pPr>
        <w:pStyle w:val="btbullet"/>
        <w:rPr>
          <w:lang w:eastAsia="en-US"/>
        </w:rPr>
      </w:pPr>
      <w:r w:rsidRPr="003A58CF">
        <w:rPr>
          <w:lang w:eastAsia="en-US"/>
        </w:rPr>
        <w:t>Protect water quality</w:t>
      </w:r>
      <w:r w:rsidR="008D2EE2" w:rsidRPr="003A58CF">
        <w:rPr>
          <w:lang w:eastAsia="en-US"/>
        </w:rPr>
        <w:t xml:space="preserve"> </w:t>
      </w:r>
      <w:r w:rsidRPr="003A58CF">
        <w:rPr>
          <w:lang w:eastAsia="en-US"/>
        </w:rPr>
        <w:t>and quantity</w:t>
      </w:r>
    </w:p>
    <w:p w:rsidR="003674FF" w:rsidRPr="003A58CF" w:rsidRDefault="003674FF" w:rsidP="007A2D19">
      <w:pPr>
        <w:pStyle w:val="btbullet"/>
      </w:pPr>
      <w:r w:rsidRPr="003A58CF">
        <w:t>Provide for the future of waste management and resource recovery</w:t>
      </w:r>
    </w:p>
    <w:p w:rsidR="00922EAE" w:rsidRPr="00AE7B9C" w:rsidRDefault="00922EAE" w:rsidP="00AE7B9C">
      <w:pPr>
        <w:pStyle w:val="Heading4"/>
        <w:rPr>
          <w:rStyle w:val="Strong"/>
          <w:b/>
          <w:bCs/>
        </w:rPr>
      </w:pPr>
      <w:r w:rsidRPr="00AE7B9C">
        <w:rPr>
          <w:rStyle w:val="Strong"/>
          <w:b/>
          <w:bCs/>
        </w:rPr>
        <w:t>Principle 5. Improve education and training outcomes</w:t>
      </w:r>
    </w:p>
    <w:p w:rsidR="00922EAE" w:rsidRPr="003A58CF" w:rsidRDefault="00922EAE" w:rsidP="00854F5E">
      <w:pPr>
        <w:pStyle w:val="bt"/>
        <w:rPr>
          <w:lang w:eastAsia="en-US"/>
        </w:rPr>
      </w:pPr>
      <w:r w:rsidRPr="003A58CF">
        <w:rPr>
          <w:lang w:eastAsia="en-US"/>
        </w:rPr>
        <w:t>Whole-of-life education and training is critical to overall health and wellbeing. Educational attainment brings personal, social and economic benefits to individuals and communities. It also creates opportunity through increased access to employment for individuals and helps to address regional skill shortages and assist</w:t>
      </w:r>
      <w:r w:rsidR="00762133">
        <w:rPr>
          <w:lang w:eastAsia="en-US"/>
        </w:rPr>
        <w:t>s</w:t>
      </w:r>
      <w:r w:rsidRPr="003A58CF">
        <w:rPr>
          <w:lang w:eastAsia="en-US"/>
        </w:rPr>
        <w:t xml:space="preserve"> in strengthening and diversifying the economy.</w:t>
      </w:r>
    </w:p>
    <w:p w:rsidR="002D2356" w:rsidRPr="00AE7B9C" w:rsidRDefault="00922EAE" w:rsidP="00AE7B9C">
      <w:pPr>
        <w:pStyle w:val="Heading4"/>
      </w:pPr>
      <w:r w:rsidRPr="00AE7B9C">
        <w:t>Future directions</w:t>
      </w:r>
    </w:p>
    <w:p w:rsidR="00922EAE" w:rsidRPr="003A58CF" w:rsidRDefault="006352F5" w:rsidP="007A2D19">
      <w:pPr>
        <w:pStyle w:val="btbullet"/>
        <w:rPr>
          <w:lang w:eastAsia="en-US"/>
        </w:rPr>
      </w:pPr>
      <w:r w:rsidRPr="003A58CF">
        <w:rPr>
          <w:lang w:eastAsia="en-US"/>
        </w:rPr>
        <w:t>Build a</w:t>
      </w:r>
      <w:r w:rsidR="00922EAE" w:rsidRPr="003A58CF">
        <w:rPr>
          <w:lang w:eastAsia="en-US"/>
        </w:rPr>
        <w:t xml:space="preserve"> skilled and adaptable workforce by attracting skilled workers and by providing access to high quality education and training opportunities</w:t>
      </w:r>
      <w:r w:rsidR="00425811" w:rsidRPr="003A58CF">
        <w:rPr>
          <w:lang w:eastAsia="en-US"/>
        </w:rPr>
        <w:t>,</w:t>
      </w:r>
      <w:r w:rsidR="00922EAE" w:rsidRPr="003A58CF">
        <w:rPr>
          <w:lang w:eastAsia="en-US"/>
        </w:rPr>
        <w:t xml:space="preserve"> which provide pathways to employment</w:t>
      </w:r>
    </w:p>
    <w:p w:rsidR="001E4062" w:rsidRPr="003A58CF" w:rsidRDefault="00922EAE" w:rsidP="007A2D19">
      <w:pPr>
        <w:pStyle w:val="btbullet"/>
        <w:rPr>
          <w:lang w:eastAsia="en-US"/>
        </w:rPr>
      </w:pPr>
      <w:r w:rsidRPr="003A58CF">
        <w:rPr>
          <w:lang w:eastAsia="en-US"/>
        </w:rPr>
        <w:t>Plan for the facilities and infrastructure needed for delivery of education and training to support growth</w:t>
      </w:r>
    </w:p>
    <w:p w:rsidR="00922EAE" w:rsidRPr="00AE7B9C" w:rsidRDefault="00922EAE" w:rsidP="00AE7B9C">
      <w:pPr>
        <w:pStyle w:val="Heading4"/>
        <w:rPr>
          <w:rStyle w:val="Strong"/>
          <w:b/>
          <w:bCs/>
        </w:rPr>
      </w:pPr>
      <w:r w:rsidRPr="00AE7B9C">
        <w:rPr>
          <w:rStyle w:val="Strong"/>
          <w:b/>
          <w:bCs/>
        </w:rPr>
        <w:t>Principle 6. Protect and enhance our natural and built environment</w:t>
      </w:r>
    </w:p>
    <w:p w:rsidR="00922EAE" w:rsidRPr="003A58CF" w:rsidRDefault="00922EAE" w:rsidP="00854F5E">
      <w:pPr>
        <w:pStyle w:val="bt"/>
        <w:rPr>
          <w:lang w:eastAsia="en-US"/>
        </w:rPr>
      </w:pPr>
      <w:r w:rsidRPr="003A58CF">
        <w:rPr>
          <w:lang w:eastAsia="en-US"/>
        </w:rPr>
        <w:t xml:space="preserve">Settlement growth and development will occur in sympathy with environmental and heritage assets </w:t>
      </w:r>
      <w:r w:rsidR="0004381B" w:rsidRPr="003A58CF">
        <w:rPr>
          <w:lang w:eastAsia="en-US"/>
        </w:rPr>
        <w:t xml:space="preserve">including </w:t>
      </w:r>
      <w:r w:rsidRPr="003A58CF">
        <w:rPr>
          <w:lang w:eastAsia="en-US"/>
        </w:rPr>
        <w:t>native habitat, waterways, wetlands, soil health, water quality and Aboriginal</w:t>
      </w:r>
      <w:r w:rsidR="0008129B" w:rsidRPr="003A58CF">
        <w:rPr>
          <w:lang w:eastAsia="en-US"/>
        </w:rPr>
        <w:t xml:space="preserve"> cultural heritage </w:t>
      </w:r>
      <w:r w:rsidR="007E5DCA" w:rsidRPr="003A58CF">
        <w:rPr>
          <w:lang w:eastAsia="en-US"/>
        </w:rPr>
        <w:t>and historic</w:t>
      </w:r>
      <w:r w:rsidR="00512B1B" w:rsidRPr="003A58CF">
        <w:rPr>
          <w:lang w:eastAsia="en-US"/>
        </w:rPr>
        <w:t xml:space="preserve"> </w:t>
      </w:r>
      <w:r w:rsidRPr="003A58CF">
        <w:rPr>
          <w:lang w:eastAsia="en-US"/>
        </w:rPr>
        <w:t>heritage. This will involve celebrating how our environmental assets contribute to the liveability of the region, attracting visitors as well as supporting community wellbeing.</w:t>
      </w:r>
    </w:p>
    <w:p w:rsidR="002D2356" w:rsidRPr="00AE7B9C" w:rsidRDefault="00922EAE" w:rsidP="00AE7B9C">
      <w:pPr>
        <w:pStyle w:val="Heading4"/>
      </w:pPr>
      <w:r w:rsidRPr="00AE7B9C">
        <w:t>Future directions</w:t>
      </w:r>
    </w:p>
    <w:p w:rsidR="00922EAE" w:rsidRPr="003A58CF" w:rsidRDefault="00922EAE" w:rsidP="007A2D19">
      <w:pPr>
        <w:pStyle w:val="btbullet"/>
        <w:rPr>
          <w:lang w:eastAsia="en-US"/>
        </w:rPr>
      </w:pPr>
      <w:r w:rsidRPr="003A58CF">
        <w:rPr>
          <w:lang w:eastAsia="en-US"/>
        </w:rPr>
        <w:t>Protect and improve the condition of the region’s important environmental assets such as the forests, wetlands and rivers</w:t>
      </w:r>
    </w:p>
    <w:p w:rsidR="00922EAE" w:rsidRPr="003A58CF" w:rsidRDefault="00922EAE" w:rsidP="007A2D19">
      <w:pPr>
        <w:pStyle w:val="btbullet"/>
        <w:rPr>
          <w:lang w:eastAsia="en-US"/>
        </w:rPr>
      </w:pPr>
      <w:r w:rsidRPr="003A58CF">
        <w:rPr>
          <w:lang w:eastAsia="en-US"/>
        </w:rPr>
        <w:t>Protect identified visually important landscapes, and cultural and built heritage places</w:t>
      </w:r>
    </w:p>
    <w:p w:rsidR="00922EAE" w:rsidRPr="003A58CF" w:rsidRDefault="00922EAE" w:rsidP="007A2D19">
      <w:pPr>
        <w:pStyle w:val="btbullet"/>
        <w:rPr>
          <w:lang w:eastAsia="en-US"/>
        </w:rPr>
      </w:pPr>
      <w:r w:rsidRPr="003A58CF">
        <w:rPr>
          <w:lang w:eastAsia="en-US"/>
        </w:rPr>
        <w:t xml:space="preserve">Plan for settlement growth to occur in locations that avoid areas of high risk from natural hazards such as </w:t>
      </w:r>
      <w:r w:rsidR="002D2356" w:rsidRPr="003A58CF">
        <w:rPr>
          <w:lang w:eastAsia="en-US"/>
        </w:rPr>
        <w:t>bushfire</w:t>
      </w:r>
      <w:r w:rsidRPr="003A58CF">
        <w:rPr>
          <w:lang w:eastAsia="en-US"/>
        </w:rPr>
        <w:t xml:space="preserve"> and </w:t>
      </w:r>
      <w:r w:rsidR="002D2356" w:rsidRPr="003A58CF">
        <w:rPr>
          <w:lang w:eastAsia="en-US"/>
        </w:rPr>
        <w:t>flood</w:t>
      </w:r>
    </w:p>
    <w:p w:rsidR="00922EAE" w:rsidRPr="003A58CF" w:rsidRDefault="00922EAE" w:rsidP="007A2D19">
      <w:pPr>
        <w:pStyle w:val="btbullet"/>
        <w:rPr>
          <w:lang w:eastAsia="en-US"/>
        </w:rPr>
      </w:pPr>
      <w:r w:rsidRPr="003A58CF">
        <w:rPr>
          <w:lang w:eastAsia="en-US"/>
        </w:rPr>
        <w:t>Manage settlement growth to limit the impact on agricultural productivity, natural resources and environmental assets</w:t>
      </w:r>
    </w:p>
    <w:p w:rsidR="00922EAE" w:rsidRPr="003A58CF" w:rsidRDefault="00922EAE" w:rsidP="007A2D19">
      <w:pPr>
        <w:pStyle w:val="btbullet"/>
        <w:rPr>
          <w:lang w:eastAsia="en-US"/>
        </w:rPr>
      </w:pPr>
      <w:r w:rsidRPr="003A58CF">
        <w:rPr>
          <w:lang w:eastAsia="en-US"/>
        </w:rPr>
        <w:t>Maintain the non-urban breaks between settlements</w:t>
      </w:r>
    </w:p>
    <w:p w:rsidR="00922EAE" w:rsidRPr="003A58CF" w:rsidRDefault="00922EAE" w:rsidP="007A2D19">
      <w:pPr>
        <w:pStyle w:val="btbullet"/>
        <w:rPr>
          <w:lang w:eastAsia="en-US"/>
        </w:rPr>
      </w:pPr>
      <w:r w:rsidRPr="003A58CF">
        <w:rPr>
          <w:lang w:eastAsia="en-US"/>
        </w:rPr>
        <w:lastRenderedPageBreak/>
        <w:t>Minimise the impacts of land use change and development on areas with significant environmental assets</w:t>
      </w:r>
    </w:p>
    <w:p w:rsidR="00922EAE" w:rsidRPr="00AE7B9C" w:rsidRDefault="00922EAE" w:rsidP="00AE7B9C">
      <w:pPr>
        <w:pStyle w:val="Heading4"/>
        <w:rPr>
          <w:rStyle w:val="Strong"/>
          <w:b/>
          <w:bCs/>
        </w:rPr>
      </w:pPr>
      <w:r w:rsidRPr="00AE7B9C">
        <w:rPr>
          <w:rStyle w:val="Strong"/>
          <w:b/>
          <w:bCs/>
        </w:rPr>
        <w:t>Principle 7. Ensure our food, water and energy security</w:t>
      </w:r>
    </w:p>
    <w:p w:rsidR="00922EAE" w:rsidRPr="003A58CF" w:rsidRDefault="00604B2D" w:rsidP="00854F5E">
      <w:pPr>
        <w:pStyle w:val="bt"/>
        <w:rPr>
          <w:lang w:eastAsia="en-US"/>
        </w:rPr>
      </w:pPr>
      <w:r w:rsidRPr="003A58CF">
        <w:rPr>
          <w:lang w:eastAsia="en-US"/>
        </w:rPr>
        <w:t>O</w:t>
      </w:r>
      <w:r w:rsidR="00922EAE" w:rsidRPr="003A58CF">
        <w:rPr>
          <w:lang w:eastAsia="en-US"/>
        </w:rPr>
        <w:t xml:space="preserve">ur farming and food production areas </w:t>
      </w:r>
      <w:r w:rsidRPr="003A58CF">
        <w:rPr>
          <w:lang w:eastAsia="en-US"/>
        </w:rPr>
        <w:t>will be strengthened to</w:t>
      </w:r>
      <w:r w:rsidR="00922EAE" w:rsidRPr="003A58CF">
        <w:rPr>
          <w:lang w:eastAsia="en-US"/>
        </w:rPr>
        <w:t xml:space="preserve"> optimise opportunities for the production of energy. Protect</w:t>
      </w:r>
      <w:r w:rsidRPr="003A58CF">
        <w:rPr>
          <w:lang w:eastAsia="en-US"/>
        </w:rPr>
        <w:t>ion of</w:t>
      </w:r>
      <w:r w:rsidR="00922EAE" w:rsidRPr="003A58CF">
        <w:rPr>
          <w:lang w:eastAsia="en-US"/>
        </w:rPr>
        <w:t xml:space="preserve"> our water sources and infrastructure </w:t>
      </w:r>
      <w:r w:rsidRPr="003A58CF">
        <w:rPr>
          <w:lang w:eastAsia="en-US"/>
        </w:rPr>
        <w:t xml:space="preserve">is important </w:t>
      </w:r>
      <w:r w:rsidR="00922EAE" w:rsidRPr="003A58CF">
        <w:rPr>
          <w:lang w:eastAsia="en-US"/>
        </w:rPr>
        <w:t>to sustain growth for our urban and rural areas.</w:t>
      </w:r>
    </w:p>
    <w:p w:rsidR="002D2356" w:rsidRPr="00AE7B9C" w:rsidRDefault="00922EAE" w:rsidP="00AE7B9C">
      <w:pPr>
        <w:pStyle w:val="Heading4"/>
      </w:pPr>
      <w:r w:rsidRPr="00AE7B9C">
        <w:t>Future directions</w:t>
      </w:r>
    </w:p>
    <w:p w:rsidR="00922EAE" w:rsidRPr="003A58CF" w:rsidRDefault="00922EAE" w:rsidP="007A2D19">
      <w:pPr>
        <w:pStyle w:val="btbullet"/>
        <w:rPr>
          <w:lang w:eastAsia="en-US"/>
        </w:rPr>
      </w:pPr>
      <w:r w:rsidRPr="003A58CF">
        <w:rPr>
          <w:lang w:eastAsia="en-US"/>
        </w:rPr>
        <w:t>Facilitate ongoing agricultural productivity and investment in high value agriculture</w:t>
      </w:r>
    </w:p>
    <w:p w:rsidR="00922EAE" w:rsidRPr="003A58CF" w:rsidRDefault="00922EAE" w:rsidP="007A2D19">
      <w:pPr>
        <w:pStyle w:val="btbullet"/>
        <w:rPr>
          <w:lang w:eastAsia="en-US"/>
        </w:rPr>
      </w:pPr>
      <w:r w:rsidRPr="003A58CF">
        <w:rPr>
          <w:lang w:eastAsia="en-US"/>
        </w:rPr>
        <w:t>Support ongoing adaptation and flexibility for the agricultural sector</w:t>
      </w:r>
    </w:p>
    <w:p w:rsidR="00922EAE" w:rsidRPr="003A58CF" w:rsidRDefault="00922EAE" w:rsidP="007A2D19">
      <w:pPr>
        <w:pStyle w:val="btbullet"/>
        <w:rPr>
          <w:lang w:eastAsia="en-US"/>
        </w:rPr>
      </w:pPr>
      <w:r w:rsidRPr="003A58CF">
        <w:rPr>
          <w:lang w:eastAsia="en-US"/>
        </w:rPr>
        <w:t>Facilitate ongoing agricultural productivity and new opportunities that respond to the potential impacts of climate change</w:t>
      </w:r>
    </w:p>
    <w:p w:rsidR="00922EAE" w:rsidRPr="003A58CF" w:rsidRDefault="00922EAE" w:rsidP="007A2D19">
      <w:pPr>
        <w:pStyle w:val="btbullet"/>
        <w:rPr>
          <w:lang w:eastAsia="en-US"/>
        </w:rPr>
      </w:pPr>
      <w:r w:rsidRPr="003A58CF">
        <w:rPr>
          <w:lang w:eastAsia="en-US"/>
        </w:rPr>
        <w:t xml:space="preserve">Support the sustainable use of rural land, including the development of </w:t>
      </w:r>
      <w:r w:rsidR="00325BF8" w:rsidRPr="003A58CF">
        <w:rPr>
          <w:lang w:eastAsia="en-US"/>
        </w:rPr>
        <w:t>regional catchment strategies</w:t>
      </w:r>
      <w:r w:rsidRPr="003A58CF">
        <w:rPr>
          <w:lang w:eastAsia="en-US"/>
        </w:rPr>
        <w:t xml:space="preserve"> and other suitable tools</w:t>
      </w:r>
    </w:p>
    <w:p w:rsidR="00425811" w:rsidRPr="003A58CF" w:rsidRDefault="00922EAE" w:rsidP="007A2D19">
      <w:pPr>
        <w:pStyle w:val="btbullet"/>
        <w:rPr>
          <w:lang w:eastAsia="en-US"/>
        </w:rPr>
      </w:pPr>
      <w:r w:rsidRPr="003A58CF">
        <w:rPr>
          <w:lang w:eastAsia="en-US"/>
        </w:rPr>
        <w:t xml:space="preserve">Encourage and facilitate development in renewable energy, </w:t>
      </w:r>
      <w:r w:rsidR="00512B1B" w:rsidRPr="003A58CF">
        <w:rPr>
          <w:lang w:eastAsia="en-US"/>
        </w:rPr>
        <w:t xml:space="preserve">waste to energy, </w:t>
      </w:r>
      <w:r w:rsidRPr="003A58CF">
        <w:rPr>
          <w:lang w:eastAsia="en-US"/>
        </w:rPr>
        <w:t>carbon sequestration and other new energy opportunities</w:t>
      </w:r>
    </w:p>
    <w:p w:rsidR="002D2356" w:rsidRPr="003A58CF" w:rsidRDefault="00922EAE" w:rsidP="007A2D19">
      <w:pPr>
        <w:pStyle w:val="btbullet"/>
        <w:rPr>
          <w:lang w:eastAsia="en-US"/>
        </w:rPr>
      </w:pPr>
      <w:r w:rsidRPr="003A58CF">
        <w:rPr>
          <w:lang w:eastAsia="en-US"/>
        </w:rPr>
        <w:t>Protect water quality and quantity</w:t>
      </w:r>
    </w:p>
    <w:p w:rsidR="00922EAE" w:rsidRPr="00AE7B9C" w:rsidRDefault="00922EAE" w:rsidP="00AE7B9C">
      <w:pPr>
        <w:pStyle w:val="Heading4"/>
        <w:rPr>
          <w:rStyle w:val="Strong"/>
          <w:b/>
          <w:bCs/>
        </w:rPr>
      </w:pPr>
      <w:r w:rsidRPr="00AE7B9C">
        <w:rPr>
          <w:rStyle w:val="Strong"/>
          <w:b/>
          <w:bCs/>
        </w:rPr>
        <w:t>Principle 8. Collaborate to achieve our region’s goals</w:t>
      </w:r>
    </w:p>
    <w:p w:rsidR="002D2356" w:rsidRPr="003A58CF" w:rsidRDefault="00922EAE" w:rsidP="00AE7B9C">
      <w:pPr>
        <w:pStyle w:val="Heading4"/>
        <w:rPr>
          <w:lang w:eastAsia="en-US"/>
        </w:rPr>
      </w:pPr>
      <w:bookmarkStart w:id="83" w:name="_Toc336871219"/>
      <w:r w:rsidRPr="003A58CF">
        <w:rPr>
          <w:lang w:eastAsia="en-US"/>
        </w:rPr>
        <w:t>Future directions</w:t>
      </w:r>
    </w:p>
    <w:p w:rsidR="00AA6025" w:rsidRPr="003A58CF" w:rsidRDefault="00AA6025" w:rsidP="007A2D19">
      <w:pPr>
        <w:pStyle w:val="btbullet"/>
      </w:pPr>
      <w:r w:rsidRPr="003A58CF">
        <w:t>Utilise existing regional and local networks, for example, Regional Development Australia, the Regional Management Forum and local community planning networks, and other suitable forums to share information, identify agency leads and collaborate on regional projects.</w:t>
      </w:r>
    </w:p>
    <w:p w:rsidR="001F16ED" w:rsidRPr="003A58CF" w:rsidRDefault="001F16ED" w:rsidP="001F16ED">
      <w:pPr>
        <w:rPr>
          <w:rFonts w:cstheme="minorHAnsi"/>
          <w:sz w:val="22"/>
          <w:szCs w:val="22"/>
          <w:lang w:eastAsia="en-US"/>
        </w:rPr>
      </w:pPr>
    </w:p>
    <w:p w:rsidR="00AA6025" w:rsidRPr="003A58CF" w:rsidRDefault="00AA6025" w:rsidP="00AA6025">
      <w:pPr>
        <w:rPr>
          <w:rFonts w:cstheme="minorHAnsi"/>
          <w:sz w:val="22"/>
          <w:szCs w:val="22"/>
          <w:lang w:eastAsia="en-US"/>
        </w:rPr>
        <w:sectPr w:rsidR="00AA6025" w:rsidRPr="003A58CF" w:rsidSect="00AC12B3">
          <w:headerReference w:type="default" r:id="rId18"/>
          <w:pgSz w:w="11906" w:h="16838"/>
          <w:pgMar w:top="1308" w:right="1276" w:bottom="993" w:left="993" w:header="709" w:footer="708" w:gutter="0"/>
          <w:cols w:space="708"/>
          <w:docGrid w:linePitch="360"/>
        </w:sectPr>
      </w:pPr>
    </w:p>
    <w:p w:rsidR="00DE58DB" w:rsidRPr="00C23818" w:rsidRDefault="00836162" w:rsidP="00C23818">
      <w:pPr>
        <w:pStyle w:val="Heading1"/>
      </w:pPr>
      <w:bookmarkStart w:id="84" w:name="_Toc377026332"/>
      <w:r w:rsidRPr="00C23818">
        <w:lastRenderedPageBreak/>
        <w:t>PART C</w:t>
      </w:r>
      <w:r w:rsidR="00FF28BD" w:rsidRPr="00C23818">
        <w:t xml:space="preserve"> </w:t>
      </w:r>
      <w:r w:rsidR="00FF28BD" w:rsidRPr="00C23818">
        <w:tab/>
      </w:r>
      <w:r w:rsidR="00DE58DB" w:rsidRPr="00C23818">
        <w:t>TOWARDS THE REGIONAL GROWTH PLAN –</w:t>
      </w:r>
      <w:r w:rsidR="0049446D" w:rsidRPr="00C23818">
        <w:t xml:space="preserve"> </w:t>
      </w:r>
      <w:r w:rsidR="00DE58DB" w:rsidRPr="00C23818">
        <w:t>REGIONAL LAND USE F</w:t>
      </w:r>
      <w:bookmarkEnd w:id="83"/>
      <w:r w:rsidR="00DE58DB" w:rsidRPr="00C23818">
        <w:t>RAMEWORK</w:t>
      </w:r>
      <w:bookmarkEnd w:id="84"/>
    </w:p>
    <w:p w:rsidR="00DE58DB" w:rsidRPr="003A58CF" w:rsidRDefault="00DE58DB" w:rsidP="00C23818">
      <w:pPr>
        <w:pStyle w:val="Heading11"/>
      </w:pPr>
      <w:bookmarkStart w:id="85" w:name="_Toc336871220"/>
      <w:bookmarkStart w:id="86" w:name="_Toc377026333"/>
      <w:r w:rsidRPr="003A58CF">
        <w:t xml:space="preserve">Regional </w:t>
      </w:r>
      <w:r w:rsidR="004A7457" w:rsidRPr="003A58CF">
        <w:t>e</w:t>
      </w:r>
      <w:r w:rsidRPr="003A58CF">
        <w:t>conomy</w:t>
      </w:r>
      <w:bookmarkEnd w:id="85"/>
      <w:bookmarkEnd w:id="86"/>
    </w:p>
    <w:p w:rsidR="00135CA1" w:rsidRPr="008E5B8A" w:rsidRDefault="0043085B" w:rsidP="008E5B8A">
      <w:pPr>
        <w:pStyle w:val="Heading4"/>
        <w:rPr>
          <w:rStyle w:val="Strong"/>
          <w:b/>
          <w:bCs/>
        </w:rPr>
      </w:pPr>
      <w:r w:rsidRPr="008E5B8A">
        <w:rPr>
          <w:rStyle w:val="Strong"/>
          <w:b/>
          <w:bCs/>
        </w:rPr>
        <w:t>Future directions</w:t>
      </w:r>
    </w:p>
    <w:p w:rsidR="00135CA1" w:rsidRPr="00025EF8" w:rsidRDefault="007E1BFB" w:rsidP="00025EF8">
      <w:pPr>
        <w:pStyle w:val="btbullet"/>
      </w:pPr>
      <w:bookmarkStart w:id="87" w:name="OLE_LINK76"/>
      <w:bookmarkStart w:id="88" w:name="OLE_LINK77"/>
      <w:bookmarkStart w:id="89" w:name="OLE_LINK107"/>
      <w:r w:rsidRPr="00025EF8">
        <w:t>Enable residents to work and participate in the region by continuing to expand the region’s diverse economy</w:t>
      </w:r>
    </w:p>
    <w:p w:rsidR="00135CA1" w:rsidRPr="00025EF8" w:rsidRDefault="00DE58DB" w:rsidP="00025EF8">
      <w:pPr>
        <w:pStyle w:val="btbullet"/>
      </w:pPr>
      <w:r w:rsidRPr="00025EF8">
        <w:t>Leverage greater employment and investment outcomes from growth sectors such as health, education and professional services</w:t>
      </w:r>
    </w:p>
    <w:p w:rsidR="00135CA1" w:rsidRPr="00025EF8" w:rsidRDefault="005F4FF1" w:rsidP="00025EF8">
      <w:pPr>
        <w:pStyle w:val="btbullet"/>
      </w:pPr>
      <w:r w:rsidRPr="00025EF8">
        <w:t>Develop employment areas that are located, serviced and sited to take advantage of water, infrastructure, transport and energy connections</w:t>
      </w:r>
    </w:p>
    <w:p w:rsidR="001F16ED" w:rsidRPr="00025EF8" w:rsidRDefault="007A03A2" w:rsidP="00025EF8">
      <w:pPr>
        <w:pStyle w:val="btbullet"/>
      </w:pPr>
      <w:r w:rsidRPr="00025EF8">
        <w:t>Support and develop emerging and potential growth sectors such as tourism, renewable energy, resource recovery and other green industries</w:t>
      </w:r>
    </w:p>
    <w:p w:rsidR="00135CA1" w:rsidRPr="008E5B8A" w:rsidRDefault="0018666D" w:rsidP="008E5B8A">
      <w:pPr>
        <w:pStyle w:val="Heading4"/>
        <w:rPr>
          <w:rStyle w:val="Strong"/>
          <w:b/>
          <w:bCs/>
        </w:rPr>
      </w:pPr>
      <w:bookmarkStart w:id="90" w:name="_Toc351459091"/>
      <w:bookmarkEnd w:id="87"/>
      <w:bookmarkEnd w:id="88"/>
      <w:bookmarkEnd w:id="89"/>
      <w:r w:rsidRPr="008E5B8A">
        <w:rPr>
          <w:rStyle w:val="Strong"/>
          <w:b/>
          <w:bCs/>
        </w:rPr>
        <w:t>Overview</w:t>
      </w:r>
      <w:bookmarkEnd w:id="90"/>
    </w:p>
    <w:p w:rsidR="00DE58DB" w:rsidRPr="003A58CF" w:rsidRDefault="00DE58DB" w:rsidP="00854F5E">
      <w:pPr>
        <w:pStyle w:val="bt"/>
      </w:pPr>
      <w:r w:rsidRPr="003A58CF">
        <w:t xml:space="preserve">This section outlines the existing and potential future economic sectors and strengths of the </w:t>
      </w:r>
      <w:r w:rsidR="00131BD7" w:rsidRPr="003A58CF">
        <w:t xml:space="preserve">Loddon Mallee South </w:t>
      </w:r>
      <w:r w:rsidRPr="003A58CF">
        <w:t xml:space="preserve">region, including </w:t>
      </w:r>
      <w:r w:rsidR="00131BD7" w:rsidRPr="003A58CF">
        <w:t xml:space="preserve">its </w:t>
      </w:r>
      <w:r w:rsidRPr="003A58CF">
        <w:t>business, industry and services, natural resources and agricultural assets.</w:t>
      </w:r>
    </w:p>
    <w:p w:rsidR="00DE58DB" w:rsidRPr="003A58CF" w:rsidRDefault="00DE58DB" w:rsidP="00854F5E">
      <w:pPr>
        <w:pStyle w:val="bt"/>
      </w:pPr>
      <w:r w:rsidRPr="003A58CF">
        <w:t xml:space="preserve">Economic growth </w:t>
      </w:r>
      <w:r w:rsidR="003F429B" w:rsidRPr="003A58CF">
        <w:t xml:space="preserve">and prosperity can </w:t>
      </w:r>
      <w:r w:rsidR="00FD12F4" w:rsidRPr="003A58CF">
        <w:t>improve</w:t>
      </w:r>
      <w:r w:rsidR="003F429B" w:rsidRPr="003A58CF">
        <w:t xml:space="preserve"> with</w:t>
      </w:r>
      <w:r w:rsidRPr="003A58CF">
        <w:t xml:space="preserve"> population growth. </w:t>
      </w:r>
      <w:r w:rsidR="003F429B" w:rsidRPr="003A58CF">
        <w:t>Many</w:t>
      </w:r>
      <w:r w:rsidRPr="003A58CF">
        <w:t xml:space="preserve"> people choose to live in the region for liveability reasons</w:t>
      </w:r>
      <w:r w:rsidR="0049446D" w:rsidRPr="003A58CF">
        <w:t>,</w:t>
      </w:r>
      <w:r w:rsidR="003F429B" w:rsidRPr="003A58CF">
        <w:t xml:space="preserve"> but </w:t>
      </w:r>
      <w:r w:rsidRPr="003A58CF">
        <w:t xml:space="preserve">employment options and economic growth are critical for a </w:t>
      </w:r>
      <w:r w:rsidR="0056291A" w:rsidRPr="003A58CF">
        <w:t xml:space="preserve">viable </w:t>
      </w:r>
      <w:r w:rsidRPr="003A58CF">
        <w:t xml:space="preserve">future. This section outlines the future directions and actions to grow the regional economy and regionally important industry sectors. </w:t>
      </w:r>
    </w:p>
    <w:p w:rsidR="00DE58DB" w:rsidRPr="003A58CF" w:rsidRDefault="00DE58DB" w:rsidP="00854F5E">
      <w:pPr>
        <w:pStyle w:val="bt"/>
        <w:rPr>
          <w:lang w:val="en-US" w:eastAsia="en-US"/>
        </w:rPr>
      </w:pPr>
      <w:r w:rsidRPr="003A58CF">
        <w:rPr>
          <w:lang w:val="en-US" w:eastAsia="en-US"/>
        </w:rPr>
        <w:t xml:space="preserve">To build on </w:t>
      </w:r>
      <w:r w:rsidR="00131BD7" w:rsidRPr="003A58CF">
        <w:rPr>
          <w:lang w:val="en-US" w:eastAsia="en-US"/>
        </w:rPr>
        <w:t xml:space="preserve">the </w:t>
      </w:r>
      <w:r w:rsidRPr="003A58CF">
        <w:rPr>
          <w:lang w:val="en-US" w:eastAsia="en-US"/>
        </w:rPr>
        <w:t xml:space="preserve">region’s economy, planning for employment growth needs to occur alongside planning for population. There needs to be adequate serviced and zoned land in strategic locations and appropriate </w:t>
      </w:r>
      <w:r w:rsidR="00E571D6">
        <w:rPr>
          <w:lang w:val="en-US" w:eastAsia="en-US"/>
        </w:rPr>
        <w:t>l</w:t>
      </w:r>
      <w:r w:rsidR="00E571D6" w:rsidRPr="003A58CF">
        <w:rPr>
          <w:lang w:val="en-US" w:eastAsia="en-US"/>
        </w:rPr>
        <w:t>evers</w:t>
      </w:r>
      <w:r w:rsidRPr="003A58CF">
        <w:rPr>
          <w:lang w:val="en-US" w:eastAsia="en-US"/>
        </w:rPr>
        <w:t xml:space="preserve"> to attract and maintain businesses in the region. Developing a broad range of employment options </w:t>
      </w:r>
      <w:r w:rsidR="00131BD7" w:rsidRPr="003A58CF">
        <w:rPr>
          <w:lang w:val="en-US" w:eastAsia="en-US"/>
        </w:rPr>
        <w:t xml:space="preserve">that build </w:t>
      </w:r>
      <w:r w:rsidRPr="003A58CF">
        <w:rPr>
          <w:lang w:val="en-US" w:eastAsia="en-US"/>
        </w:rPr>
        <w:t xml:space="preserve">on </w:t>
      </w:r>
      <w:r w:rsidR="00131BD7" w:rsidRPr="003A58CF">
        <w:rPr>
          <w:lang w:val="en-US" w:eastAsia="en-US"/>
        </w:rPr>
        <w:t xml:space="preserve">existing </w:t>
      </w:r>
      <w:r w:rsidRPr="003A58CF">
        <w:rPr>
          <w:lang w:val="en-US" w:eastAsia="en-US"/>
        </w:rPr>
        <w:t xml:space="preserve">economic strengths and opportunities will contribute to the overall wellbeing of </w:t>
      </w:r>
      <w:r w:rsidR="00131BD7" w:rsidRPr="003A58CF">
        <w:rPr>
          <w:lang w:val="en-US" w:eastAsia="en-US"/>
        </w:rPr>
        <w:t xml:space="preserve">the region’s </w:t>
      </w:r>
      <w:r w:rsidRPr="003A58CF">
        <w:rPr>
          <w:lang w:val="en-US" w:eastAsia="en-US"/>
        </w:rPr>
        <w:t xml:space="preserve">communities. </w:t>
      </w:r>
    </w:p>
    <w:p w:rsidR="00DE58DB" w:rsidRPr="003A58CF" w:rsidRDefault="00DE58DB" w:rsidP="00854F5E">
      <w:pPr>
        <w:pStyle w:val="bt"/>
      </w:pPr>
      <w:r w:rsidRPr="003A58CF">
        <w:t>The three structural drivers of growth in the economy are productivity, labour force participation and population. Loddon Mallee South’s population growth rate over the past decade has been less than the state average but higher than other regional areas. Labour force participation rates</w:t>
      </w:r>
      <w:r w:rsidR="00131BD7" w:rsidRPr="003A58CF">
        <w:t>,</w:t>
      </w:r>
      <w:r w:rsidRPr="003A58CF">
        <w:t xml:space="preserve"> and the latest unemployment figures</w:t>
      </w:r>
      <w:r w:rsidR="00131BD7" w:rsidRPr="003A58CF">
        <w:t>,</w:t>
      </w:r>
      <w:r w:rsidRPr="003A58CF">
        <w:t xml:space="preserve"> were lower than the state average. </w:t>
      </w:r>
      <w:r w:rsidR="00131BD7" w:rsidRPr="003A58CF">
        <w:t xml:space="preserve">However, the </w:t>
      </w:r>
      <w:r w:rsidRPr="003A58CF">
        <w:t>region has performed comparatively well in terms of productivity growth</w:t>
      </w:r>
      <w:r w:rsidR="00A36CA2" w:rsidRPr="003A58CF">
        <w:rPr>
          <w:rStyle w:val="Style"/>
          <w:rFonts w:asciiTheme="minorHAnsi" w:hAnsiTheme="minorHAnsi" w:cstheme="minorHAnsi"/>
          <w:sz w:val="22"/>
          <w:szCs w:val="22"/>
        </w:rPr>
        <w:footnoteReference w:id="7"/>
      </w:r>
      <w:r w:rsidRPr="003A58CF">
        <w:t xml:space="preserve">. </w:t>
      </w:r>
    </w:p>
    <w:p w:rsidR="00DE58DB" w:rsidRPr="003A58CF" w:rsidRDefault="00DE58DB" w:rsidP="00854F5E">
      <w:pPr>
        <w:pStyle w:val="bt"/>
        <w:rPr>
          <w:lang w:val="en-US" w:eastAsia="en-US"/>
        </w:rPr>
      </w:pPr>
      <w:r w:rsidRPr="003A58CF">
        <w:rPr>
          <w:lang w:val="en-US" w:eastAsia="en-US"/>
        </w:rPr>
        <w:t xml:space="preserve">Whilst the region does not yet have a </w:t>
      </w:r>
      <w:r w:rsidR="00604B2D" w:rsidRPr="003A58CF">
        <w:rPr>
          <w:lang w:val="en-US" w:eastAsia="en-US"/>
        </w:rPr>
        <w:t>r</w:t>
      </w:r>
      <w:r w:rsidRPr="003A58CF">
        <w:rPr>
          <w:lang w:val="en-US" w:eastAsia="en-US"/>
        </w:rPr>
        <w:t xml:space="preserve">egional </w:t>
      </w:r>
      <w:r w:rsidR="00604B2D" w:rsidRPr="003A58CF">
        <w:rPr>
          <w:lang w:val="en-US" w:eastAsia="en-US"/>
        </w:rPr>
        <w:t>e</w:t>
      </w:r>
      <w:r w:rsidRPr="003A58CF">
        <w:rPr>
          <w:lang w:val="en-US" w:eastAsia="en-US"/>
        </w:rPr>
        <w:t xml:space="preserve">conomic </w:t>
      </w:r>
      <w:r w:rsidR="00604B2D" w:rsidRPr="003A58CF">
        <w:rPr>
          <w:lang w:val="en-US" w:eastAsia="en-US"/>
        </w:rPr>
        <w:t>d</w:t>
      </w:r>
      <w:r w:rsidRPr="003A58CF">
        <w:rPr>
          <w:lang w:val="en-US" w:eastAsia="en-US"/>
        </w:rPr>
        <w:t xml:space="preserve">evelopment </w:t>
      </w:r>
      <w:r w:rsidR="00604B2D" w:rsidRPr="003A58CF">
        <w:rPr>
          <w:lang w:val="en-US" w:eastAsia="en-US"/>
        </w:rPr>
        <w:t>s</w:t>
      </w:r>
      <w:r w:rsidRPr="003A58CF">
        <w:rPr>
          <w:lang w:val="en-US" w:eastAsia="en-US"/>
        </w:rPr>
        <w:t xml:space="preserve">trategy, recent work </w:t>
      </w:r>
      <w:r w:rsidR="00131BD7" w:rsidRPr="003A58CF">
        <w:rPr>
          <w:lang w:val="en-US" w:eastAsia="en-US"/>
        </w:rPr>
        <w:t xml:space="preserve">undertaken by </w:t>
      </w:r>
      <w:r w:rsidRPr="003A58CF">
        <w:rPr>
          <w:lang w:val="en-US" w:eastAsia="en-US"/>
        </w:rPr>
        <w:t xml:space="preserve">Regional Development Victoria on the </w:t>
      </w:r>
      <w:r w:rsidR="00131BD7" w:rsidRPr="003A58CF">
        <w:rPr>
          <w:lang w:val="en-US" w:eastAsia="en-US"/>
        </w:rPr>
        <w:t xml:space="preserve">Loddon Mallee South’s </w:t>
      </w:r>
      <w:r w:rsidRPr="003A58CF">
        <w:rPr>
          <w:lang w:val="en-US" w:eastAsia="en-US"/>
        </w:rPr>
        <w:t xml:space="preserve">economic outlook has informed the directions outlined in this </w:t>
      </w:r>
      <w:r w:rsidR="003F429B" w:rsidRPr="003A58CF">
        <w:rPr>
          <w:lang w:val="en-US" w:eastAsia="en-US"/>
        </w:rPr>
        <w:t>plan</w:t>
      </w:r>
      <w:r w:rsidRPr="003A58CF">
        <w:rPr>
          <w:lang w:val="en-US" w:eastAsia="en-US"/>
        </w:rPr>
        <w:t xml:space="preserve">. More information about </w:t>
      </w:r>
      <w:r w:rsidR="00131BD7" w:rsidRPr="003A58CF">
        <w:rPr>
          <w:lang w:val="en-US" w:eastAsia="en-US"/>
        </w:rPr>
        <w:t>this r</w:t>
      </w:r>
      <w:r w:rsidR="0069480B" w:rsidRPr="003A58CF">
        <w:rPr>
          <w:lang w:val="en-US" w:eastAsia="en-US"/>
        </w:rPr>
        <w:t>egional e</w:t>
      </w:r>
      <w:r w:rsidRPr="003A58CF">
        <w:rPr>
          <w:lang w:val="en-US" w:eastAsia="en-US"/>
        </w:rPr>
        <w:t xml:space="preserve">conomic work and associated reports is contained in the </w:t>
      </w:r>
      <w:r w:rsidR="003F429B" w:rsidRPr="003A58CF">
        <w:rPr>
          <w:lang w:val="en-US" w:eastAsia="en-US"/>
        </w:rPr>
        <w:t>background report</w:t>
      </w:r>
      <w:r w:rsidRPr="003A58CF">
        <w:rPr>
          <w:lang w:val="en-US" w:eastAsia="en-US"/>
        </w:rPr>
        <w:t xml:space="preserve">. </w:t>
      </w:r>
    </w:p>
    <w:p w:rsidR="00DE58DB" w:rsidRPr="003A58CF" w:rsidRDefault="00DE58DB" w:rsidP="00854F5E">
      <w:pPr>
        <w:pStyle w:val="bt"/>
        <w:rPr>
          <w:lang w:val="en-US" w:eastAsia="en-US"/>
        </w:rPr>
      </w:pPr>
      <w:r w:rsidRPr="003A58CF">
        <w:rPr>
          <w:lang w:val="en-US" w:eastAsia="en-US"/>
        </w:rPr>
        <w:t xml:space="preserve">The regional economy is diverse and based on traditional sectors such as manufacturing, </w:t>
      </w:r>
      <w:r w:rsidR="00511AA0" w:rsidRPr="003A58CF">
        <w:rPr>
          <w:lang w:val="en-US" w:eastAsia="en-US"/>
        </w:rPr>
        <w:t>earth resources</w:t>
      </w:r>
      <w:r w:rsidRPr="003A58CF">
        <w:rPr>
          <w:lang w:val="en-US" w:eastAsia="en-US"/>
        </w:rPr>
        <w:t xml:space="preserve"> and agriculture as well as services</w:t>
      </w:r>
      <w:r w:rsidR="00131BD7" w:rsidRPr="003A58CF">
        <w:rPr>
          <w:lang w:val="en-US" w:eastAsia="en-US"/>
        </w:rPr>
        <w:t>-</w:t>
      </w:r>
      <w:r w:rsidRPr="003A58CF">
        <w:rPr>
          <w:lang w:val="en-US" w:eastAsia="en-US"/>
        </w:rPr>
        <w:t>based sectors such as healthcare and finance. The region encompasses a broad range of agribusiness activity including agriculture, forestry, fishing and processing. Livestock products, including milk production, livestock processing and crops</w:t>
      </w:r>
      <w:r w:rsidR="0049446D" w:rsidRPr="003A58CF">
        <w:rPr>
          <w:lang w:val="en-US" w:eastAsia="en-US"/>
        </w:rPr>
        <w:t>,</w:t>
      </w:r>
      <w:r w:rsidRPr="003A58CF">
        <w:rPr>
          <w:lang w:val="en-US" w:eastAsia="en-US"/>
        </w:rPr>
        <w:t xml:space="preserve"> are strong basic economic sectors. These are </w:t>
      </w:r>
      <w:r w:rsidRPr="003A58CF">
        <w:rPr>
          <w:lang w:val="en-US" w:eastAsia="en-US"/>
        </w:rPr>
        <w:lastRenderedPageBreak/>
        <w:t>supported by growing service sectors including finance, health and education, as well as retail and wholesale trade and tourism</w:t>
      </w:r>
      <w:r w:rsidR="00131BD7" w:rsidRPr="003A58CF">
        <w:rPr>
          <w:lang w:val="en-US" w:eastAsia="en-US"/>
        </w:rPr>
        <w:t>-</w:t>
      </w:r>
      <w:r w:rsidRPr="003A58CF">
        <w:rPr>
          <w:lang w:val="en-US" w:eastAsia="en-US"/>
        </w:rPr>
        <w:t xml:space="preserve">related industries. </w:t>
      </w:r>
    </w:p>
    <w:p w:rsidR="00DE58DB" w:rsidRPr="003A58CF" w:rsidRDefault="00DE58DB" w:rsidP="00854F5E">
      <w:pPr>
        <w:pStyle w:val="bt"/>
        <w:rPr>
          <w:lang w:val="en-US" w:eastAsia="en-US"/>
        </w:rPr>
      </w:pPr>
      <w:r w:rsidRPr="003A58CF">
        <w:rPr>
          <w:lang w:val="en-US" w:eastAsia="en-US"/>
        </w:rPr>
        <w:t>Bendigo, as the regional city</w:t>
      </w:r>
      <w:r w:rsidR="00131BD7" w:rsidRPr="003A58CF">
        <w:rPr>
          <w:lang w:val="en-US" w:eastAsia="en-US"/>
        </w:rPr>
        <w:t>,</w:t>
      </w:r>
      <w:r w:rsidRPr="003A58CF">
        <w:rPr>
          <w:lang w:val="en-US" w:eastAsia="en-US"/>
        </w:rPr>
        <w:t xml:space="preserve"> is the powerhouse of the region’s economy, and will accommodate the majority of </w:t>
      </w:r>
      <w:r w:rsidR="00131BD7" w:rsidRPr="003A58CF">
        <w:rPr>
          <w:lang w:val="en-US" w:eastAsia="en-US"/>
        </w:rPr>
        <w:t xml:space="preserve">future </w:t>
      </w:r>
      <w:r w:rsidRPr="003A58CF">
        <w:rPr>
          <w:lang w:val="en-US" w:eastAsia="en-US"/>
        </w:rPr>
        <w:t xml:space="preserve">jobs growth. A detailed discussion of this regional city and its settlement and economic role in the region is contained in </w:t>
      </w:r>
      <w:r w:rsidR="000952D4" w:rsidRPr="003A58CF">
        <w:rPr>
          <w:lang w:val="en-US" w:eastAsia="en-US"/>
        </w:rPr>
        <w:t>Section 13.2 Bendigo – the regional city</w:t>
      </w:r>
      <w:r w:rsidRPr="003A58CF">
        <w:rPr>
          <w:lang w:val="en-US" w:eastAsia="en-US"/>
        </w:rPr>
        <w:t xml:space="preserve">. </w:t>
      </w:r>
    </w:p>
    <w:p w:rsidR="00DE58DB" w:rsidRPr="003A58CF" w:rsidRDefault="00FD12F4" w:rsidP="00854F5E">
      <w:pPr>
        <w:pStyle w:val="bt"/>
      </w:pPr>
      <w:r w:rsidRPr="003A58CF">
        <w:t>It is estimated that a</w:t>
      </w:r>
      <w:r w:rsidR="00DE58DB" w:rsidRPr="003A58CF">
        <w:t>round 50</w:t>
      </w:r>
      <w:r w:rsidR="00131BD7" w:rsidRPr="003A58CF">
        <w:t>,</w:t>
      </w:r>
      <w:r w:rsidR="00DE58DB" w:rsidRPr="003A58CF">
        <w:t xml:space="preserve">000 new jobs will be required to support </w:t>
      </w:r>
      <w:r w:rsidR="00131BD7" w:rsidRPr="003A58CF">
        <w:t xml:space="preserve">a projected </w:t>
      </w:r>
      <w:r w:rsidR="00DE58DB" w:rsidRPr="003A58CF">
        <w:t xml:space="preserve">future additional regional population of </w:t>
      </w:r>
      <w:r w:rsidR="00A36CA2" w:rsidRPr="003A58CF">
        <w:t>120</w:t>
      </w:r>
      <w:r w:rsidR="00131BD7" w:rsidRPr="003A58CF">
        <w:t>,</w:t>
      </w:r>
      <w:r w:rsidR="00DE58DB" w:rsidRPr="003A58CF">
        <w:t xml:space="preserve">000 people. This assumes one job per household with no net increase in commuter travel to Melbourne or outside the region. </w:t>
      </w:r>
    </w:p>
    <w:p w:rsidR="00DE58DB" w:rsidRPr="003A58CF" w:rsidRDefault="005F4FF1" w:rsidP="00854F5E">
      <w:pPr>
        <w:pStyle w:val="bt"/>
      </w:pPr>
      <w:r w:rsidRPr="003A58CF">
        <w:t xml:space="preserve">The Calder </w:t>
      </w:r>
      <w:r w:rsidR="00131BD7" w:rsidRPr="003A58CF">
        <w:t xml:space="preserve">transport </w:t>
      </w:r>
      <w:r w:rsidRPr="003A58CF">
        <w:t xml:space="preserve">corridor has historically </w:t>
      </w:r>
      <w:r w:rsidR="00120C92" w:rsidRPr="003A58CF">
        <w:t>influence</w:t>
      </w:r>
      <w:r w:rsidR="00131BD7" w:rsidRPr="003A58CF">
        <w:t>d</w:t>
      </w:r>
      <w:r w:rsidRPr="003A58CF">
        <w:t xml:space="preserve"> settlement patterns. Future strategic</w:t>
      </w:r>
      <w:r w:rsidR="00044FE4" w:rsidRPr="003A58CF">
        <w:t xml:space="preserve"> settlement</w:t>
      </w:r>
      <w:r w:rsidRPr="003A58CF">
        <w:t xml:space="preserve"> need</w:t>
      </w:r>
      <w:r w:rsidR="00044FE4" w:rsidRPr="003A58CF">
        <w:t>s</w:t>
      </w:r>
      <w:r w:rsidRPr="003A58CF">
        <w:t xml:space="preserve"> to be appropriately located, serviced and sited to take advantage of water, infrastructure, transport and energy connections. </w:t>
      </w:r>
      <w:r w:rsidR="00DE58DB" w:rsidRPr="003A58CF">
        <w:t xml:space="preserve">Improved transport links and services within the region </w:t>
      </w:r>
      <w:r w:rsidR="00372EDB" w:rsidRPr="003A58CF">
        <w:t xml:space="preserve">and </w:t>
      </w:r>
      <w:r w:rsidR="00DE58DB" w:rsidRPr="003A58CF">
        <w:t>the regional rollout of the National Broadband Network</w:t>
      </w:r>
      <w:r w:rsidR="00131BD7" w:rsidRPr="003A58CF">
        <w:t xml:space="preserve">, when </w:t>
      </w:r>
      <w:r w:rsidR="00DE58DB" w:rsidRPr="003A58CF">
        <w:t xml:space="preserve">combined with </w:t>
      </w:r>
      <w:r w:rsidR="00131BD7" w:rsidRPr="003A58CF">
        <w:t xml:space="preserve">other </w:t>
      </w:r>
      <w:r w:rsidR="00DE58DB" w:rsidRPr="003A58CF">
        <w:t>targeted initiatives, seek to increase current work</w:t>
      </w:r>
      <w:r w:rsidR="00131BD7" w:rsidRPr="003A58CF">
        <w:t>force</w:t>
      </w:r>
      <w:r w:rsidR="00DE58DB" w:rsidRPr="003A58CF">
        <w:t xml:space="preserve"> participation levels and reduce commuting to Melbourne. Increased work</w:t>
      </w:r>
      <w:r w:rsidR="007B064F" w:rsidRPr="003A58CF">
        <w:t>force</w:t>
      </w:r>
      <w:r w:rsidR="00DE58DB" w:rsidRPr="003A58CF">
        <w:t xml:space="preserve"> participation within the region improves economic and social activity, a key direction of this </w:t>
      </w:r>
      <w:r w:rsidR="003F429B" w:rsidRPr="003A58CF">
        <w:t>plan</w:t>
      </w:r>
      <w:r w:rsidR="00DE58DB" w:rsidRPr="003A58CF">
        <w:t>.</w:t>
      </w:r>
    </w:p>
    <w:p w:rsidR="00E44F05" w:rsidRPr="003A58CF" w:rsidRDefault="00E44F05" w:rsidP="00C23818">
      <w:pPr>
        <w:pStyle w:val="Heading2"/>
      </w:pPr>
      <w:bookmarkStart w:id="91" w:name="_Toc352080416"/>
      <w:bookmarkStart w:id="92" w:name="_Toc377026334"/>
      <w:r w:rsidRPr="003A58CF">
        <w:t>Building on economic strengths</w:t>
      </w:r>
      <w:bookmarkEnd w:id="91"/>
      <w:bookmarkEnd w:id="92"/>
    </w:p>
    <w:p w:rsidR="00DE58DB" w:rsidRPr="003A58CF" w:rsidRDefault="00DE58DB" w:rsidP="00854F5E">
      <w:pPr>
        <w:pStyle w:val="bt"/>
      </w:pPr>
      <w:r w:rsidRPr="003A58CF">
        <w:t xml:space="preserve">Each </w:t>
      </w:r>
      <w:r w:rsidR="00762133">
        <w:t>municipality</w:t>
      </w:r>
      <w:r w:rsidR="00AA37D8" w:rsidRPr="003A58CF">
        <w:t xml:space="preserve"> </w:t>
      </w:r>
      <w:r w:rsidR="007B064F" w:rsidRPr="003A58CF">
        <w:t xml:space="preserve">in the region </w:t>
      </w:r>
      <w:r w:rsidR="00BB678A" w:rsidRPr="003A58CF">
        <w:t>has</w:t>
      </w:r>
      <w:r w:rsidRPr="003A58CF">
        <w:t xml:space="preserve"> existing and emerging economic strengths </w:t>
      </w:r>
      <w:r w:rsidR="00372EDB" w:rsidRPr="003A58CF">
        <w:t xml:space="preserve">that </w:t>
      </w:r>
      <w:r w:rsidRPr="003A58CF">
        <w:t>can be leveraged to</w:t>
      </w:r>
      <w:r w:rsidR="0056291A" w:rsidRPr="003A58CF">
        <w:t xml:space="preserve"> further</w:t>
      </w:r>
      <w:r w:rsidRPr="003A58CF">
        <w:t xml:space="preserve"> develop a regional economy. </w:t>
      </w:r>
    </w:p>
    <w:p w:rsidR="00DE58DB" w:rsidRPr="003A58CF" w:rsidRDefault="00DE58DB" w:rsidP="00854F5E">
      <w:pPr>
        <w:pStyle w:val="bt"/>
        <w:rPr>
          <w:lang w:val="en-US" w:eastAsia="en-US"/>
        </w:rPr>
      </w:pPr>
      <w:r w:rsidRPr="003A58CF">
        <w:rPr>
          <w:lang w:val="en-US" w:eastAsia="en-US"/>
        </w:rPr>
        <w:t xml:space="preserve">Whilst each </w:t>
      </w:r>
      <w:r w:rsidR="00A36CA2" w:rsidRPr="003A58CF">
        <w:rPr>
          <w:lang w:val="en-US" w:eastAsia="en-US"/>
        </w:rPr>
        <w:t xml:space="preserve">local government area </w:t>
      </w:r>
      <w:r w:rsidRPr="003A58CF">
        <w:rPr>
          <w:lang w:val="en-US" w:eastAsia="en-US"/>
        </w:rPr>
        <w:t xml:space="preserve">has its current and future strengths and opportunities, the development of a truly ‘regional’ economy has </w:t>
      </w:r>
      <w:r w:rsidR="007B064F" w:rsidRPr="003A58CF">
        <w:rPr>
          <w:lang w:val="en-US" w:eastAsia="en-US"/>
        </w:rPr>
        <w:t xml:space="preserve">wider </w:t>
      </w:r>
      <w:r w:rsidRPr="003A58CF">
        <w:rPr>
          <w:lang w:val="en-US" w:eastAsia="en-US"/>
        </w:rPr>
        <w:t>benefits for the region. This includes taking advantage of:</w:t>
      </w:r>
    </w:p>
    <w:p w:rsidR="00DE58DB" w:rsidRPr="003A58CF" w:rsidRDefault="007B064F" w:rsidP="00025EF8">
      <w:pPr>
        <w:pStyle w:val="btbullet"/>
      </w:pPr>
      <w:r w:rsidRPr="003A58CF">
        <w:t>a</w:t>
      </w:r>
      <w:r w:rsidR="00DE58DB" w:rsidRPr="003A58CF">
        <w:t xml:space="preserve"> wide variety of population-driven jobs, </w:t>
      </w:r>
      <w:r w:rsidR="006536AE" w:rsidRPr="003A58CF">
        <w:t xml:space="preserve">which </w:t>
      </w:r>
      <w:r w:rsidR="00DE58DB" w:rsidRPr="003A58CF">
        <w:t>includ</w:t>
      </w:r>
      <w:r w:rsidR="006536AE" w:rsidRPr="003A58CF">
        <w:t>es</w:t>
      </w:r>
      <w:r w:rsidR="00DE58DB" w:rsidRPr="003A58CF">
        <w:t xml:space="preserve"> </w:t>
      </w:r>
      <w:r w:rsidR="00205346" w:rsidRPr="003A58CF">
        <w:t xml:space="preserve">health, </w:t>
      </w:r>
      <w:r w:rsidR="00DE58DB" w:rsidRPr="003A58CF">
        <w:t>education, finance and a fast-growing professional services sector</w:t>
      </w:r>
      <w:r w:rsidR="006536AE" w:rsidRPr="003A58CF">
        <w:t>, and</w:t>
      </w:r>
      <w:r w:rsidR="00DE58DB" w:rsidRPr="003A58CF">
        <w:t xml:space="preserve"> underpin</w:t>
      </w:r>
      <w:r w:rsidR="006536AE" w:rsidRPr="003A58CF">
        <w:t>s</w:t>
      </w:r>
      <w:r w:rsidR="00DE58DB" w:rsidRPr="003A58CF">
        <w:t xml:space="preserve"> the region’s economic success</w:t>
      </w:r>
    </w:p>
    <w:p w:rsidR="00DE58DB" w:rsidRPr="003A58CF" w:rsidRDefault="006536AE" w:rsidP="00025EF8">
      <w:pPr>
        <w:pStyle w:val="btbullet"/>
        <w:rPr>
          <w:lang w:val="en-US" w:eastAsia="en-US"/>
        </w:rPr>
      </w:pPr>
      <w:r w:rsidRPr="003A58CF">
        <w:rPr>
          <w:lang w:val="en-US" w:eastAsia="en-US"/>
        </w:rPr>
        <w:t>h</w:t>
      </w:r>
      <w:r w:rsidR="00DE58DB" w:rsidRPr="003A58CF">
        <w:rPr>
          <w:lang w:val="en-US" w:eastAsia="en-US"/>
        </w:rPr>
        <w:t>igh</w:t>
      </w:r>
      <w:r w:rsidR="00205346" w:rsidRPr="003A58CF">
        <w:rPr>
          <w:lang w:val="en-US" w:eastAsia="en-US"/>
        </w:rPr>
        <w:t>er</w:t>
      </w:r>
      <w:r w:rsidR="00DE58DB" w:rsidRPr="003A58CF">
        <w:rPr>
          <w:lang w:val="en-US" w:eastAsia="en-US"/>
        </w:rPr>
        <w:t xml:space="preserve"> value agricultural production, food processing and freight links within the region and </w:t>
      </w:r>
      <w:r w:rsidRPr="003A58CF">
        <w:rPr>
          <w:lang w:val="en-US" w:eastAsia="en-US"/>
        </w:rPr>
        <w:t>to</w:t>
      </w:r>
      <w:r w:rsidR="00DE58DB" w:rsidRPr="003A58CF">
        <w:rPr>
          <w:lang w:val="en-US" w:eastAsia="en-US"/>
        </w:rPr>
        <w:t xml:space="preserve"> the north </w:t>
      </w:r>
    </w:p>
    <w:p w:rsidR="002A5A43" w:rsidRPr="003A58CF" w:rsidRDefault="002A5A43" w:rsidP="00025EF8">
      <w:pPr>
        <w:pStyle w:val="btbullet"/>
        <w:rPr>
          <w:lang w:val="en-US" w:eastAsia="en-US"/>
        </w:rPr>
      </w:pPr>
      <w:r w:rsidRPr="003A58CF">
        <w:t>existing earth resource industries</w:t>
      </w:r>
    </w:p>
    <w:p w:rsidR="00DE58DB" w:rsidRPr="003A58CF" w:rsidRDefault="006536AE" w:rsidP="00025EF8">
      <w:pPr>
        <w:pStyle w:val="btbullet"/>
        <w:rPr>
          <w:lang w:val="en-US" w:eastAsia="en-US"/>
        </w:rPr>
      </w:pPr>
      <w:r w:rsidRPr="003A58CF">
        <w:rPr>
          <w:lang w:val="en-US" w:eastAsia="en-US"/>
        </w:rPr>
        <w:t>c</w:t>
      </w:r>
      <w:r w:rsidR="00DE58DB" w:rsidRPr="003A58CF">
        <w:rPr>
          <w:lang w:val="en-US" w:eastAsia="en-US"/>
        </w:rPr>
        <w:t xml:space="preserve">ompetitive </w:t>
      </w:r>
      <w:r w:rsidR="00205346" w:rsidRPr="003A58CF">
        <w:rPr>
          <w:lang w:val="en-US" w:eastAsia="en-US"/>
        </w:rPr>
        <w:t>environment and conditions</w:t>
      </w:r>
      <w:r w:rsidR="00762133">
        <w:rPr>
          <w:lang w:val="en-US" w:eastAsia="en-US"/>
        </w:rPr>
        <w:t>,</w:t>
      </w:r>
      <w:r w:rsidR="00DE58DB" w:rsidRPr="003A58CF">
        <w:rPr>
          <w:lang w:val="en-US" w:eastAsia="en-US"/>
        </w:rPr>
        <w:t xml:space="preserve"> </w:t>
      </w:r>
      <w:r w:rsidR="00205346" w:rsidRPr="003A58CF">
        <w:rPr>
          <w:lang w:val="en-US" w:eastAsia="en-US"/>
        </w:rPr>
        <w:t>such as land prices and labour costs</w:t>
      </w:r>
      <w:r w:rsidR="007E1BFB" w:rsidRPr="003A58CF">
        <w:rPr>
          <w:lang w:val="en-US" w:eastAsia="en-US"/>
        </w:rPr>
        <w:t>,</w:t>
      </w:r>
      <w:r w:rsidR="00DE58DB" w:rsidRPr="003A58CF">
        <w:rPr>
          <w:lang w:val="en-US" w:eastAsia="en-US"/>
        </w:rPr>
        <w:t xml:space="preserve"> </w:t>
      </w:r>
      <w:r w:rsidR="00762133">
        <w:rPr>
          <w:lang w:val="en-US" w:eastAsia="en-US"/>
        </w:rPr>
        <w:t xml:space="preserve">for industry </w:t>
      </w:r>
      <w:r w:rsidR="00DE58DB" w:rsidRPr="003A58CF">
        <w:rPr>
          <w:lang w:val="en-US" w:eastAsia="en-US"/>
        </w:rPr>
        <w:t xml:space="preserve">to </w:t>
      </w:r>
      <w:r w:rsidRPr="003A58CF">
        <w:rPr>
          <w:lang w:val="en-US" w:eastAsia="en-US"/>
        </w:rPr>
        <w:t>re</w:t>
      </w:r>
      <w:r w:rsidR="00DE58DB" w:rsidRPr="003A58CF">
        <w:rPr>
          <w:lang w:val="en-US" w:eastAsia="en-US"/>
        </w:rPr>
        <w:t xml:space="preserve">locate to the region </w:t>
      </w:r>
    </w:p>
    <w:p w:rsidR="00DE58DB" w:rsidRPr="003A58CF" w:rsidRDefault="00DE58DB" w:rsidP="00025EF8">
      <w:pPr>
        <w:pStyle w:val="btbullet"/>
        <w:rPr>
          <w:lang w:val="en-US" w:eastAsia="en-US"/>
        </w:rPr>
      </w:pPr>
      <w:r w:rsidRPr="003A58CF">
        <w:rPr>
          <w:lang w:val="en-US" w:eastAsia="en-US"/>
        </w:rPr>
        <w:t>the already strong health, education, finance and professional service sectors in Bendigo</w:t>
      </w:r>
    </w:p>
    <w:p w:rsidR="005F4FF1" w:rsidRPr="003A58CF" w:rsidRDefault="006536AE" w:rsidP="00025EF8">
      <w:pPr>
        <w:pStyle w:val="btbullet"/>
        <w:rPr>
          <w:lang w:val="en-US" w:eastAsia="en-US"/>
        </w:rPr>
      </w:pPr>
      <w:r w:rsidRPr="003A58CF">
        <w:rPr>
          <w:lang w:val="en-US" w:eastAsia="en-US"/>
        </w:rPr>
        <w:t xml:space="preserve">the </w:t>
      </w:r>
      <w:r w:rsidR="00DE58DB" w:rsidRPr="003A58CF">
        <w:rPr>
          <w:lang w:val="en-US" w:eastAsia="en-US"/>
        </w:rPr>
        <w:t>natural and cultural tourism assets across the region</w:t>
      </w:r>
    </w:p>
    <w:p w:rsidR="00DE58DB" w:rsidRPr="003A58CF" w:rsidRDefault="006536AE" w:rsidP="00025EF8">
      <w:pPr>
        <w:pStyle w:val="btbullet"/>
        <w:rPr>
          <w:lang w:val="en-US" w:eastAsia="en-US"/>
        </w:rPr>
      </w:pPr>
      <w:r w:rsidRPr="003A58CF">
        <w:rPr>
          <w:lang w:val="en-US" w:eastAsia="en-US"/>
        </w:rPr>
        <w:t>e</w:t>
      </w:r>
      <w:r w:rsidR="005F4FF1" w:rsidRPr="003A58CF">
        <w:rPr>
          <w:lang w:val="en-US" w:eastAsia="en-US"/>
        </w:rPr>
        <w:t xml:space="preserve">xisting transport networks </w:t>
      </w:r>
      <w:r w:rsidRPr="003A58CF">
        <w:rPr>
          <w:lang w:val="en-US" w:eastAsia="en-US"/>
        </w:rPr>
        <w:t xml:space="preserve">that </w:t>
      </w:r>
      <w:r w:rsidR="005F4FF1" w:rsidRPr="003A58CF">
        <w:rPr>
          <w:lang w:val="en-US" w:eastAsia="en-US"/>
        </w:rPr>
        <w:t>enabl</w:t>
      </w:r>
      <w:r w:rsidRPr="003A58CF">
        <w:rPr>
          <w:lang w:val="en-US" w:eastAsia="en-US"/>
        </w:rPr>
        <w:t>e</w:t>
      </w:r>
      <w:r w:rsidR="005F4FF1" w:rsidRPr="003A58CF">
        <w:rPr>
          <w:lang w:val="en-US" w:eastAsia="en-US"/>
        </w:rPr>
        <w:t xml:space="preserve"> movement of goods and people within and through the region</w:t>
      </w:r>
      <w:r w:rsidR="00DE58DB" w:rsidRPr="003A58CF">
        <w:rPr>
          <w:lang w:val="en-US" w:eastAsia="en-US"/>
        </w:rPr>
        <w:t xml:space="preserve">. </w:t>
      </w:r>
    </w:p>
    <w:p w:rsidR="00DE58DB" w:rsidRPr="003A58CF" w:rsidRDefault="00DE58DB" w:rsidP="00854F5E">
      <w:pPr>
        <w:pStyle w:val="bt"/>
      </w:pPr>
      <w:r w:rsidRPr="003A58CF">
        <w:rPr>
          <w:lang w:val="en-US" w:eastAsia="en-US"/>
        </w:rPr>
        <w:t xml:space="preserve">Ensuring the future economic success of the region requires a variety of levers, investment and initiatives that are beyond the </w:t>
      </w:r>
      <w:r w:rsidRPr="003A58CF">
        <w:t xml:space="preserve">consideration of this </w:t>
      </w:r>
      <w:r w:rsidR="003F429B" w:rsidRPr="003A58CF">
        <w:t>plan</w:t>
      </w:r>
      <w:r w:rsidR="007E1BFB" w:rsidRPr="003A58CF">
        <w:t xml:space="preserve"> </w:t>
      </w:r>
      <w:r w:rsidRPr="003A58CF">
        <w:t xml:space="preserve">but are considered in the Strategic Plan </w:t>
      </w:r>
      <w:r w:rsidR="00283A2F" w:rsidRPr="003A58CF">
        <w:t xml:space="preserve">2010 </w:t>
      </w:r>
      <w:r w:rsidRPr="003A58CF">
        <w:t>and other initiatives and actions.</w:t>
      </w:r>
    </w:p>
    <w:p w:rsidR="0076055B" w:rsidRPr="003A58CF" w:rsidRDefault="00BB678A" w:rsidP="00854F5E">
      <w:pPr>
        <w:pStyle w:val="bt"/>
      </w:pPr>
      <w:r w:rsidRPr="003A58CF">
        <w:t xml:space="preserve">Bendigo, as a growing regional city, is the key service centre for its hinterland and the significant economic and employment base for the region. </w:t>
      </w:r>
      <w:r w:rsidR="00DE58DB" w:rsidRPr="003A58CF">
        <w:t>The regional city</w:t>
      </w:r>
      <w:r w:rsidR="006536AE" w:rsidRPr="003A58CF">
        <w:t>’s economy</w:t>
      </w:r>
      <w:r w:rsidR="00DE58DB" w:rsidRPr="003A58CF">
        <w:t xml:space="preserve"> has strengthened and diversified </w:t>
      </w:r>
      <w:r w:rsidR="006536AE" w:rsidRPr="003A58CF">
        <w:t xml:space="preserve">in recent years, </w:t>
      </w:r>
      <w:r w:rsidR="00DE58DB" w:rsidRPr="003A58CF">
        <w:t xml:space="preserve">with employment now more </w:t>
      </w:r>
      <w:r w:rsidR="00762133">
        <w:t>orientated</w:t>
      </w:r>
      <w:r w:rsidR="00762133" w:rsidRPr="003A58CF">
        <w:t xml:space="preserve"> </w:t>
      </w:r>
      <w:r w:rsidR="00DE58DB" w:rsidRPr="003A58CF">
        <w:t>to</w:t>
      </w:r>
      <w:r w:rsidR="006536AE" w:rsidRPr="003A58CF">
        <w:t>wards</w:t>
      </w:r>
      <w:r w:rsidR="00DE58DB" w:rsidRPr="003A58CF">
        <w:t xml:space="preserve"> services industries. </w:t>
      </w:r>
    </w:p>
    <w:p w:rsidR="00DE58DB" w:rsidRPr="003A58CF" w:rsidRDefault="00DE58DB" w:rsidP="00854F5E">
      <w:pPr>
        <w:pStyle w:val="bt"/>
      </w:pPr>
      <w:r w:rsidRPr="003A58CF">
        <w:t xml:space="preserve">Key shifts in the contribution of various industries to the regional economy include: </w:t>
      </w:r>
    </w:p>
    <w:p w:rsidR="00DE58DB" w:rsidRPr="003A58CF" w:rsidRDefault="002743EF" w:rsidP="00025EF8">
      <w:pPr>
        <w:pStyle w:val="btbullet"/>
      </w:pPr>
      <w:r w:rsidRPr="003A58CF">
        <w:t xml:space="preserve">the </w:t>
      </w:r>
      <w:r w:rsidR="00DE58DB" w:rsidRPr="003A58CF">
        <w:t>healthcare and social assistance</w:t>
      </w:r>
      <w:r w:rsidRPr="003A58CF">
        <w:t xml:space="preserve"> sector</w:t>
      </w:r>
      <w:r w:rsidR="00FD12F4" w:rsidRPr="003A58CF">
        <w:t>,</w:t>
      </w:r>
      <w:r w:rsidRPr="003A58CF">
        <w:t xml:space="preserve"> </w:t>
      </w:r>
      <w:r w:rsidR="002D2F45" w:rsidRPr="003A58CF">
        <w:t>including justice facilities</w:t>
      </w:r>
      <w:r w:rsidR="00FD12F4" w:rsidRPr="003A58CF">
        <w:t>,</w:t>
      </w:r>
      <w:r w:rsidR="00DE58DB" w:rsidRPr="003A58CF">
        <w:t xml:space="preserve"> has emerged as an important sector </w:t>
      </w:r>
      <w:r w:rsidR="006536AE" w:rsidRPr="003A58CF">
        <w:t xml:space="preserve">for </w:t>
      </w:r>
      <w:r w:rsidR="00DE58DB" w:rsidRPr="003A58CF">
        <w:t xml:space="preserve">regional employment </w:t>
      </w:r>
    </w:p>
    <w:p w:rsidR="00DE58DB" w:rsidRPr="003A58CF" w:rsidRDefault="00DE58DB" w:rsidP="00025EF8">
      <w:pPr>
        <w:pStyle w:val="btbullet"/>
      </w:pPr>
      <w:r w:rsidRPr="003A58CF">
        <w:lastRenderedPageBreak/>
        <w:t xml:space="preserve">the construction </w:t>
      </w:r>
      <w:r w:rsidR="002743EF" w:rsidRPr="003A58CF">
        <w:t xml:space="preserve">sector is important </w:t>
      </w:r>
      <w:r w:rsidRPr="003A58CF">
        <w:t xml:space="preserve">to </w:t>
      </w:r>
      <w:r w:rsidR="002743EF" w:rsidRPr="003A58CF">
        <w:t xml:space="preserve">regional </w:t>
      </w:r>
      <w:r w:rsidRPr="003A58CF">
        <w:t xml:space="preserve">employment and </w:t>
      </w:r>
      <w:r w:rsidR="002743EF" w:rsidRPr="003A58CF">
        <w:t xml:space="preserve">workforce </w:t>
      </w:r>
      <w:r w:rsidRPr="003A58CF">
        <w:t xml:space="preserve">expenditure on other goods and services </w:t>
      </w:r>
    </w:p>
    <w:p w:rsidR="00F94C13" w:rsidRPr="003A58CF" w:rsidRDefault="002743EF" w:rsidP="00025EF8">
      <w:pPr>
        <w:pStyle w:val="btbullet"/>
      </w:pPr>
      <w:r w:rsidRPr="003A58CF">
        <w:t xml:space="preserve">the </w:t>
      </w:r>
      <w:r w:rsidR="00DE58DB" w:rsidRPr="003A58CF">
        <w:t xml:space="preserve">finance and insurance services </w:t>
      </w:r>
      <w:r w:rsidRPr="003A58CF">
        <w:t xml:space="preserve">sector is </w:t>
      </w:r>
      <w:r w:rsidR="00DE58DB" w:rsidRPr="003A58CF">
        <w:t>one of the fastest growing employment sectors in the region</w:t>
      </w:r>
    </w:p>
    <w:p w:rsidR="00DE58DB" w:rsidRPr="003A58CF" w:rsidRDefault="002743EF" w:rsidP="00025EF8">
      <w:pPr>
        <w:pStyle w:val="btbullet"/>
      </w:pPr>
      <w:r w:rsidRPr="003A58CF">
        <w:t xml:space="preserve">the </w:t>
      </w:r>
      <w:r w:rsidR="00F94C13" w:rsidRPr="003A58CF">
        <w:t>p</w:t>
      </w:r>
      <w:r w:rsidR="00DE58DB" w:rsidRPr="003A58CF">
        <w:t xml:space="preserve">rofessional, scientific and technical services </w:t>
      </w:r>
      <w:r w:rsidRPr="003A58CF">
        <w:t xml:space="preserve">sectors </w:t>
      </w:r>
      <w:r w:rsidR="00DE58DB" w:rsidRPr="003A58CF">
        <w:t xml:space="preserve">are growing </w:t>
      </w:r>
    </w:p>
    <w:p w:rsidR="00DE58DB" w:rsidRPr="003A58CF" w:rsidRDefault="00F94C13" w:rsidP="00025EF8">
      <w:pPr>
        <w:pStyle w:val="btbullet"/>
      </w:pPr>
      <w:r w:rsidRPr="003A58CF">
        <w:t xml:space="preserve">the </w:t>
      </w:r>
      <w:r w:rsidR="00DE58DB" w:rsidRPr="003A58CF">
        <w:t xml:space="preserve">mining </w:t>
      </w:r>
      <w:r w:rsidRPr="003A58CF">
        <w:t>sector</w:t>
      </w:r>
      <w:r w:rsidR="00DE58DB" w:rsidRPr="003A58CF">
        <w:t xml:space="preserve"> had the highest employment growth rate over the past decade but account</w:t>
      </w:r>
      <w:r w:rsidR="002743EF" w:rsidRPr="003A58CF">
        <w:t>ed</w:t>
      </w:r>
      <w:r w:rsidR="00DE58DB" w:rsidRPr="003A58CF">
        <w:t xml:space="preserve"> for only </w:t>
      </w:r>
      <w:r w:rsidR="004D3F04" w:rsidRPr="003A58CF">
        <w:t xml:space="preserve">two </w:t>
      </w:r>
      <w:r w:rsidR="00117BB6" w:rsidRPr="003A58CF">
        <w:t xml:space="preserve">per cent </w:t>
      </w:r>
      <w:r w:rsidR="00DE58DB" w:rsidRPr="003A58CF">
        <w:t xml:space="preserve">of total employment in the region </w:t>
      </w:r>
      <w:r w:rsidR="002743EF" w:rsidRPr="003A58CF">
        <w:t xml:space="preserve">in </w:t>
      </w:r>
      <w:r w:rsidR="00DE58DB" w:rsidRPr="003A58CF">
        <w:t>2011</w:t>
      </w:r>
    </w:p>
    <w:p w:rsidR="00DE58DB" w:rsidRPr="003A58CF" w:rsidRDefault="002743EF" w:rsidP="00025EF8">
      <w:pPr>
        <w:pStyle w:val="btbullet"/>
      </w:pPr>
      <w:r w:rsidRPr="003A58CF">
        <w:t xml:space="preserve">the </w:t>
      </w:r>
      <w:r w:rsidR="00DE58DB" w:rsidRPr="003A58CF">
        <w:t>manufacturing</w:t>
      </w:r>
      <w:r w:rsidRPr="003A58CF">
        <w:t xml:space="preserve"> sector</w:t>
      </w:r>
      <w:r w:rsidR="00DE58DB" w:rsidRPr="003A58CF">
        <w:t xml:space="preserve">, while still being one of the largest </w:t>
      </w:r>
      <w:r w:rsidRPr="003A58CF">
        <w:t xml:space="preserve">and most important regional </w:t>
      </w:r>
      <w:r w:rsidR="00DE58DB" w:rsidRPr="003A58CF">
        <w:t xml:space="preserve">sectors in terms of output and </w:t>
      </w:r>
      <w:r w:rsidR="007E5DCA" w:rsidRPr="003A58CF">
        <w:t>employment</w:t>
      </w:r>
      <w:r w:rsidR="004D3F04" w:rsidRPr="003A58CF">
        <w:t>,</w:t>
      </w:r>
      <w:r w:rsidR="00DE58DB" w:rsidRPr="003A58CF">
        <w:t xml:space="preserve"> has </w:t>
      </w:r>
      <w:r w:rsidR="00205346" w:rsidRPr="003A58CF">
        <w:t>been out-</w:t>
      </w:r>
      <w:r w:rsidR="00DE58DB" w:rsidRPr="003A58CF">
        <w:t xml:space="preserve">performed </w:t>
      </w:r>
      <w:r w:rsidR="00205346" w:rsidRPr="003A58CF">
        <w:t>by</w:t>
      </w:r>
      <w:r w:rsidR="00DE58DB" w:rsidRPr="003A58CF">
        <w:t xml:space="preserve"> other sectors. </w:t>
      </w:r>
    </w:p>
    <w:p w:rsidR="00DE58DB" w:rsidRPr="003A58CF" w:rsidRDefault="00DE58DB" w:rsidP="00854F5E">
      <w:pPr>
        <w:pStyle w:val="bt"/>
      </w:pPr>
      <w:r w:rsidRPr="003A58CF">
        <w:t xml:space="preserve">There </w:t>
      </w:r>
      <w:r w:rsidR="005B31F5" w:rsidRPr="003A58CF">
        <w:t xml:space="preserve">is </w:t>
      </w:r>
      <w:r w:rsidRPr="003A58CF">
        <w:t xml:space="preserve">a range of emerging opportunities in the region </w:t>
      </w:r>
      <w:r w:rsidR="002C685D" w:rsidRPr="003A58CF">
        <w:t xml:space="preserve">that </w:t>
      </w:r>
      <w:r w:rsidRPr="003A58CF">
        <w:t>will be supported to develop and diversify the economy. These include:</w:t>
      </w:r>
    </w:p>
    <w:p w:rsidR="00DE58DB" w:rsidRPr="003A58CF" w:rsidRDefault="002C685D" w:rsidP="00025EF8">
      <w:pPr>
        <w:pStyle w:val="btbullet"/>
      </w:pPr>
      <w:r w:rsidRPr="003A58CF">
        <w:t>i</w:t>
      </w:r>
      <w:r w:rsidR="00DE58DB" w:rsidRPr="003A58CF">
        <w:t>nnovation, research and development in</w:t>
      </w:r>
      <w:r w:rsidRPr="003A58CF">
        <w:t>,</w:t>
      </w:r>
      <w:r w:rsidR="00DE58DB" w:rsidRPr="003A58CF">
        <w:t xml:space="preserve"> for example, medical and agriculture</w:t>
      </w:r>
      <w:r w:rsidR="00604B2D" w:rsidRPr="003A58CF">
        <w:t xml:space="preserve"> and </w:t>
      </w:r>
      <w:r w:rsidR="00DE58DB" w:rsidRPr="003A58CF">
        <w:t xml:space="preserve">animal industries, </w:t>
      </w:r>
      <w:r w:rsidR="004D3F04" w:rsidRPr="003A58CF">
        <w:t xml:space="preserve">and </w:t>
      </w:r>
      <w:r w:rsidR="00DE58DB" w:rsidRPr="003A58CF">
        <w:t xml:space="preserve">renewable and alternative energy </w:t>
      </w:r>
    </w:p>
    <w:p w:rsidR="00DE58DB" w:rsidRPr="003A58CF" w:rsidRDefault="002C685D" w:rsidP="00025EF8">
      <w:pPr>
        <w:pStyle w:val="btbullet"/>
      </w:pPr>
      <w:r w:rsidRPr="003A58CF">
        <w:t>t</w:t>
      </w:r>
      <w:r w:rsidR="00DE58DB" w:rsidRPr="003A58CF">
        <w:t>elecommunications</w:t>
      </w:r>
    </w:p>
    <w:p w:rsidR="00DE58DB" w:rsidRPr="003A58CF" w:rsidRDefault="002C685D" w:rsidP="00025EF8">
      <w:pPr>
        <w:pStyle w:val="btbullet"/>
      </w:pPr>
      <w:r w:rsidRPr="003A58CF">
        <w:t>d</w:t>
      </w:r>
      <w:r w:rsidR="00DE58DB" w:rsidRPr="003A58CF">
        <w:t>efence equipment manufactur</w:t>
      </w:r>
      <w:r w:rsidRPr="003A58CF">
        <w:t>ing</w:t>
      </w:r>
    </w:p>
    <w:p w:rsidR="00DE58DB" w:rsidRPr="003A58CF" w:rsidRDefault="002C685D" w:rsidP="00025EF8">
      <w:pPr>
        <w:pStyle w:val="btbullet"/>
      </w:pPr>
      <w:r w:rsidRPr="003A58CF">
        <w:t>e</w:t>
      </w:r>
      <w:r w:rsidR="00DE58DB" w:rsidRPr="003A58CF">
        <w:t>ngineering and transport-related production</w:t>
      </w:r>
    </w:p>
    <w:p w:rsidR="00643C01" w:rsidRPr="003A58CF" w:rsidRDefault="002C685D" w:rsidP="00025EF8">
      <w:pPr>
        <w:pStyle w:val="btbullet"/>
      </w:pPr>
      <w:r w:rsidRPr="003A58CF">
        <w:t>e</w:t>
      </w:r>
      <w:r w:rsidR="00643C01" w:rsidRPr="003A58CF">
        <w:t>quine industry</w:t>
      </w:r>
    </w:p>
    <w:p w:rsidR="00205346" w:rsidRPr="003A58CF" w:rsidRDefault="002C685D" w:rsidP="00025EF8">
      <w:pPr>
        <w:pStyle w:val="btbullet"/>
      </w:pPr>
      <w:r w:rsidRPr="003A58CF">
        <w:t>h</w:t>
      </w:r>
      <w:r w:rsidR="00205346" w:rsidRPr="003A58CF">
        <w:t>ospitality and related food and wine products and services</w:t>
      </w:r>
    </w:p>
    <w:p w:rsidR="00DE58DB" w:rsidRPr="003A58CF" w:rsidRDefault="002C685D" w:rsidP="00025EF8">
      <w:pPr>
        <w:pStyle w:val="btbullet"/>
      </w:pPr>
      <w:r w:rsidRPr="003A58CF">
        <w:t>t</w:t>
      </w:r>
      <w:r w:rsidR="00DE58DB" w:rsidRPr="003A58CF">
        <w:t>ourism, including nature</w:t>
      </w:r>
      <w:r w:rsidRPr="003A58CF">
        <w:t>-</w:t>
      </w:r>
      <w:r w:rsidR="00DE58DB" w:rsidRPr="003A58CF">
        <w:t xml:space="preserve">based and agritourism </w:t>
      </w:r>
    </w:p>
    <w:p w:rsidR="00DE58DB" w:rsidRPr="003A58CF" w:rsidRDefault="002C685D" w:rsidP="00025EF8">
      <w:pPr>
        <w:pStyle w:val="btbullet"/>
      </w:pPr>
      <w:r w:rsidRPr="003A58CF">
        <w:t>a</w:t>
      </w:r>
      <w:r w:rsidR="00DE58DB" w:rsidRPr="003A58CF">
        <w:t xml:space="preserve">gricultural diversification and intensification. </w:t>
      </w:r>
    </w:p>
    <w:p w:rsidR="00DE58DB" w:rsidRPr="003A58CF" w:rsidRDefault="00DE58DB" w:rsidP="00C23818">
      <w:pPr>
        <w:pStyle w:val="Heading2"/>
      </w:pPr>
      <w:bookmarkStart w:id="93" w:name="_Toc377026335"/>
      <w:r w:rsidRPr="003A58CF">
        <w:t xml:space="preserve">Working in the Loddon Mallee South </w:t>
      </w:r>
      <w:r w:rsidR="006536AE" w:rsidRPr="003A58CF">
        <w:t>r</w:t>
      </w:r>
      <w:r w:rsidRPr="003A58CF">
        <w:t>egion</w:t>
      </w:r>
      <w:bookmarkEnd w:id="93"/>
    </w:p>
    <w:p w:rsidR="00135CA1" w:rsidRPr="00511F47" w:rsidRDefault="0018666D" w:rsidP="00511F47">
      <w:pPr>
        <w:pStyle w:val="Heading4"/>
        <w:rPr>
          <w:rStyle w:val="Strong"/>
          <w:rFonts w:ascii="Calibri" w:hAnsi="Calibri"/>
          <w:b/>
          <w:bCs/>
          <w:sz w:val="22"/>
        </w:rPr>
      </w:pPr>
      <w:bookmarkStart w:id="94" w:name="_Toc336871221"/>
      <w:bookmarkStart w:id="95" w:name="_Toc351459094"/>
      <w:r w:rsidRPr="00511F47">
        <w:rPr>
          <w:rStyle w:val="Strong"/>
          <w:rFonts w:ascii="Calibri" w:hAnsi="Calibri"/>
          <w:b/>
          <w:bCs/>
          <w:sz w:val="22"/>
        </w:rPr>
        <w:t>Business, industry and services</w:t>
      </w:r>
      <w:bookmarkEnd w:id="94"/>
      <w:bookmarkEnd w:id="95"/>
    </w:p>
    <w:p w:rsidR="00135CA1" w:rsidRPr="008E5B8A" w:rsidRDefault="0018666D" w:rsidP="00854F5E">
      <w:pPr>
        <w:pStyle w:val="bt"/>
        <w:rPr>
          <w:rStyle w:val="Strong"/>
        </w:rPr>
      </w:pPr>
      <w:r w:rsidRPr="008E5B8A">
        <w:rPr>
          <w:rStyle w:val="Strong"/>
        </w:rPr>
        <w:t xml:space="preserve">Health, finance, and education </w:t>
      </w:r>
    </w:p>
    <w:p w:rsidR="00DE58DB" w:rsidRPr="003A58CF" w:rsidRDefault="00ED7E0F" w:rsidP="00854F5E">
      <w:pPr>
        <w:pStyle w:val="bt"/>
      </w:pPr>
      <w:r w:rsidRPr="003A58CF">
        <w:t>The e</w:t>
      </w:r>
      <w:r w:rsidR="00DE58DB" w:rsidRPr="003A58CF">
        <w:t xml:space="preserve">conomic drivers </w:t>
      </w:r>
      <w:r w:rsidRPr="003A58CF">
        <w:t xml:space="preserve">of </w:t>
      </w:r>
      <w:r w:rsidR="00DE58DB" w:rsidRPr="003A58CF">
        <w:t xml:space="preserve">population growth in the </w:t>
      </w:r>
      <w:r w:rsidRPr="003A58CF">
        <w:t xml:space="preserve">Loddon Mallee South </w:t>
      </w:r>
      <w:r w:rsidR="00DE58DB" w:rsidRPr="003A58CF">
        <w:t>region include health and community services, higher education, vocational training, secondary education, specific government services, banking</w:t>
      </w:r>
      <w:r w:rsidR="007E1BFB" w:rsidRPr="003A58CF">
        <w:t>,</w:t>
      </w:r>
      <w:r w:rsidR="00DE58DB" w:rsidRPr="003A58CF">
        <w:t xml:space="preserve"> including Australia’s only bank headquartered in a regional city</w:t>
      </w:r>
      <w:r w:rsidR="007E1BFB" w:rsidRPr="003A58CF">
        <w:t>,</w:t>
      </w:r>
      <w:r w:rsidR="00DE58DB" w:rsidRPr="003A58CF">
        <w:t xml:space="preserve"> and business services. </w:t>
      </w:r>
    </w:p>
    <w:p w:rsidR="00DE58DB" w:rsidRPr="003A58CF" w:rsidRDefault="00DE58DB" w:rsidP="00854F5E">
      <w:pPr>
        <w:pStyle w:val="bt"/>
      </w:pPr>
      <w:r w:rsidRPr="003A58CF">
        <w:t>Infrastructure investment in the already strong education and health sectors is expected to ensure these sectors flourish.</w:t>
      </w:r>
      <w:r w:rsidR="00856905" w:rsidRPr="003A58CF">
        <w:t xml:space="preserve"> </w:t>
      </w:r>
    </w:p>
    <w:p w:rsidR="003B0435" w:rsidRPr="003A58CF" w:rsidRDefault="00856905" w:rsidP="00854F5E">
      <w:pPr>
        <w:pStyle w:val="bt"/>
      </w:pPr>
      <w:r w:rsidRPr="003A58CF">
        <w:t xml:space="preserve">The existing road and rail network, including recent upgrades, </w:t>
      </w:r>
      <w:r w:rsidR="00ED7E0F" w:rsidRPr="003A58CF">
        <w:t xml:space="preserve">has </w:t>
      </w:r>
      <w:r w:rsidRPr="003A58CF">
        <w:t xml:space="preserve">influenced locations for economic growth. There are opportunities to promote further growth in </w:t>
      </w:r>
      <w:r w:rsidR="00120C92" w:rsidRPr="003A58CF">
        <w:t>locations</w:t>
      </w:r>
      <w:r w:rsidRPr="003A58CF">
        <w:t xml:space="preserve"> that </w:t>
      </w:r>
      <w:r w:rsidR="00120C92" w:rsidRPr="003A58CF">
        <w:t>are</w:t>
      </w:r>
      <w:r w:rsidRPr="003A58CF">
        <w:t xml:space="preserve"> well</w:t>
      </w:r>
      <w:r w:rsidR="004D3F04" w:rsidRPr="003A58CF">
        <w:t xml:space="preserve"> </w:t>
      </w:r>
      <w:r w:rsidRPr="003A58CF">
        <w:t xml:space="preserve">serviced by transport networks and with the capacity for transport enhancements. </w:t>
      </w:r>
    </w:p>
    <w:p w:rsidR="00135CA1" w:rsidRPr="008E5B8A" w:rsidRDefault="0018666D" w:rsidP="00854F5E">
      <w:pPr>
        <w:pStyle w:val="bt"/>
        <w:rPr>
          <w:rStyle w:val="Strong"/>
        </w:rPr>
      </w:pPr>
      <w:r w:rsidRPr="008E5B8A">
        <w:rPr>
          <w:rStyle w:val="Strong"/>
        </w:rPr>
        <w:t>Manufacturing</w:t>
      </w:r>
    </w:p>
    <w:p w:rsidR="00DE58DB" w:rsidRPr="003A58CF" w:rsidRDefault="00DE58DB" w:rsidP="00854F5E">
      <w:pPr>
        <w:pStyle w:val="bt"/>
      </w:pPr>
      <w:r w:rsidRPr="003A58CF">
        <w:t xml:space="preserve">The region has a traditional </w:t>
      </w:r>
      <w:r w:rsidR="000911B1" w:rsidRPr="003A58CF">
        <w:t xml:space="preserve">reliance on a </w:t>
      </w:r>
      <w:r w:rsidRPr="003A58CF">
        <w:t xml:space="preserve">strong </w:t>
      </w:r>
      <w:r w:rsidR="00625369" w:rsidRPr="003A58CF">
        <w:t xml:space="preserve">manufacturing </w:t>
      </w:r>
      <w:r w:rsidRPr="003A58CF">
        <w:t>base</w:t>
      </w:r>
      <w:r w:rsidR="00ED7E0F" w:rsidRPr="003A58CF">
        <w:t xml:space="preserve">. The manufacturing sector </w:t>
      </w:r>
      <w:r w:rsidRPr="003A58CF">
        <w:t xml:space="preserve">is currently the largest employer </w:t>
      </w:r>
      <w:r w:rsidR="00ED7E0F" w:rsidRPr="003A58CF">
        <w:t xml:space="preserve">across </w:t>
      </w:r>
      <w:r w:rsidRPr="003A58CF">
        <w:t xml:space="preserve">all </w:t>
      </w:r>
      <w:r w:rsidR="00ED7E0F" w:rsidRPr="003A58CF">
        <w:t xml:space="preserve">local government areas </w:t>
      </w:r>
      <w:r w:rsidRPr="003A58CF">
        <w:t>except for Loddon Shire</w:t>
      </w:r>
      <w:r w:rsidR="004D3F04" w:rsidRPr="003A58CF">
        <w:t>,</w:t>
      </w:r>
      <w:r w:rsidRPr="003A58CF">
        <w:t xml:space="preserve"> where agriculture dominates</w:t>
      </w:r>
      <w:r w:rsidR="00A36CA2" w:rsidRPr="003A58CF">
        <w:rPr>
          <w:rStyle w:val="Style"/>
          <w:rFonts w:asciiTheme="minorHAnsi" w:hAnsiTheme="minorHAnsi" w:cstheme="minorHAnsi"/>
          <w:sz w:val="22"/>
          <w:szCs w:val="22"/>
        </w:rPr>
        <w:footnoteReference w:id="8"/>
      </w:r>
      <w:r w:rsidRPr="003A58CF">
        <w:t xml:space="preserve">. </w:t>
      </w:r>
    </w:p>
    <w:p w:rsidR="00DE58DB" w:rsidRPr="003A58CF" w:rsidRDefault="00DE58DB" w:rsidP="00854F5E">
      <w:pPr>
        <w:pStyle w:val="bt"/>
      </w:pPr>
      <w:r w:rsidRPr="003A58CF">
        <w:lastRenderedPageBreak/>
        <w:t>Dominant manufacturing sectors include food and beverage, metals and engineering, transport manufacture, building products</w:t>
      </w:r>
      <w:r w:rsidR="00ED7E0F" w:rsidRPr="003A58CF">
        <w:t>,</w:t>
      </w:r>
      <w:r w:rsidRPr="003A58CF">
        <w:t xml:space="preserve"> and textiles and clothing. </w:t>
      </w:r>
      <w:r w:rsidR="00ED7E0F" w:rsidRPr="003A58CF">
        <w:t xml:space="preserve">Currently </w:t>
      </w:r>
      <w:r w:rsidRPr="003A58CF">
        <w:t xml:space="preserve">the local manufacturing sector has a high degree of expertise as evidenced by the development </w:t>
      </w:r>
      <w:r w:rsidR="00ED7E0F" w:rsidRPr="003A58CF">
        <w:t xml:space="preserve">of </w:t>
      </w:r>
      <w:r w:rsidRPr="003A58CF">
        <w:t xml:space="preserve">new technologies exported </w:t>
      </w:r>
      <w:r w:rsidR="00ED7E0F" w:rsidRPr="003A58CF">
        <w:t xml:space="preserve">throughout </w:t>
      </w:r>
      <w:r w:rsidRPr="003A58CF">
        <w:t>the world</w:t>
      </w:r>
      <w:r w:rsidR="00A36CA2" w:rsidRPr="003A58CF">
        <w:rPr>
          <w:rStyle w:val="Style"/>
          <w:rFonts w:asciiTheme="minorHAnsi" w:hAnsiTheme="minorHAnsi" w:cstheme="minorHAnsi"/>
          <w:sz w:val="22"/>
          <w:szCs w:val="22"/>
        </w:rPr>
        <w:footnoteReference w:id="9"/>
      </w:r>
      <w:r w:rsidRPr="003A58CF">
        <w:t xml:space="preserve">. Defence equipment manufacturing and engineering has emerged as a strong sub-sector. </w:t>
      </w:r>
    </w:p>
    <w:p w:rsidR="00DE58DB" w:rsidRPr="003A58CF" w:rsidRDefault="00DE58DB" w:rsidP="00854F5E">
      <w:pPr>
        <w:pStyle w:val="bt"/>
      </w:pPr>
      <w:r w:rsidRPr="003A58CF">
        <w:t xml:space="preserve">There are opportunities to further support the manufacturing sector through developing supply chain linkages, particularly with the Loddon Mallee </w:t>
      </w:r>
      <w:r w:rsidR="0056291A" w:rsidRPr="003A58CF">
        <w:t xml:space="preserve">North </w:t>
      </w:r>
      <w:r w:rsidRPr="003A58CF">
        <w:t xml:space="preserve">region where there are opportunities to process products from the north. Attracting </w:t>
      </w:r>
      <w:r w:rsidR="0023135F" w:rsidRPr="003A58CF">
        <w:t xml:space="preserve">significant </w:t>
      </w:r>
      <w:r w:rsidRPr="003A58CF">
        <w:t>investment in high value agricultural production</w:t>
      </w:r>
      <w:r w:rsidR="0023135F" w:rsidRPr="003A58CF">
        <w:t>,</w:t>
      </w:r>
      <w:r w:rsidRPr="003A58CF">
        <w:t xml:space="preserve"> processing and manufacturing is important to growing this sector. </w:t>
      </w:r>
    </w:p>
    <w:p w:rsidR="00DE58DB" w:rsidRPr="003A58CF" w:rsidRDefault="00DE58DB" w:rsidP="00854F5E">
      <w:pPr>
        <w:pStyle w:val="bt"/>
      </w:pPr>
      <w:r w:rsidRPr="003A58CF">
        <w:t>Ensuring adequate industrial</w:t>
      </w:r>
      <w:r w:rsidR="004D3F04" w:rsidRPr="003A58CF">
        <w:t xml:space="preserve"> </w:t>
      </w:r>
      <w:r w:rsidRPr="003A58CF">
        <w:t xml:space="preserve">zoned land is critical to attracting and maintaining manufacturing businesses and industry in the region. The development of the Marong Business Park is a significant project </w:t>
      </w:r>
      <w:r w:rsidR="0023135F" w:rsidRPr="003A58CF">
        <w:t xml:space="preserve">aimed at </w:t>
      </w:r>
      <w:r w:rsidRPr="003A58CF">
        <w:t>attract</w:t>
      </w:r>
      <w:r w:rsidR="0023135F" w:rsidRPr="003A58CF">
        <w:t>ing</w:t>
      </w:r>
      <w:r w:rsidRPr="003A58CF">
        <w:t xml:space="preserve"> and grow</w:t>
      </w:r>
      <w:r w:rsidR="0023135F" w:rsidRPr="003A58CF">
        <w:t>ing</w:t>
      </w:r>
      <w:r w:rsidRPr="003A58CF">
        <w:t xml:space="preserve"> such </w:t>
      </w:r>
      <w:r w:rsidR="00871135" w:rsidRPr="003A58CF">
        <w:t>businesses in</w:t>
      </w:r>
      <w:r w:rsidR="0023135F" w:rsidRPr="003A58CF">
        <w:t xml:space="preserve"> </w:t>
      </w:r>
      <w:r w:rsidRPr="003A58CF">
        <w:t>the region</w:t>
      </w:r>
      <w:r w:rsidR="0023135F" w:rsidRPr="003A58CF">
        <w:t xml:space="preserve">. </w:t>
      </w:r>
    </w:p>
    <w:p w:rsidR="00135CA1" w:rsidRPr="008E5B8A" w:rsidRDefault="0018666D" w:rsidP="00854F5E">
      <w:pPr>
        <w:pStyle w:val="bt"/>
        <w:rPr>
          <w:rStyle w:val="Strong"/>
        </w:rPr>
      </w:pPr>
      <w:bookmarkStart w:id="96" w:name="_Toc333305812"/>
      <w:r w:rsidRPr="008E5B8A">
        <w:rPr>
          <w:rStyle w:val="Strong"/>
        </w:rPr>
        <w:t xml:space="preserve">Tourism and </w:t>
      </w:r>
      <w:r w:rsidR="004D3F04" w:rsidRPr="008E5B8A">
        <w:rPr>
          <w:rStyle w:val="Strong"/>
        </w:rPr>
        <w:t>recreation</w:t>
      </w:r>
    </w:p>
    <w:p w:rsidR="00FD12F4" w:rsidRPr="003A58CF" w:rsidRDefault="00DE58DB" w:rsidP="00854F5E">
      <w:pPr>
        <w:pStyle w:val="bt"/>
      </w:pPr>
      <w:r w:rsidRPr="003A58CF">
        <w:t xml:space="preserve">The </w:t>
      </w:r>
      <w:r w:rsidR="00C0379B" w:rsidRPr="003A58CF">
        <w:t xml:space="preserve">Loddon Mallee South </w:t>
      </w:r>
      <w:r w:rsidRPr="003A58CF">
        <w:t xml:space="preserve">region is an attractive tourism destination </w:t>
      </w:r>
      <w:r w:rsidR="00D321F9" w:rsidRPr="003A58CF">
        <w:t xml:space="preserve">known for </w:t>
      </w:r>
      <w:r w:rsidRPr="003A58CF">
        <w:t>its natural assets and landscapes</w:t>
      </w:r>
      <w:r w:rsidR="0023135F" w:rsidRPr="003A58CF">
        <w:t>,</w:t>
      </w:r>
      <w:r w:rsidRPr="003A58CF">
        <w:t xml:space="preserve"> with </w:t>
      </w:r>
      <w:r w:rsidR="0023135F" w:rsidRPr="003A58CF">
        <w:t xml:space="preserve">popular </w:t>
      </w:r>
      <w:r w:rsidRPr="003A58CF">
        <w:t xml:space="preserve">activities </w:t>
      </w:r>
      <w:r w:rsidR="0023135F" w:rsidRPr="003A58CF">
        <w:t xml:space="preserve">including </w:t>
      </w:r>
      <w:r w:rsidRPr="003A58CF">
        <w:t>recreational fishing, bushwalking</w:t>
      </w:r>
      <w:r w:rsidR="006C3BA0" w:rsidRPr="003A58CF">
        <w:t>, cycling</w:t>
      </w:r>
      <w:r w:rsidRPr="003A58CF">
        <w:t xml:space="preserve"> and </w:t>
      </w:r>
      <w:r w:rsidR="006C3BA0" w:rsidRPr="003A58CF">
        <w:t>horse</w:t>
      </w:r>
      <w:r w:rsidR="004D3F04" w:rsidRPr="003A58CF">
        <w:t xml:space="preserve"> </w:t>
      </w:r>
      <w:r w:rsidRPr="003A58CF">
        <w:t xml:space="preserve">riding. </w:t>
      </w:r>
      <w:r w:rsidR="0023135F" w:rsidRPr="003A58CF">
        <w:t xml:space="preserve">Visitors are </w:t>
      </w:r>
      <w:r w:rsidR="00D321F9" w:rsidRPr="003A58CF">
        <w:t xml:space="preserve">drawn </w:t>
      </w:r>
      <w:r w:rsidR="0023135F" w:rsidRPr="003A58CF">
        <w:t xml:space="preserve">to the region </w:t>
      </w:r>
      <w:r w:rsidR="00D321F9" w:rsidRPr="003A58CF">
        <w:t>for its</w:t>
      </w:r>
      <w:r w:rsidR="0023135F" w:rsidRPr="003A58CF">
        <w:t xml:space="preserve"> </w:t>
      </w:r>
      <w:r w:rsidRPr="003A58CF">
        <w:t>rich goldfields and cultural heritage</w:t>
      </w:r>
      <w:r w:rsidR="0023135F" w:rsidRPr="003A58CF">
        <w:t>,</w:t>
      </w:r>
      <w:r w:rsidRPr="003A58CF">
        <w:t xml:space="preserve"> attractive towns, food and wine, </w:t>
      </w:r>
      <w:r w:rsidR="00C0379B" w:rsidRPr="003A58CF">
        <w:t xml:space="preserve">and a </w:t>
      </w:r>
      <w:r w:rsidRPr="003A58CF">
        <w:t xml:space="preserve">variety of festivals and events. </w:t>
      </w:r>
      <w:r w:rsidR="00C0379B" w:rsidRPr="003A58CF">
        <w:t xml:space="preserve">These visitors help </w:t>
      </w:r>
      <w:r w:rsidRPr="003A58CF">
        <w:t xml:space="preserve">support art and recreation, tourism and hospitality services. </w:t>
      </w:r>
    </w:p>
    <w:p w:rsidR="00DE58DB" w:rsidRPr="003A58CF" w:rsidRDefault="007E1BFB" w:rsidP="00854F5E">
      <w:pPr>
        <w:pStyle w:val="bt"/>
      </w:pPr>
      <w:r w:rsidRPr="003A58CF">
        <w:t>The Bendigo Art Galle</w:t>
      </w:r>
      <w:r w:rsidR="00FD12F4" w:rsidRPr="003A58CF">
        <w:t>r</w:t>
      </w:r>
      <w:r w:rsidRPr="003A58CF">
        <w:t xml:space="preserve">y has hosted significant events in recent years. </w:t>
      </w:r>
      <w:r w:rsidR="00DE58DB" w:rsidRPr="003A58CF">
        <w:t xml:space="preserve">Further growth in tourism </w:t>
      </w:r>
      <w:r w:rsidR="00C0379B" w:rsidRPr="003A58CF">
        <w:t xml:space="preserve">across </w:t>
      </w:r>
      <w:r w:rsidR="00DE58DB" w:rsidRPr="003A58CF">
        <w:t>the region will require adequate accommodation and facilities, promotion and continued investment in existing tourism infrastructure, from walking trails to convention centres. Castlemaine Diggings</w:t>
      </w:r>
      <w:r w:rsidR="00044FE4" w:rsidRPr="003A58CF">
        <w:t xml:space="preserve"> National</w:t>
      </w:r>
      <w:r w:rsidR="00DE58DB" w:rsidRPr="003A58CF">
        <w:t xml:space="preserve"> Heritage Park is a significant tourism asset, for which </w:t>
      </w:r>
      <w:r w:rsidR="00C0379B" w:rsidRPr="003A58CF">
        <w:t xml:space="preserve">World Heritage </w:t>
      </w:r>
      <w:r w:rsidR="00DE58DB" w:rsidRPr="003A58CF">
        <w:t>designation is being sought to underpin tourism.</w:t>
      </w:r>
    </w:p>
    <w:p w:rsidR="00DE58DB" w:rsidRPr="003A58CF" w:rsidRDefault="00C0379B" w:rsidP="00854F5E">
      <w:pPr>
        <w:pStyle w:val="bt"/>
      </w:pPr>
      <w:r w:rsidRPr="003A58CF">
        <w:t xml:space="preserve">The region’s </w:t>
      </w:r>
      <w:r w:rsidR="00DE58DB" w:rsidRPr="003A58CF">
        <w:t>natural tourism assets, such as forests and rivers</w:t>
      </w:r>
      <w:r w:rsidRPr="003A58CF">
        <w:t>,</w:t>
      </w:r>
      <w:r w:rsidR="00DE58DB" w:rsidRPr="003A58CF">
        <w:t xml:space="preserve"> need to be protected from </w:t>
      </w:r>
      <w:r w:rsidR="00FD12F4" w:rsidRPr="003A58CF">
        <w:t>development impacts.</w:t>
      </w:r>
      <w:r w:rsidRPr="003A58CF">
        <w:t xml:space="preserve"> </w:t>
      </w:r>
      <w:r w:rsidR="00A14B2E" w:rsidRPr="003A58CF">
        <w:t>T</w:t>
      </w:r>
      <w:r w:rsidR="00044FE4" w:rsidRPr="003A58CF">
        <w:t xml:space="preserve">here </w:t>
      </w:r>
      <w:r w:rsidR="007E1BFB" w:rsidRPr="003A58CF">
        <w:t xml:space="preserve">may be </w:t>
      </w:r>
      <w:r w:rsidR="00A14B2E" w:rsidRPr="003A58CF">
        <w:t xml:space="preserve">future </w:t>
      </w:r>
      <w:r w:rsidR="00044FE4" w:rsidRPr="003A58CF">
        <w:t>opportunities</w:t>
      </w:r>
      <w:r w:rsidR="00A14B2E" w:rsidRPr="003A58CF">
        <w:t>, in accordance with government policy and guidelines,</w:t>
      </w:r>
      <w:r w:rsidR="00044FE4" w:rsidRPr="003A58CF">
        <w:t xml:space="preserve"> to attract private investment </w:t>
      </w:r>
      <w:r w:rsidR="00FD12F4" w:rsidRPr="003A58CF">
        <w:t xml:space="preserve">in </w:t>
      </w:r>
      <w:r w:rsidR="007E1BFB" w:rsidRPr="003A58CF">
        <w:t xml:space="preserve">appropriate </w:t>
      </w:r>
      <w:r w:rsidR="00044FE4" w:rsidRPr="003A58CF">
        <w:t xml:space="preserve">tourism infrastructure on public land to benefit regional </w:t>
      </w:r>
      <w:r w:rsidR="007E5DCA" w:rsidRPr="003A58CF">
        <w:t>tourism. Flexibility</w:t>
      </w:r>
      <w:r w:rsidR="00FD12F4" w:rsidRPr="003A58CF">
        <w:t xml:space="preserve"> </w:t>
      </w:r>
      <w:r w:rsidR="00DE58DB" w:rsidRPr="003A58CF">
        <w:t>for the development of agritourism opportunities</w:t>
      </w:r>
      <w:r w:rsidRPr="003A58CF">
        <w:t>,</w:t>
      </w:r>
      <w:r w:rsidR="00DE58DB" w:rsidRPr="003A58CF">
        <w:t xml:space="preserve"> in conjunction with agricultural uses</w:t>
      </w:r>
      <w:r w:rsidRPr="003A58CF">
        <w:t>,</w:t>
      </w:r>
      <w:r w:rsidR="00DE58DB" w:rsidRPr="003A58CF">
        <w:t xml:space="preserve"> is supported. </w:t>
      </w:r>
    </w:p>
    <w:p w:rsidR="00135CA1" w:rsidRPr="00511F47" w:rsidRDefault="0018666D" w:rsidP="00511F47">
      <w:pPr>
        <w:pStyle w:val="Heading4"/>
        <w:rPr>
          <w:rStyle w:val="Strong"/>
          <w:rFonts w:ascii="Calibri" w:hAnsi="Calibri"/>
          <w:b/>
          <w:bCs/>
          <w:sz w:val="22"/>
        </w:rPr>
      </w:pPr>
      <w:bookmarkStart w:id="97" w:name="_Toc351459095"/>
      <w:r w:rsidRPr="00511F47">
        <w:rPr>
          <w:rStyle w:val="Strong"/>
          <w:rFonts w:ascii="Calibri" w:hAnsi="Calibri"/>
          <w:b/>
          <w:bCs/>
          <w:sz w:val="22"/>
        </w:rPr>
        <w:t>Natural resources</w:t>
      </w:r>
      <w:bookmarkEnd w:id="97"/>
    </w:p>
    <w:p w:rsidR="00135CA1" w:rsidRPr="008E5B8A" w:rsidRDefault="0018666D" w:rsidP="00854F5E">
      <w:pPr>
        <w:pStyle w:val="bt"/>
        <w:rPr>
          <w:rStyle w:val="Strong"/>
        </w:rPr>
      </w:pPr>
      <w:bookmarkStart w:id="98" w:name="_Toc333305847"/>
      <w:bookmarkStart w:id="99" w:name="_Toc351459096"/>
      <w:r w:rsidRPr="008E5B8A">
        <w:rPr>
          <w:rStyle w:val="Strong"/>
        </w:rPr>
        <w:t>Energy generation</w:t>
      </w:r>
      <w:bookmarkEnd w:id="98"/>
      <w:bookmarkEnd w:id="99"/>
    </w:p>
    <w:p w:rsidR="002C3FA3" w:rsidRPr="003A58CF" w:rsidRDefault="00DE58DB" w:rsidP="00854F5E">
      <w:pPr>
        <w:pStyle w:val="bt"/>
      </w:pPr>
      <w:r w:rsidRPr="003A58CF">
        <w:t>Innovation in new technologies, farming practi</w:t>
      </w:r>
      <w:r w:rsidR="002C3FA3" w:rsidRPr="003A58CF">
        <w:t>c</w:t>
      </w:r>
      <w:r w:rsidRPr="003A58CF">
        <w:t xml:space="preserve">es and renewable markets will foster opportunities for carbon sequestration, biomass and renewable energy production. </w:t>
      </w:r>
      <w:r w:rsidR="00BB678A" w:rsidRPr="003A58CF">
        <w:t>On-farm options for new energy generation include bioenergy</w:t>
      </w:r>
      <w:r w:rsidR="00604B2D" w:rsidRPr="003A58CF">
        <w:t xml:space="preserve"> and </w:t>
      </w:r>
      <w:r w:rsidR="00BB678A" w:rsidRPr="003A58CF">
        <w:t>biofuels produced from agriculture</w:t>
      </w:r>
      <w:r w:rsidR="00604B2D" w:rsidRPr="003A58CF">
        <w:t xml:space="preserve"> and </w:t>
      </w:r>
      <w:r w:rsidR="00BB678A" w:rsidRPr="003A58CF">
        <w:t xml:space="preserve">forestry </w:t>
      </w:r>
      <w:r w:rsidR="00044FE4" w:rsidRPr="003A58CF">
        <w:t xml:space="preserve">wastes </w:t>
      </w:r>
      <w:r w:rsidR="00BB678A" w:rsidRPr="003A58CF">
        <w:t xml:space="preserve">through various future technologies. </w:t>
      </w:r>
      <w:r w:rsidRPr="003A58CF">
        <w:t xml:space="preserve">Many technologies can occur concurrently with the primary agricultural use of the land. Programs and land use controls </w:t>
      </w:r>
      <w:r w:rsidR="004D3F04" w:rsidRPr="003A58CF">
        <w:t xml:space="preserve">that </w:t>
      </w:r>
      <w:r w:rsidRPr="003A58CF">
        <w:t xml:space="preserve">allow for such uses are both required to facilitate these activities on farms. </w:t>
      </w:r>
    </w:p>
    <w:p w:rsidR="00DE58DB" w:rsidRPr="003A58CF" w:rsidRDefault="00DE58DB" w:rsidP="00854F5E">
      <w:pPr>
        <w:pStyle w:val="bt"/>
      </w:pPr>
      <w:r w:rsidRPr="003A58CF">
        <w:t xml:space="preserve">Carbon </w:t>
      </w:r>
      <w:r w:rsidR="00044FE4" w:rsidRPr="003A58CF">
        <w:t xml:space="preserve">market </w:t>
      </w:r>
      <w:r w:rsidRPr="003A58CF">
        <w:t>initiatives and energy generation activities</w:t>
      </w:r>
      <w:r w:rsidR="00C0379B" w:rsidRPr="003A58CF">
        <w:t>,</w:t>
      </w:r>
      <w:r w:rsidRPr="003A58CF">
        <w:t xml:space="preserve"> </w:t>
      </w:r>
      <w:r w:rsidR="00FA60B9" w:rsidRPr="003A58CF">
        <w:t>and their potential effect on</w:t>
      </w:r>
      <w:r w:rsidRPr="003A58CF">
        <w:t xml:space="preserve"> the long</w:t>
      </w:r>
      <w:r w:rsidR="00C0379B" w:rsidRPr="003A58CF">
        <w:t>-</w:t>
      </w:r>
      <w:r w:rsidRPr="003A58CF">
        <w:t>term agricultural viability of high value agricultural land</w:t>
      </w:r>
      <w:r w:rsidR="00C0379B" w:rsidRPr="003A58CF">
        <w:t>,</w:t>
      </w:r>
      <w:r w:rsidRPr="003A58CF">
        <w:t xml:space="preserve"> need to be carefully considered in </w:t>
      </w:r>
      <w:r w:rsidR="007E1BFB" w:rsidRPr="003A58CF">
        <w:t>land use policy</w:t>
      </w:r>
      <w:r w:rsidRPr="003A58CF">
        <w:t>. These same carbon initiatives and energy generation activities can coexist and compl</w:t>
      </w:r>
      <w:r w:rsidR="000078DC" w:rsidRPr="003A58CF">
        <w:t>e</w:t>
      </w:r>
      <w:r w:rsidRPr="003A58CF">
        <w:t>ment agricultural land uses</w:t>
      </w:r>
      <w:r w:rsidR="00C0379B" w:rsidRPr="003A58CF">
        <w:t>,</w:t>
      </w:r>
      <w:r w:rsidRPr="003A58CF">
        <w:t xml:space="preserve"> supporting diversification and growth opportunities for the agricultural sector. Further work is required in the region to identify strategically important land for agriculture and alternative uses, such as energy production.  </w:t>
      </w:r>
    </w:p>
    <w:p w:rsidR="00135CA1" w:rsidRPr="008E5B8A" w:rsidRDefault="0018666D" w:rsidP="00854F5E">
      <w:pPr>
        <w:pStyle w:val="bt"/>
        <w:rPr>
          <w:rStyle w:val="Strong"/>
        </w:rPr>
      </w:pPr>
      <w:r w:rsidRPr="008E5B8A">
        <w:rPr>
          <w:rStyle w:val="Strong"/>
        </w:rPr>
        <w:t xml:space="preserve">Earth resources </w:t>
      </w:r>
    </w:p>
    <w:p w:rsidR="00DE58DB" w:rsidRPr="003A58CF" w:rsidRDefault="00BB678A" w:rsidP="00854F5E">
      <w:pPr>
        <w:pStyle w:val="bt"/>
      </w:pPr>
      <w:r w:rsidRPr="003A58CF">
        <w:lastRenderedPageBreak/>
        <w:t>Renewed interest in the region’s gold deposits</w:t>
      </w:r>
      <w:r w:rsidR="003C7EE6" w:rsidRPr="003A58CF">
        <w:t xml:space="preserve"> over recent years</w:t>
      </w:r>
      <w:r w:rsidRPr="003A58CF">
        <w:t xml:space="preserve"> has grown into a significant driver of the local economy. </w:t>
      </w:r>
      <w:r w:rsidR="009F5A59" w:rsidRPr="003A58CF">
        <w:t>Gold</w:t>
      </w:r>
      <w:r w:rsidR="00DE58DB" w:rsidRPr="003A58CF">
        <w:t xml:space="preserve">mining has </w:t>
      </w:r>
      <w:r w:rsidR="00511AA0" w:rsidRPr="003A58CF">
        <w:t>contributed</w:t>
      </w:r>
      <w:r w:rsidR="00DE58DB" w:rsidRPr="003A58CF">
        <w:t xml:space="preserve"> direct benefits through growth in related industries such as quarrying services and hydraulic manufacturers to meet the needs of the sector. </w:t>
      </w:r>
    </w:p>
    <w:p w:rsidR="00DE58DB" w:rsidRPr="003A58CF" w:rsidRDefault="00C0379B" w:rsidP="00854F5E">
      <w:pPr>
        <w:pStyle w:val="bt"/>
      </w:pPr>
      <w:r w:rsidRPr="003A58CF">
        <w:t>E</w:t>
      </w:r>
      <w:r w:rsidR="00DE58DB" w:rsidRPr="003A58CF">
        <w:t xml:space="preserve">merging mineral sands mining in </w:t>
      </w:r>
      <w:r w:rsidR="003C7EE6" w:rsidRPr="003A58CF">
        <w:t xml:space="preserve">the </w:t>
      </w:r>
      <w:r w:rsidR="00DE58DB" w:rsidRPr="003A58CF">
        <w:t xml:space="preserve">Loddon Mallee </w:t>
      </w:r>
      <w:r w:rsidR="000078DC" w:rsidRPr="003A58CF">
        <w:t>N</w:t>
      </w:r>
      <w:r w:rsidR="00DE58DB" w:rsidRPr="003A58CF">
        <w:t xml:space="preserve">orth </w:t>
      </w:r>
      <w:r w:rsidR="003C7EE6" w:rsidRPr="003A58CF">
        <w:t xml:space="preserve">region </w:t>
      </w:r>
      <w:r w:rsidR="00DE58DB" w:rsidRPr="003A58CF">
        <w:t xml:space="preserve">also has benefits and impacts on the southern region in relation to industry links and freight </w:t>
      </w:r>
      <w:r w:rsidR="00BB678A" w:rsidRPr="003A58CF">
        <w:t>(</w:t>
      </w:r>
      <w:r w:rsidR="00762133">
        <w:t>r</w:t>
      </w:r>
      <w:r w:rsidR="0018666D" w:rsidRPr="003A58CF">
        <w:t xml:space="preserve">efer also to </w:t>
      </w:r>
      <w:r w:rsidR="000952D4" w:rsidRPr="003A58CF">
        <w:t>Section 14.2 Transport networks</w:t>
      </w:r>
      <w:r w:rsidR="0018666D" w:rsidRPr="003A58CF">
        <w:t>)</w:t>
      </w:r>
      <w:r w:rsidR="00762133">
        <w:t>.</w:t>
      </w:r>
      <w:r w:rsidR="00BB678A" w:rsidRPr="003A58CF">
        <w:t xml:space="preserve"> </w:t>
      </w:r>
    </w:p>
    <w:p w:rsidR="00DE58DB" w:rsidRPr="003A58CF" w:rsidRDefault="00DE58DB" w:rsidP="00854F5E">
      <w:pPr>
        <w:pStyle w:val="bt"/>
      </w:pPr>
      <w:r w:rsidRPr="003A58CF">
        <w:t xml:space="preserve">Significant deposits of </w:t>
      </w:r>
      <w:r w:rsidR="00511AA0" w:rsidRPr="003A58CF">
        <w:t>earth resources</w:t>
      </w:r>
      <w:r w:rsidRPr="003A58CF">
        <w:t xml:space="preserve">, including gold, </w:t>
      </w:r>
      <w:r w:rsidR="003C7EE6" w:rsidRPr="003A58CF">
        <w:t xml:space="preserve">and sand and stone resources </w:t>
      </w:r>
      <w:r w:rsidRPr="003A58CF">
        <w:t xml:space="preserve">have </w:t>
      </w:r>
      <w:r w:rsidR="00C0379B" w:rsidRPr="003A58CF">
        <w:t xml:space="preserve">significant economic </w:t>
      </w:r>
      <w:r w:rsidRPr="003A58CF">
        <w:t xml:space="preserve">potential </w:t>
      </w:r>
      <w:r w:rsidR="00C0379B" w:rsidRPr="003A58CF">
        <w:t xml:space="preserve">for </w:t>
      </w:r>
      <w:r w:rsidRPr="003A58CF">
        <w:t>the region and it is recognised that residential growth</w:t>
      </w:r>
      <w:r w:rsidR="00511AA0" w:rsidRPr="003A58CF">
        <w:t xml:space="preserve"> or infrastructure developments</w:t>
      </w:r>
      <w:r w:rsidRPr="003A58CF">
        <w:t xml:space="preserve"> in proximity to </w:t>
      </w:r>
      <w:r w:rsidR="003C7EE6" w:rsidRPr="003A58CF">
        <w:t xml:space="preserve">extractive industry </w:t>
      </w:r>
      <w:r w:rsidRPr="003A58CF">
        <w:t xml:space="preserve">resources, especially quarries, can lead to constraints in </w:t>
      </w:r>
      <w:r w:rsidR="00511AA0" w:rsidRPr="003A58CF">
        <w:t>earth resources operations.</w:t>
      </w:r>
      <w:r w:rsidRPr="003A58CF">
        <w:t xml:space="preserve"> Appropriate buffers to protect existing and new activities need to be recognised. </w:t>
      </w:r>
      <w:r w:rsidR="003C7EE6" w:rsidRPr="003A58CF">
        <w:t>Retaining access to locally</w:t>
      </w:r>
      <w:r w:rsidR="004D3F04" w:rsidRPr="003A58CF">
        <w:t xml:space="preserve"> </w:t>
      </w:r>
      <w:r w:rsidR="003C7EE6" w:rsidRPr="003A58CF">
        <w:t>sourced construction materials such as sand and stone can help to reduce construction costs, which will benefit regional growth.</w:t>
      </w:r>
    </w:p>
    <w:p w:rsidR="003C7EE6" w:rsidRPr="003A58CF" w:rsidRDefault="003C7EE6" w:rsidP="00854F5E">
      <w:pPr>
        <w:pStyle w:val="bt"/>
      </w:pPr>
      <w:r w:rsidRPr="003A58CF">
        <w:t>Extractive industry</w:t>
      </w:r>
      <w:r w:rsidR="00673282" w:rsidRPr="003A58CF">
        <w:t xml:space="preserve"> interest areas occur within the region, which contain areas of known future interest to the extractive minerals industry, for example, sand and stone. Areas are based on suitable geological occurrence and also take into account existing local government planning schemes. They are intended to provide a guide to local government in developing future planning policy. In response to the Economic Development and Infrastructure Committee’s </w:t>
      </w:r>
      <w:r w:rsidR="001F16ED" w:rsidRPr="003A58CF">
        <w:rPr>
          <w:i/>
        </w:rPr>
        <w:t>Inquiry into greenfields mineral exploration and project development in Victoria</w:t>
      </w:r>
      <w:r w:rsidR="00673282" w:rsidRPr="003A58CF">
        <w:t>, the Victorian Government has committed to various activities that will undertake further data gathering and planning to better protect the state’s extractive resources for future development. The outcomes of these activities may have implications for future planning provisions.</w:t>
      </w:r>
      <w:r w:rsidR="00762133">
        <w:t xml:space="preserve"> Extractive industry interest areas located in the region are shown on the map included as figure 21 in the background report.</w:t>
      </w:r>
    </w:p>
    <w:p w:rsidR="00135CA1" w:rsidRPr="008E5B8A" w:rsidRDefault="0043085B" w:rsidP="00854F5E">
      <w:pPr>
        <w:pStyle w:val="bt"/>
        <w:rPr>
          <w:rStyle w:val="Strong"/>
        </w:rPr>
      </w:pPr>
      <w:r w:rsidRPr="008E5B8A">
        <w:rPr>
          <w:rStyle w:val="Strong"/>
        </w:rPr>
        <w:t>Future economic land use actions</w:t>
      </w:r>
    </w:p>
    <w:p w:rsidR="00135CA1" w:rsidRPr="003A58CF" w:rsidRDefault="00DE58DB" w:rsidP="00025EF8">
      <w:pPr>
        <w:pStyle w:val="btbullet"/>
        <w:rPr>
          <w:lang w:val="en-US" w:eastAsia="en-US"/>
        </w:rPr>
      </w:pPr>
      <w:bookmarkStart w:id="100" w:name="OLE_LINK7"/>
      <w:bookmarkStart w:id="101" w:name="OLE_LINK8"/>
      <w:r w:rsidRPr="003A58CF">
        <w:rPr>
          <w:lang w:val="en-US" w:eastAsia="en-US"/>
        </w:rPr>
        <w:t>Support the growth of Bendigo as the regional city and major employment and services hub</w:t>
      </w:r>
    </w:p>
    <w:bookmarkEnd w:id="100"/>
    <w:bookmarkEnd w:id="101"/>
    <w:p w:rsidR="00135CA1" w:rsidRPr="003A58CF" w:rsidRDefault="00DE58DB" w:rsidP="00025EF8">
      <w:pPr>
        <w:pStyle w:val="btbullet"/>
        <w:rPr>
          <w:lang w:val="en-US" w:eastAsia="en-US"/>
        </w:rPr>
      </w:pPr>
      <w:r w:rsidRPr="003A58CF">
        <w:rPr>
          <w:lang w:val="en-US" w:eastAsia="en-US"/>
        </w:rPr>
        <w:t>Increase social and economic participation within the region through increased employment options, improved telecommunications and transport access</w:t>
      </w:r>
    </w:p>
    <w:p w:rsidR="00135CA1" w:rsidRPr="003A58CF" w:rsidRDefault="00DE58DB" w:rsidP="00025EF8">
      <w:pPr>
        <w:pStyle w:val="btbullet"/>
        <w:rPr>
          <w:lang w:val="en-US" w:eastAsia="en-US"/>
        </w:rPr>
      </w:pPr>
      <w:r w:rsidRPr="003A58CF">
        <w:rPr>
          <w:lang w:val="en-US" w:eastAsia="en-US"/>
        </w:rPr>
        <w:t>Ensure there is adequate zoned and serviced commercial and industrial land</w:t>
      </w:r>
      <w:r w:rsidR="00A36CA2" w:rsidRPr="003A58CF">
        <w:rPr>
          <w:lang w:val="en-US" w:eastAsia="en-US"/>
        </w:rPr>
        <w:t xml:space="preserve"> for employment</w:t>
      </w:r>
      <w:r w:rsidRPr="003A58CF">
        <w:rPr>
          <w:lang w:val="en-US" w:eastAsia="en-US"/>
        </w:rPr>
        <w:t xml:space="preserve"> in the regional city and centres as sub</w:t>
      </w:r>
      <w:r w:rsidR="00C0379B" w:rsidRPr="003A58CF">
        <w:rPr>
          <w:lang w:val="en-US" w:eastAsia="en-US"/>
        </w:rPr>
        <w:t>-</w:t>
      </w:r>
      <w:r w:rsidRPr="003A58CF">
        <w:rPr>
          <w:lang w:val="en-US" w:eastAsia="en-US"/>
        </w:rPr>
        <w:t>regional hubs</w:t>
      </w:r>
    </w:p>
    <w:p w:rsidR="00135CA1" w:rsidRPr="003A58CF" w:rsidRDefault="00DE58DB" w:rsidP="00025EF8">
      <w:pPr>
        <w:pStyle w:val="btbullet"/>
        <w:rPr>
          <w:lang w:val="en-US" w:eastAsia="en-US"/>
        </w:rPr>
      </w:pPr>
      <w:r w:rsidRPr="003A58CF">
        <w:rPr>
          <w:lang w:val="en-US" w:eastAsia="en-US"/>
        </w:rPr>
        <w:t>Accelerate the development of the Marong Business Park as a key new location for industry and business</w:t>
      </w:r>
    </w:p>
    <w:p w:rsidR="00135CA1" w:rsidRPr="003A58CF" w:rsidRDefault="00DE58DB" w:rsidP="00025EF8">
      <w:pPr>
        <w:pStyle w:val="btbullet"/>
        <w:rPr>
          <w:lang w:val="en-US" w:eastAsia="en-US"/>
        </w:rPr>
      </w:pPr>
      <w:r w:rsidRPr="003A58CF">
        <w:rPr>
          <w:lang w:val="en-US" w:eastAsia="en-US"/>
        </w:rPr>
        <w:t xml:space="preserve">Attract new manufacturing and food processing industries </w:t>
      </w:r>
      <w:r w:rsidR="00026B1F" w:rsidRPr="003A58CF">
        <w:rPr>
          <w:lang w:val="en-US" w:eastAsia="en-US"/>
        </w:rPr>
        <w:t xml:space="preserve">to </w:t>
      </w:r>
      <w:r w:rsidRPr="003A58CF">
        <w:rPr>
          <w:lang w:val="en-US" w:eastAsia="en-US"/>
        </w:rPr>
        <w:t>build on supply chain linkages and tak</w:t>
      </w:r>
      <w:r w:rsidR="00026B1F" w:rsidRPr="003A58CF">
        <w:rPr>
          <w:lang w:val="en-US" w:eastAsia="en-US"/>
        </w:rPr>
        <w:t>e</w:t>
      </w:r>
      <w:r w:rsidRPr="003A58CF">
        <w:rPr>
          <w:lang w:val="en-US" w:eastAsia="en-US"/>
        </w:rPr>
        <w:t xml:space="preserve"> advantage of cheaper land prices and location attributes</w:t>
      </w:r>
    </w:p>
    <w:p w:rsidR="00135CA1" w:rsidRPr="003A58CF" w:rsidRDefault="00DE58DB" w:rsidP="00025EF8">
      <w:pPr>
        <w:pStyle w:val="btbullet"/>
        <w:rPr>
          <w:lang w:val="en-US" w:eastAsia="en-US"/>
        </w:rPr>
      </w:pPr>
      <w:bookmarkStart w:id="102" w:name="OLE_LINK9"/>
      <w:bookmarkStart w:id="103" w:name="OLE_LINK10"/>
      <w:bookmarkStart w:id="104" w:name="OLE_LINK112"/>
      <w:r w:rsidRPr="003A58CF">
        <w:rPr>
          <w:lang w:val="en-US" w:eastAsia="en-US"/>
        </w:rPr>
        <w:t>Achieve designation of Castlemaine Diggings National Heritage Park as a World Heritage place to underpin tourism</w:t>
      </w:r>
    </w:p>
    <w:bookmarkEnd w:id="102"/>
    <w:bookmarkEnd w:id="103"/>
    <w:bookmarkEnd w:id="104"/>
    <w:p w:rsidR="00135CA1" w:rsidRPr="003A58CF" w:rsidRDefault="00DE58DB" w:rsidP="00025EF8">
      <w:pPr>
        <w:pStyle w:val="btbullet"/>
        <w:rPr>
          <w:lang w:val="en-US" w:eastAsia="en-US"/>
        </w:rPr>
      </w:pPr>
      <w:r w:rsidRPr="003A58CF">
        <w:rPr>
          <w:lang w:val="en-US" w:eastAsia="en-US"/>
        </w:rPr>
        <w:t>Maintain and develop buffers around mining and quarrying activities</w:t>
      </w:r>
    </w:p>
    <w:p w:rsidR="00673282" w:rsidRPr="003A58CF" w:rsidRDefault="00673282" w:rsidP="00025EF8">
      <w:pPr>
        <w:pStyle w:val="btbullet"/>
        <w:rPr>
          <w:lang w:val="en-US" w:eastAsia="en-US"/>
        </w:rPr>
      </w:pPr>
      <w:r w:rsidRPr="003A58CF">
        <w:rPr>
          <w:lang w:val="en-US" w:eastAsia="en-US"/>
        </w:rPr>
        <w:t>Identify, manage and facilitate access to natural resources where appropriate, including sand and stone, minerals, timber and renewable energy potential</w:t>
      </w:r>
    </w:p>
    <w:p w:rsidR="00135CA1" w:rsidRPr="003A58CF" w:rsidRDefault="00026B1F" w:rsidP="00025EF8">
      <w:pPr>
        <w:pStyle w:val="btbullet"/>
        <w:rPr>
          <w:lang w:val="en-US" w:eastAsia="en-US"/>
        </w:rPr>
      </w:pPr>
      <w:r w:rsidRPr="003A58CF">
        <w:rPr>
          <w:lang w:val="en-US"/>
        </w:rPr>
        <w:t xml:space="preserve">Increase </w:t>
      </w:r>
      <w:r w:rsidR="00DE58DB" w:rsidRPr="003A58CF">
        <w:rPr>
          <w:lang w:val="en-US"/>
        </w:rPr>
        <w:t>opportunities for emerging sectors through policy support, investment and incentives</w:t>
      </w:r>
      <w:bookmarkEnd w:id="96"/>
    </w:p>
    <w:p w:rsidR="00B22D9A" w:rsidRPr="003A58CF" w:rsidRDefault="00B22D9A" w:rsidP="00025EF8">
      <w:pPr>
        <w:pStyle w:val="btbullet"/>
        <w:rPr>
          <w:lang w:val="en-US" w:eastAsia="en-US"/>
        </w:rPr>
      </w:pPr>
      <w:r w:rsidRPr="003A58CF">
        <w:rPr>
          <w:lang w:val="en-US" w:eastAsia="en-US"/>
        </w:rPr>
        <w:t>Protect existing transport corridors and precincts, including opportunities for capacity enhancement, to support economic growth</w:t>
      </w:r>
    </w:p>
    <w:p w:rsidR="00694846" w:rsidRPr="001514AA" w:rsidRDefault="00C70CEB" w:rsidP="001514AA">
      <w:pPr>
        <w:pStyle w:val="bt"/>
      </w:pPr>
      <w:bookmarkStart w:id="105" w:name="_Ref352069743"/>
      <w:bookmarkStart w:id="106" w:name="_Toc373757226"/>
      <w:r w:rsidRPr="001514AA">
        <w:t xml:space="preserve">Map </w:t>
      </w:r>
      <w:bookmarkEnd w:id="105"/>
      <w:r w:rsidR="00993A78">
        <w:t>6</w:t>
      </w:r>
      <w:r w:rsidR="001514AA" w:rsidRPr="001514AA">
        <w:t xml:space="preserve"> is located here in the document and it shows -</w:t>
      </w:r>
      <w:r w:rsidR="005770F9" w:rsidRPr="001514AA">
        <w:t xml:space="preserve"> </w:t>
      </w:r>
      <w:r w:rsidRPr="001514AA">
        <w:t>Future economic directions</w:t>
      </w:r>
      <w:bookmarkEnd w:id="106"/>
    </w:p>
    <w:p w:rsidR="00DE58DB" w:rsidRPr="003A58CF" w:rsidRDefault="00DE58DB" w:rsidP="00C23818">
      <w:pPr>
        <w:pStyle w:val="Heading2"/>
      </w:pPr>
      <w:bookmarkStart w:id="107" w:name="_Toc377026336"/>
      <w:r w:rsidRPr="003A58CF">
        <w:t>Agriculture</w:t>
      </w:r>
      <w:bookmarkEnd w:id="107"/>
    </w:p>
    <w:p w:rsidR="00135CA1" w:rsidRPr="008E5B8A" w:rsidRDefault="006F2B28" w:rsidP="008E5B8A">
      <w:pPr>
        <w:pStyle w:val="bt"/>
        <w:rPr>
          <w:rStyle w:val="Strong"/>
        </w:rPr>
      </w:pPr>
      <w:r w:rsidRPr="008E5B8A">
        <w:rPr>
          <w:rStyle w:val="Strong"/>
        </w:rPr>
        <w:t>Future directions</w:t>
      </w:r>
    </w:p>
    <w:p w:rsidR="00135CA1" w:rsidRPr="003A58CF" w:rsidRDefault="00DE58DB" w:rsidP="00025EF8">
      <w:pPr>
        <w:pStyle w:val="btbullet"/>
      </w:pPr>
      <w:bookmarkStart w:id="108" w:name="OLE_LINK74"/>
      <w:bookmarkStart w:id="109" w:name="OLE_LINK75"/>
      <w:bookmarkStart w:id="110" w:name="OLE_LINK106"/>
      <w:bookmarkStart w:id="111" w:name="OLE_LINK165"/>
      <w:r w:rsidRPr="003A58CF">
        <w:lastRenderedPageBreak/>
        <w:t>Facilitate ongoing agricultural productivity and investment in high value agriculture</w:t>
      </w:r>
    </w:p>
    <w:p w:rsidR="00135CA1" w:rsidRPr="003A58CF" w:rsidRDefault="00DE58DB" w:rsidP="00025EF8">
      <w:pPr>
        <w:pStyle w:val="btbullet"/>
        <w:rPr>
          <w:lang w:val="en-US"/>
        </w:rPr>
      </w:pPr>
      <w:r w:rsidRPr="003A58CF">
        <w:rPr>
          <w:lang w:val="en-US"/>
        </w:rPr>
        <w:t>Support ongoing adaptation and flexibility for the agricultural sector</w:t>
      </w:r>
    </w:p>
    <w:p w:rsidR="00135CA1" w:rsidRPr="003A58CF" w:rsidRDefault="00DE58DB" w:rsidP="00025EF8">
      <w:pPr>
        <w:pStyle w:val="btbullet"/>
      </w:pPr>
      <w:r w:rsidRPr="003A58CF">
        <w:t>Facilitate ongoing agricultural productivity and new opportunities that respond to</w:t>
      </w:r>
      <w:r w:rsidR="00FA60B9" w:rsidRPr="003A58CF">
        <w:t xml:space="preserve"> the potential impacts of</w:t>
      </w:r>
      <w:r w:rsidRPr="003A58CF">
        <w:t xml:space="preserve"> climate </w:t>
      </w:r>
      <w:r w:rsidR="00FA60B9" w:rsidRPr="003A58CF">
        <w:t>change</w:t>
      </w:r>
    </w:p>
    <w:p w:rsidR="00135CA1" w:rsidRPr="003A58CF" w:rsidRDefault="00DE58DB" w:rsidP="00025EF8">
      <w:pPr>
        <w:pStyle w:val="btbullet"/>
      </w:pPr>
      <w:r w:rsidRPr="003A58CF">
        <w:t xml:space="preserve">Support the sustainable use of rural land, including the development of </w:t>
      </w:r>
      <w:r w:rsidR="000078DC" w:rsidRPr="003A58CF">
        <w:t>r</w:t>
      </w:r>
      <w:r w:rsidR="00FA60B9" w:rsidRPr="003A58CF">
        <w:t xml:space="preserve">egional </w:t>
      </w:r>
      <w:r w:rsidR="000078DC" w:rsidRPr="003A58CF">
        <w:t>c</w:t>
      </w:r>
      <w:r w:rsidR="00FA60B9" w:rsidRPr="003A58CF">
        <w:t xml:space="preserve">atchment </w:t>
      </w:r>
      <w:r w:rsidR="000078DC" w:rsidRPr="003A58CF">
        <w:t>s</w:t>
      </w:r>
      <w:r w:rsidR="00FA60B9" w:rsidRPr="003A58CF">
        <w:t>trategies</w:t>
      </w:r>
      <w:r w:rsidRPr="003A58CF">
        <w:t xml:space="preserve"> and other suitable tools</w:t>
      </w:r>
    </w:p>
    <w:p w:rsidR="001F16ED" w:rsidRPr="003A58CF" w:rsidRDefault="008D01EF" w:rsidP="00025EF8">
      <w:pPr>
        <w:pStyle w:val="btbullet"/>
      </w:pPr>
      <w:r w:rsidRPr="003A58CF">
        <w:t>Encourage and facilitate development in renewable energy, other new energy opportunities and in carbon sequestration activities</w:t>
      </w:r>
    </w:p>
    <w:p w:rsidR="001F16ED" w:rsidRPr="003A58CF" w:rsidRDefault="00325BF8" w:rsidP="00025EF8">
      <w:pPr>
        <w:pStyle w:val="btbullet"/>
        <w:rPr>
          <w:lang w:eastAsia="en-US"/>
        </w:rPr>
      </w:pPr>
      <w:r w:rsidRPr="003A58CF">
        <w:rPr>
          <w:lang w:eastAsia="en-US"/>
        </w:rPr>
        <w:t>Protect water quality and quantity</w:t>
      </w:r>
    </w:p>
    <w:bookmarkEnd w:id="108"/>
    <w:bookmarkEnd w:id="109"/>
    <w:bookmarkEnd w:id="110"/>
    <w:bookmarkEnd w:id="111"/>
    <w:p w:rsidR="00836162" w:rsidRPr="008E5B8A" w:rsidRDefault="00836162" w:rsidP="008E5B8A">
      <w:pPr>
        <w:pStyle w:val="Heading4"/>
        <w:rPr>
          <w:rStyle w:val="Strong"/>
          <w:b/>
          <w:bCs/>
        </w:rPr>
      </w:pPr>
      <w:r w:rsidRPr="008E5B8A">
        <w:rPr>
          <w:rStyle w:val="Strong"/>
          <w:b/>
          <w:bCs/>
        </w:rPr>
        <w:t xml:space="preserve">Overview </w:t>
      </w:r>
    </w:p>
    <w:p w:rsidR="00DE58DB" w:rsidRPr="003A58CF" w:rsidRDefault="00DE58DB" w:rsidP="00854F5E">
      <w:pPr>
        <w:pStyle w:val="bt"/>
      </w:pPr>
      <w:r w:rsidRPr="003A58CF">
        <w:t xml:space="preserve">The majority of the </w:t>
      </w:r>
      <w:r w:rsidR="00943D8A" w:rsidRPr="003A58CF">
        <w:t xml:space="preserve">Loddon Mallee South </w:t>
      </w:r>
      <w:r w:rsidRPr="003A58CF">
        <w:t xml:space="preserve">region is </w:t>
      </w:r>
      <w:r w:rsidR="00726BD6" w:rsidRPr="003A58CF">
        <w:t>rural in character</w:t>
      </w:r>
      <w:r w:rsidRPr="003A58CF">
        <w:t>, a significant portion of which is used for agricultural production. The region is agriculturally diverse</w:t>
      </w:r>
      <w:r w:rsidR="00142279">
        <w:t>, with</w:t>
      </w:r>
      <w:r w:rsidR="00142279" w:rsidRPr="003A58CF">
        <w:t xml:space="preserve"> </w:t>
      </w:r>
      <w:r w:rsidRPr="003A58CF">
        <w:t>irrigated dairying</w:t>
      </w:r>
      <w:r w:rsidR="00FA60B9" w:rsidRPr="003A58CF">
        <w:t>, cropping and grazing</w:t>
      </w:r>
      <w:r w:rsidRPr="003A58CF">
        <w:t xml:space="preserve"> in the north</w:t>
      </w:r>
      <w:r w:rsidR="000E1A43" w:rsidRPr="003A58CF">
        <w:t>-</w:t>
      </w:r>
      <w:r w:rsidRPr="003A58CF">
        <w:t>east</w:t>
      </w:r>
      <w:r w:rsidR="00943D8A" w:rsidRPr="003A58CF">
        <w:t xml:space="preserve"> </w:t>
      </w:r>
      <w:r w:rsidR="00142279">
        <w:t>and</w:t>
      </w:r>
      <w:r w:rsidR="00142279" w:rsidRPr="003A58CF">
        <w:t xml:space="preserve"> </w:t>
      </w:r>
      <w:r w:rsidRPr="003A58CF">
        <w:t>large</w:t>
      </w:r>
      <w:r w:rsidR="00943D8A" w:rsidRPr="003A58CF">
        <w:t>-</w:t>
      </w:r>
      <w:r w:rsidRPr="003A58CF">
        <w:t xml:space="preserve">scale productive cropping, </w:t>
      </w:r>
      <w:r w:rsidR="007E5DCA" w:rsidRPr="003A58CF">
        <w:t>dry land</w:t>
      </w:r>
      <w:r w:rsidRPr="003A58CF">
        <w:t xml:space="preserve"> and mixed farming in the north</w:t>
      </w:r>
      <w:r w:rsidR="000E1A43" w:rsidRPr="003A58CF">
        <w:t>-</w:t>
      </w:r>
      <w:r w:rsidRPr="003A58CF">
        <w:t>west</w:t>
      </w:r>
      <w:r w:rsidR="00142279">
        <w:t xml:space="preserve"> (</w:t>
      </w:r>
      <w:r w:rsidRPr="003A58CF">
        <w:t xml:space="preserve">predominantly </w:t>
      </w:r>
      <w:r w:rsidR="00142279">
        <w:t xml:space="preserve">in </w:t>
      </w:r>
      <w:r w:rsidRPr="003A58CF">
        <w:t>Loddon Shire</w:t>
      </w:r>
      <w:r w:rsidR="00142279">
        <w:t>)</w:t>
      </w:r>
      <w:r w:rsidRPr="003A58CF">
        <w:t xml:space="preserve">. Wineries, orchards and olive groves are located throughout the region, with clusters in the Macedon Ranges, Harcourt Valley and </w:t>
      </w:r>
      <w:r w:rsidR="00943D8A" w:rsidRPr="003A58CF">
        <w:t xml:space="preserve">around </w:t>
      </w:r>
      <w:r w:rsidRPr="003A58CF">
        <w:t xml:space="preserve">Bendigo. Intensive animal industries are a significant economic contributor. </w:t>
      </w:r>
      <w:r w:rsidR="00511AA0" w:rsidRPr="003A58CF">
        <w:t xml:space="preserve">Mixed farming also occurs in the south of the region, such as in the Central Goldfields and Mount Alexander </w:t>
      </w:r>
      <w:r w:rsidR="004D3F04" w:rsidRPr="003A58CF">
        <w:t>shires</w:t>
      </w:r>
      <w:r w:rsidR="00511AA0" w:rsidRPr="003A58CF">
        <w:t>.</w:t>
      </w:r>
    </w:p>
    <w:p w:rsidR="00DE58DB" w:rsidRPr="003A58CF" w:rsidRDefault="00142279" w:rsidP="00854F5E">
      <w:pPr>
        <w:pStyle w:val="bt"/>
        <w:rPr>
          <w:i/>
          <w:iCs/>
        </w:rPr>
      </w:pPr>
      <w:r w:rsidRPr="003A58CF">
        <w:t>Whil</w:t>
      </w:r>
      <w:r>
        <w:t>e</w:t>
      </w:r>
      <w:r w:rsidRPr="003A58CF">
        <w:t xml:space="preserve"> </w:t>
      </w:r>
      <w:r w:rsidR="00DE58DB" w:rsidRPr="003A58CF">
        <w:t>agriculture remains an important economic sector for the region,</w:t>
      </w:r>
      <w:r>
        <w:t xml:space="preserve"> according to research undertaken by Regional Development Victoria (2012),</w:t>
      </w:r>
      <w:r w:rsidR="00DE58DB" w:rsidRPr="003A58CF">
        <w:t xml:space="preserve"> its growth has declined over time</w:t>
      </w:r>
      <w:r>
        <w:t>.</w:t>
      </w:r>
      <w:r w:rsidR="00DE58DB" w:rsidRPr="003A58CF">
        <w:t xml:space="preserve"> Nevertheless, the region has a clear </w:t>
      </w:r>
      <w:r w:rsidR="00943D8A" w:rsidRPr="003A58CF">
        <w:t xml:space="preserve">goal to </w:t>
      </w:r>
      <w:r w:rsidR="00DE58DB" w:rsidRPr="003A58CF">
        <w:t>support and promot</w:t>
      </w:r>
      <w:r w:rsidR="00943D8A" w:rsidRPr="003A58CF">
        <w:t xml:space="preserve">e </w:t>
      </w:r>
      <w:r w:rsidR="00DE58DB" w:rsidRPr="003A58CF">
        <w:t xml:space="preserve">the growth of its agricultural sector. Priority Action </w:t>
      </w:r>
      <w:r w:rsidR="008D01EF" w:rsidRPr="003A58CF">
        <w:t>3.</w:t>
      </w:r>
      <w:r w:rsidR="00DE58DB" w:rsidRPr="003A58CF">
        <w:t>2 of the Strategic Plan is</w:t>
      </w:r>
      <w:r w:rsidR="00943D8A" w:rsidRPr="003A58CF">
        <w:t xml:space="preserve"> to</w:t>
      </w:r>
      <w:r w:rsidR="004D3F04" w:rsidRPr="003A58CF">
        <w:t>,</w:t>
      </w:r>
      <w:r w:rsidR="00DE58DB" w:rsidRPr="003A58CF">
        <w:t xml:space="preserve"> </w:t>
      </w:r>
      <w:r w:rsidR="00DE58DB" w:rsidRPr="003A58CF">
        <w:rPr>
          <w:i/>
          <w:iCs/>
        </w:rPr>
        <w:t xml:space="preserve">“Attract investment in high value agriculture production and </w:t>
      </w:r>
      <w:r w:rsidR="000F65D0" w:rsidRPr="003A58CF">
        <w:rPr>
          <w:i/>
          <w:iCs/>
        </w:rPr>
        <w:t>added-</w:t>
      </w:r>
      <w:r w:rsidR="00DE58DB" w:rsidRPr="003A58CF">
        <w:rPr>
          <w:i/>
          <w:iCs/>
        </w:rPr>
        <w:t xml:space="preserve">value processing, including in intensive </w:t>
      </w:r>
      <w:r w:rsidR="004D3F04" w:rsidRPr="003A58CF">
        <w:rPr>
          <w:i/>
          <w:iCs/>
        </w:rPr>
        <w:t>agriculture-</w:t>
      </w:r>
      <w:r w:rsidR="00DE58DB" w:rsidRPr="003A58CF">
        <w:rPr>
          <w:i/>
          <w:iCs/>
        </w:rPr>
        <w:t>related industries leveraging off the region</w:t>
      </w:r>
      <w:r w:rsidR="000078DC" w:rsidRPr="003A58CF">
        <w:rPr>
          <w:i/>
          <w:iCs/>
        </w:rPr>
        <w:t>’</w:t>
      </w:r>
      <w:r w:rsidR="00DE58DB" w:rsidRPr="003A58CF">
        <w:rPr>
          <w:i/>
          <w:iCs/>
        </w:rPr>
        <w:t>s strengths of good soils, efficient</w:t>
      </w:r>
      <w:r w:rsidR="000F65D0" w:rsidRPr="003A58CF">
        <w:rPr>
          <w:i/>
          <w:iCs/>
        </w:rPr>
        <w:t>,</w:t>
      </w:r>
      <w:r w:rsidR="00DE58DB" w:rsidRPr="003A58CF">
        <w:rPr>
          <w:i/>
          <w:iCs/>
        </w:rPr>
        <w:t xml:space="preserve"> flexible farming systems and vast tracts of land to deliver new jobs and encourage efficient resource use”</w:t>
      </w:r>
      <w:r w:rsidR="004D3F04" w:rsidRPr="003A58CF">
        <w:rPr>
          <w:i/>
          <w:iCs/>
        </w:rPr>
        <w:t>.</w:t>
      </w:r>
    </w:p>
    <w:p w:rsidR="00DE58DB" w:rsidRPr="003A58CF" w:rsidRDefault="00DE58DB" w:rsidP="00854F5E">
      <w:pPr>
        <w:pStyle w:val="bt"/>
      </w:pPr>
      <w:bookmarkStart w:id="112" w:name="OLE_LINK90"/>
      <w:bookmarkStart w:id="113" w:name="OLE_LINK91"/>
      <w:r w:rsidRPr="003A58CF">
        <w:t>Agriculture provides employment and exports for the region</w:t>
      </w:r>
      <w:r w:rsidR="000F65D0" w:rsidRPr="003A58CF">
        <w:t>,</w:t>
      </w:r>
      <w:r w:rsidRPr="003A58CF">
        <w:t xml:space="preserve"> particularly for Loddon Shire. Beyond the economic significance, the continued viability of agricultural areas is critical to land and environmental management, social wellbeing for rural communities and an important aspect of </w:t>
      </w:r>
      <w:r w:rsidR="00943D8A" w:rsidRPr="003A58CF">
        <w:t xml:space="preserve">the regional </w:t>
      </w:r>
      <w:r w:rsidRPr="003A58CF">
        <w:t xml:space="preserve">landscape. With the climate and economy changing, the ability of farming communities and practices to adapt will be critical to a </w:t>
      </w:r>
      <w:r w:rsidR="007E5DCA" w:rsidRPr="003A58CF">
        <w:t>viable future</w:t>
      </w:r>
      <w:r w:rsidRPr="003A58CF">
        <w:t xml:space="preserve">. Support </w:t>
      </w:r>
      <w:r w:rsidR="00E26E2E" w:rsidRPr="003A58CF">
        <w:t xml:space="preserve">is necessary </w:t>
      </w:r>
      <w:r w:rsidRPr="003A58CF">
        <w:t xml:space="preserve">for </w:t>
      </w:r>
      <w:r w:rsidR="009F4D9E" w:rsidRPr="003A58CF">
        <w:t>farming communities to transition</w:t>
      </w:r>
      <w:r w:rsidRPr="003A58CF">
        <w:t xml:space="preserve"> from </w:t>
      </w:r>
      <w:r w:rsidR="00E26E2E" w:rsidRPr="003A58CF">
        <w:t xml:space="preserve">traditional </w:t>
      </w:r>
      <w:r w:rsidRPr="003A58CF">
        <w:t xml:space="preserve">irrigation </w:t>
      </w:r>
      <w:r w:rsidR="00E26E2E" w:rsidRPr="003A58CF">
        <w:t xml:space="preserve">practices towards </w:t>
      </w:r>
      <w:r w:rsidRPr="003A58CF">
        <w:t xml:space="preserve">investments </w:t>
      </w:r>
      <w:r w:rsidR="00E26E2E" w:rsidRPr="003A58CF">
        <w:t xml:space="preserve">in new technologies </w:t>
      </w:r>
      <w:r w:rsidRPr="003A58CF">
        <w:t>and diversification of economies</w:t>
      </w:r>
      <w:r w:rsidR="00E26E2E" w:rsidRPr="003A58CF">
        <w:t xml:space="preserve">. </w:t>
      </w:r>
      <w:r w:rsidRPr="003A58CF">
        <w:t xml:space="preserve"> </w:t>
      </w:r>
    </w:p>
    <w:p w:rsidR="00135CA1" w:rsidRPr="008E5B8A" w:rsidRDefault="0018666D" w:rsidP="008E5B8A">
      <w:pPr>
        <w:pStyle w:val="Heading4"/>
      </w:pPr>
      <w:bookmarkStart w:id="114" w:name="_Toc333305843"/>
      <w:bookmarkStart w:id="115" w:name="_Toc351459099"/>
      <w:bookmarkEnd w:id="112"/>
      <w:bookmarkEnd w:id="113"/>
      <w:r w:rsidRPr="008E5B8A">
        <w:t>Cropping and grazing</w:t>
      </w:r>
      <w:bookmarkEnd w:id="114"/>
      <w:bookmarkEnd w:id="115"/>
    </w:p>
    <w:p w:rsidR="00DE58DB" w:rsidRPr="003A58CF" w:rsidRDefault="00DE58DB" w:rsidP="00854F5E">
      <w:pPr>
        <w:pStyle w:val="bt"/>
      </w:pPr>
      <w:r w:rsidRPr="003A58CF">
        <w:t xml:space="preserve">The size, scale and products of the region vary significantly, with Loddon Shire the predominant rural production area. Productive </w:t>
      </w:r>
      <w:r w:rsidR="007E5DCA" w:rsidRPr="003A58CF">
        <w:t>dry land</w:t>
      </w:r>
      <w:r w:rsidRPr="003A58CF">
        <w:t xml:space="preserve"> farming is also a feature of</w:t>
      </w:r>
      <w:r w:rsidR="00604B2D" w:rsidRPr="003A58CF">
        <w:t xml:space="preserve"> </w:t>
      </w:r>
      <w:r w:rsidRPr="003A58CF">
        <w:t xml:space="preserve">Central Goldfields Shire. There is a range of mixed farming and grazing, </w:t>
      </w:r>
      <w:r w:rsidR="007E5DCA" w:rsidRPr="003A58CF">
        <w:t>dry land</w:t>
      </w:r>
      <w:r w:rsidRPr="003A58CF">
        <w:t xml:space="preserve"> farming and cropping on broadacre land. Generally the soil type and water availability (from irrigation networks, </w:t>
      </w:r>
      <w:r w:rsidR="00FA60B9" w:rsidRPr="003A58CF">
        <w:t xml:space="preserve">rainfall, </w:t>
      </w:r>
      <w:r w:rsidRPr="003A58CF">
        <w:t>rivers and ground</w:t>
      </w:r>
      <w:r w:rsidR="00FA60B9" w:rsidRPr="003A58CF">
        <w:t>water</w:t>
      </w:r>
      <w:r w:rsidRPr="003A58CF">
        <w:t xml:space="preserve"> supplies) enable this productivity. In the face of climate </w:t>
      </w:r>
      <w:r w:rsidR="00FA60B9" w:rsidRPr="003A58CF">
        <w:t>change</w:t>
      </w:r>
      <w:r w:rsidRPr="003A58CF">
        <w:t xml:space="preserve">, </w:t>
      </w:r>
      <w:r w:rsidR="008D01EF" w:rsidRPr="003A58CF">
        <w:t>the region may experience reduced average rainfall and stream flow, which may result in reduced availability of water for irrigated and non-irrigated enterprises and for communities. Changes in average temperatures may change the mix of industries that can be viable into the future</w:t>
      </w:r>
      <w:r w:rsidR="000F65D0" w:rsidRPr="003A58CF">
        <w:t>,</w:t>
      </w:r>
      <w:r w:rsidR="008D01EF" w:rsidRPr="003A58CF">
        <w:t xml:space="preserve"> but may also generate opportunities for some. </w:t>
      </w:r>
    </w:p>
    <w:p w:rsidR="00DE58DB" w:rsidRPr="003A58CF" w:rsidRDefault="00726BD6" w:rsidP="00854F5E">
      <w:pPr>
        <w:pStyle w:val="bt"/>
      </w:pPr>
      <w:r w:rsidRPr="003A58CF">
        <w:t>A</w:t>
      </w:r>
      <w:r w:rsidR="00DE58DB" w:rsidRPr="003A58CF">
        <w:t xml:space="preserve"> consistent regional approach to identifying strategically important agricultural land is required.</w:t>
      </w:r>
      <w:r w:rsidR="008D01EF" w:rsidRPr="003A58CF">
        <w:t xml:space="preserve"> The North Central Catchment </w:t>
      </w:r>
      <w:r w:rsidR="00325BF8" w:rsidRPr="003A58CF">
        <w:t xml:space="preserve">Management </w:t>
      </w:r>
      <w:r w:rsidR="008D01EF" w:rsidRPr="003A58CF">
        <w:t xml:space="preserve">Authority </w:t>
      </w:r>
      <w:r w:rsidR="007E5DCA" w:rsidRPr="003A58CF">
        <w:t>is</w:t>
      </w:r>
      <w:r w:rsidR="008D01EF" w:rsidRPr="003A58CF">
        <w:t xml:space="preserve"> leading the Innovative Farming Program that aims to ass</w:t>
      </w:r>
      <w:r w:rsidR="009F4D9E" w:rsidRPr="003A58CF">
        <w:t>ist</w:t>
      </w:r>
      <w:r w:rsidR="008D01EF" w:rsidRPr="003A58CF">
        <w:t xml:space="preserve"> </w:t>
      </w:r>
      <w:r w:rsidR="009F4D9E" w:rsidRPr="003A58CF">
        <w:t xml:space="preserve">farming </w:t>
      </w:r>
      <w:r w:rsidR="008D01EF" w:rsidRPr="003A58CF">
        <w:t>communities to achieve a confident and prosperous region, healthy resilient environment, sustainable profitable farming and regional growth.</w:t>
      </w:r>
      <w:r w:rsidR="00DE58DB" w:rsidRPr="003A58CF">
        <w:t xml:space="preserve"> </w:t>
      </w:r>
      <w:r w:rsidR="00142279">
        <w:t>The reformed</w:t>
      </w:r>
      <w:r w:rsidR="00DE58DB" w:rsidRPr="003A58CF">
        <w:t xml:space="preserve"> rural zones are to be applied to protect large</w:t>
      </w:r>
      <w:r w:rsidR="00E26E2E" w:rsidRPr="003A58CF">
        <w:t>-</w:t>
      </w:r>
      <w:r w:rsidR="00DE58DB" w:rsidRPr="003A58CF">
        <w:t xml:space="preserve">scale farming and focus </w:t>
      </w:r>
      <w:r w:rsidR="009F4D9E" w:rsidRPr="003A58CF">
        <w:t xml:space="preserve">any </w:t>
      </w:r>
      <w:r w:rsidR="00DE58DB" w:rsidRPr="003A58CF">
        <w:t>smaller</w:t>
      </w:r>
      <w:r w:rsidR="00604B2D" w:rsidRPr="003A58CF">
        <w:t xml:space="preserve"> </w:t>
      </w:r>
      <w:r w:rsidR="00DE58DB" w:rsidRPr="003A58CF">
        <w:t xml:space="preserve">rural lot development </w:t>
      </w:r>
      <w:r w:rsidR="009F4D9E" w:rsidRPr="003A58CF">
        <w:t xml:space="preserve">only </w:t>
      </w:r>
      <w:r w:rsidR="00DE58DB" w:rsidRPr="003A58CF">
        <w:t>to strategically low value land</w:t>
      </w:r>
      <w:r w:rsidR="009F4D9E" w:rsidRPr="003A58CF">
        <w:t>.</w:t>
      </w:r>
      <w:r w:rsidR="00DE58DB" w:rsidRPr="003A58CF">
        <w:t xml:space="preserve"> </w:t>
      </w:r>
    </w:p>
    <w:p w:rsidR="00135CA1" w:rsidRPr="003A58CF" w:rsidRDefault="0018666D" w:rsidP="008E5B8A">
      <w:pPr>
        <w:pStyle w:val="Heading4"/>
      </w:pPr>
      <w:bookmarkStart w:id="116" w:name="_Toc333305844"/>
      <w:bookmarkStart w:id="117" w:name="_Toc351459100"/>
      <w:r w:rsidRPr="003A58CF">
        <w:lastRenderedPageBreak/>
        <w:t xml:space="preserve">Intensive </w:t>
      </w:r>
      <w:bookmarkEnd w:id="116"/>
      <w:r w:rsidRPr="003A58CF">
        <w:t>agriculture</w:t>
      </w:r>
      <w:bookmarkEnd w:id="117"/>
    </w:p>
    <w:p w:rsidR="00DE58DB" w:rsidRPr="00D3321E" w:rsidRDefault="00142279" w:rsidP="00D3321E">
      <w:pPr>
        <w:pStyle w:val="bt"/>
      </w:pPr>
      <w:r w:rsidRPr="00D3321E">
        <w:rPr>
          <w:rStyle w:val="QuoteChar"/>
          <w:rFonts w:cs="Calibri"/>
          <w:i w:val="0"/>
          <w:iCs w:val="0"/>
          <w:color w:val="auto"/>
          <w:szCs w:val="22"/>
        </w:rPr>
        <w:t xml:space="preserve">As discussed in the Loddon Shire Rural Zones Review (2012): </w:t>
      </w:r>
      <w:r w:rsidR="00DE58DB" w:rsidRPr="00D3321E">
        <w:rPr>
          <w:rStyle w:val="QuoteChar"/>
          <w:rFonts w:cs="Calibri"/>
          <w:i w:val="0"/>
          <w:iCs w:val="0"/>
          <w:color w:val="auto"/>
          <w:szCs w:val="22"/>
        </w:rPr>
        <w:t>“Intensive agriculture refers to production systems that require high capital inputs in terms of buildings, storage and infrastructure. Examples are poultry and egg production, piggeries, dairy farming and some types of horticulture</w:t>
      </w:r>
      <w:r w:rsidR="00324B94" w:rsidRPr="00D3321E">
        <w:rPr>
          <w:rStyle w:val="Style"/>
          <w:rFonts w:ascii="Calibri" w:hAnsi="Calibri" w:cs="Calibri"/>
          <w:szCs w:val="22"/>
          <w:vertAlign w:val="baseline"/>
        </w:rPr>
        <w:footnoteReference w:id="10"/>
      </w:r>
      <w:r w:rsidR="003C5E97" w:rsidRPr="00D3321E">
        <w:rPr>
          <w:rStyle w:val="QuoteChar"/>
          <w:rFonts w:cs="Calibri"/>
          <w:i w:val="0"/>
          <w:iCs w:val="0"/>
          <w:color w:val="auto"/>
          <w:szCs w:val="22"/>
        </w:rPr>
        <w:t>.</w:t>
      </w:r>
      <w:r w:rsidR="00DE58DB" w:rsidRPr="00D3321E">
        <w:rPr>
          <w:rStyle w:val="QuoteChar"/>
          <w:rFonts w:cs="Calibri"/>
          <w:i w:val="0"/>
          <w:iCs w:val="0"/>
          <w:color w:val="auto"/>
          <w:szCs w:val="22"/>
        </w:rPr>
        <w:t>”</w:t>
      </w:r>
      <w:r w:rsidR="00DE58DB" w:rsidRPr="00D3321E">
        <w:t xml:space="preserve"> Feed needs to be brought in as stocking rates are higher than can be fed on acreage, requiring transport access and movements. </w:t>
      </w:r>
    </w:p>
    <w:p w:rsidR="00DE58DB" w:rsidRPr="00D3321E" w:rsidRDefault="00DE58DB" w:rsidP="00D3321E">
      <w:pPr>
        <w:pStyle w:val="bt"/>
      </w:pPr>
      <w:r w:rsidRPr="00D3321E">
        <w:t xml:space="preserve">Within the region the most common forms of intensive agriculture are broiler farms, egg production and piggeries. </w:t>
      </w:r>
      <w:r w:rsidR="00E26E2E" w:rsidRPr="00D3321E">
        <w:t>F</w:t>
      </w:r>
      <w:r w:rsidRPr="00D3321E">
        <w:t xml:space="preserve">uture expansion of these industries is sought with strong links to other emerging strengths in </w:t>
      </w:r>
      <w:r w:rsidR="00324B94" w:rsidRPr="00D3321E">
        <w:br/>
      </w:r>
      <w:r w:rsidRPr="00D3321E">
        <w:t>food processing and freight</w:t>
      </w:r>
      <w:r w:rsidR="00E26E2E" w:rsidRPr="00D3321E">
        <w:t>-</w:t>
      </w:r>
      <w:r w:rsidRPr="00D3321E">
        <w:t xml:space="preserve">related industries. </w:t>
      </w:r>
    </w:p>
    <w:p w:rsidR="00694846" w:rsidRPr="00D3321E" w:rsidRDefault="00DE58DB" w:rsidP="00D3321E">
      <w:pPr>
        <w:pStyle w:val="bt"/>
      </w:pPr>
      <w:r w:rsidRPr="00D3321E">
        <w:t xml:space="preserve">Areas most suited for further development of these industries are in the north and west of the region where there are large farms with appropriate separation distances for biosecurity and amenity protection. While intensive agriculture is encouraged in these areas, this does not prevent these industries exploring other locational opportunities where appropriate separation distances can be achieved. These industries need to be located with access to water and electricity infrastructure and proximity to processing facilities and markets. Planning for the establishment and expansion of these industries needs to occur in a manner consistent with orderly and proper planning and protection of the environment. </w:t>
      </w:r>
    </w:p>
    <w:p w:rsidR="00135CA1" w:rsidRPr="003A58CF" w:rsidRDefault="0018666D" w:rsidP="008E5B8A">
      <w:pPr>
        <w:pStyle w:val="Heading4"/>
      </w:pPr>
      <w:bookmarkStart w:id="118" w:name="_Toc333305845"/>
      <w:bookmarkStart w:id="119" w:name="_Toc351459101"/>
      <w:r w:rsidRPr="003A58CF">
        <w:t>Equine industry</w:t>
      </w:r>
      <w:bookmarkEnd w:id="118"/>
      <w:bookmarkEnd w:id="119"/>
      <w:r w:rsidRPr="003A58CF">
        <w:t xml:space="preserve"> </w:t>
      </w:r>
    </w:p>
    <w:p w:rsidR="00DE58DB" w:rsidRPr="00D3321E" w:rsidRDefault="00DE58DB" w:rsidP="00D3321E">
      <w:pPr>
        <w:pStyle w:val="bt"/>
      </w:pPr>
      <w:r w:rsidRPr="00D3321E">
        <w:t xml:space="preserve">The equine industry is an important existing and emerging sector in the region. Currently most prominent in the Macedon Ranges </w:t>
      </w:r>
      <w:r w:rsidRPr="00D3321E">
        <w:rPr>
          <w:rStyle w:val="QuoteChar"/>
          <w:rFonts w:cs="Calibri"/>
          <w:i w:val="0"/>
          <w:iCs w:val="0"/>
          <w:color w:val="auto"/>
          <w:szCs w:val="22"/>
        </w:rPr>
        <w:t>“the horse forms a large part of the local economy from the breeders to the support industries such as vets, farriers, dentists, trainers and instructors, suppliers and manufacturers of horse</w:t>
      </w:r>
      <w:r w:rsidR="00CB2E1D" w:rsidRPr="00D3321E">
        <w:rPr>
          <w:rStyle w:val="QuoteChar"/>
          <w:rFonts w:cs="Calibri"/>
          <w:i w:val="0"/>
          <w:iCs w:val="0"/>
          <w:color w:val="auto"/>
          <w:szCs w:val="22"/>
        </w:rPr>
        <w:t>-</w:t>
      </w:r>
      <w:r w:rsidRPr="00D3321E">
        <w:rPr>
          <w:rStyle w:val="QuoteChar"/>
          <w:rFonts w:cs="Calibri"/>
          <w:i w:val="0"/>
          <w:iCs w:val="0"/>
          <w:color w:val="auto"/>
          <w:szCs w:val="22"/>
        </w:rPr>
        <w:t>related products as well as fencing and other horse property building and maintenance</w:t>
      </w:r>
      <w:r w:rsidR="00AC654C" w:rsidRPr="00D3321E">
        <w:rPr>
          <w:rStyle w:val="FootnoteReference"/>
          <w:rFonts w:cs="Calibri"/>
          <w:szCs w:val="22"/>
          <w:vertAlign w:val="baseline"/>
        </w:rPr>
        <w:footnoteReference w:id="11"/>
      </w:r>
      <w:r w:rsidRPr="00D3321E">
        <w:rPr>
          <w:rStyle w:val="QuoteChar"/>
          <w:rFonts w:cs="Calibri"/>
          <w:i w:val="0"/>
          <w:iCs w:val="0"/>
          <w:color w:val="auto"/>
          <w:szCs w:val="22"/>
        </w:rPr>
        <w:t>.”</w:t>
      </w:r>
      <w:r w:rsidRPr="00D3321E">
        <w:t xml:space="preserve"> The industry also contributes to the community through its recreational activities such as pony and adult riding clubs,</w:t>
      </w:r>
      <w:r w:rsidR="009F4D9E" w:rsidRPr="00D3321E">
        <w:t xml:space="preserve"> riding for the disabled,</w:t>
      </w:r>
      <w:r w:rsidRPr="00D3321E">
        <w:t xml:space="preserve"> trail riding clubs, dressage clubs and local competitions and training.</w:t>
      </w:r>
    </w:p>
    <w:p w:rsidR="00DE58DB" w:rsidRPr="00D3321E" w:rsidRDefault="00DE58DB" w:rsidP="00D3321E">
      <w:pPr>
        <w:pStyle w:val="bt"/>
      </w:pPr>
      <w:r w:rsidRPr="00D3321E">
        <w:t>There are links to other equine</w:t>
      </w:r>
      <w:r w:rsidR="00CB2E1D" w:rsidRPr="00D3321E">
        <w:t>-</w:t>
      </w:r>
      <w:r w:rsidRPr="00D3321E">
        <w:t>related businesses in Bendigo, and further opportunities to develop the industry in the Central Goldfields region</w:t>
      </w:r>
      <w:r w:rsidR="00CB2E1D" w:rsidRPr="00D3321E">
        <w:t>,</w:t>
      </w:r>
      <w:r w:rsidRPr="00D3321E">
        <w:t xml:space="preserve"> </w:t>
      </w:r>
      <w:r w:rsidR="00F34646" w:rsidRPr="00D3321E">
        <w:t xml:space="preserve">leveraging </w:t>
      </w:r>
      <w:r w:rsidRPr="00D3321E">
        <w:t>from the existing racing facilities.</w:t>
      </w:r>
      <w:r w:rsidR="00CB2E1D" w:rsidRPr="00D3321E">
        <w:t xml:space="preserve"> </w:t>
      </w:r>
      <w:r w:rsidRPr="00D3321E">
        <w:t xml:space="preserve">A key to further developing the equine industry is applying zones or nominating precincts in suitable locations </w:t>
      </w:r>
      <w:r w:rsidR="00CB2E1D" w:rsidRPr="00D3321E">
        <w:t xml:space="preserve">that </w:t>
      </w:r>
      <w:r w:rsidRPr="00D3321E">
        <w:t xml:space="preserve">allow for the optimum operations of equine activities. </w:t>
      </w:r>
    </w:p>
    <w:p w:rsidR="00135CA1" w:rsidRPr="003A58CF" w:rsidRDefault="0018666D" w:rsidP="008E5B8A">
      <w:pPr>
        <w:pStyle w:val="Heading4"/>
      </w:pPr>
      <w:bookmarkStart w:id="120" w:name="_Toc333305846"/>
      <w:bookmarkStart w:id="121" w:name="_Toc351459102"/>
      <w:r w:rsidRPr="003A58CF">
        <w:t>Orchards, vineyards, groves and plantations</w:t>
      </w:r>
      <w:bookmarkEnd w:id="120"/>
      <w:bookmarkEnd w:id="121"/>
    </w:p>
    <w:p w:rsidR="00DE58DB" w:rsidRPr="003A58CF" w:rsidRDefault="00DE58DB" w:rsidP="00854F5E">
      <w:pPr>
        <w:pStyle w:val="bt"/>
      </w:pPr>
      <w:r w:rsidRPr="003A58CF">
        <w:t xml:space="preserve">There are existing highly productive and emerging boutique industries throughout the region including vineyards, </w:t>
      </w:r>
      <w:r w:rsidR="00CB2E1D" w:rsidRPr="003A58CF">
        <w:t xml:space="preserve">olive </w:t>
      </w:r>
      <w:r w:rsidRPr="003A58CF">
        <w:t xml:space="preserve">groves and orchards mostly on medium or smaller farming allotments. </w:t>
      </w:r>
      <w:r w:rsidR="00726BD6" w:rsidRPr="003A58CF">
        <w:t>A</w:t>
      </w:r>
      <w:r w:rsidRPr="003A58CF">
        <w:t xml:space="preserve"> variety of compl</w:t>
      </w:r>
      <w:r w:rsidR="00AD6BC6" w:rsidRPr="003A58CF">
        <w:t>e</w:t>
      </w:r>
      <w:r w:rsidRPr="003A58CF">
        <w:t xml:space="preserve">mentary activities can be associated with these businesses, from </w:t>
      </w:r>
      <w:r w:rsidR="00241EC4" w:rsidRPr="003A58CF">
        <w:t>farm-</w:t>
      </w:r>
      <w:r w:rsidRPr="003A58CF">
        <w:t>gate sales to wine tasting and events. In many cases, these rural uses are linked to the region’s tourism potential</w:t>
      </w:r>
      <w:r w:rsidR="009F4D9E" w:rsidRPr="003A58CF">
        <w:t xml:space="preserve">, </w:t>
      </w:r>
      <w:r w:rsidR="00AD6BC6" w:rsidRPr="003A58CF">
        <w:t>for example</w:t>
      </w:r>
      <w:r w:rsidR="009F4D9E" w:rsidRPr="003A58CF">
        <w:t>,</w:t>
      </w:r>
      <w:r w:rsidR="00CB2E1D" w:rsidRPr="003A58CF">
        <w:t xml:space="preserve"> </w:t>
      </w:r>
      <w:r w:rsidRPr="003A58CF">
        <w:t>the food and wine trails and farmers</w:t>
      </w:r>
      <w:r w:rsidR="00CB2E1D" w:rsidRPr="003A58CF">
        <w:t>’</w:t>
      </w:r>
      <w:r w:rsidRPr="003A58CF">
        <w:t xml:space="preserve"> markets that exist in the region.  </w:t>
      </w:r>
    </w:p>
    <w:p w:rsidR="00FA60B9" w:rsidRPr="003A58CF" w:rsidRDefault="00FA60B9" w:rsidP="00854F5E">
      <w:pPr>
        <w:pStyle w:val="bt"/>
      </w:pPr>
      <w:r w:rsidRPr="003A58CF">
        <w:t xml:space="preserve">One of the world’s largest single estate olive groves is located near Boort, and includes an on-site </w:t>
      </w:r>
      <w:r w:rsidR="00AD6BC6" w:rsidRPr="003A58CF">
        <w:t xml:space="preserve">olive </w:t>
      </w:r>
      <w:r w:rsidRPr="003A58CF">
        <w:t>processing plant to make premium extra virgin olive oil.</w:t>
      </w:r>
    </w:p>
    <w:p w:rsidR="00DE58DB" w:rsidRPr="003A58CF" w:rsidRDefault="00DE58DB" w:rsidP="00854F5E">
      <w:pPr>
        <w:pStyle w:val="bt"/>
      </w:pPr>
      <w:r w:rsidRPr="003A58CF">
        <w:t xml:space="preserve">There is opportunity to develop regional agribusiness and agritourism strategies. Identification of appropriate clusters and locations needs to </w:t>
      </w:r>
      <w:r w:rsidR="00615CF6" w:rsidRPr="003A58CF">
        <w:t>occur</w:t>
      </w:r>
      <w:r w:rsidRPr="003A58CF">
        <w:t xml:space="preserve"> combined with appropriate rural zones that allow for additional compl</w:t>
      </w:r>
      <w:r w:rsidR="00625369" w:rsidRPr="003A58CF">
        <w:t>e</w:t>
      </w:r>
      <w:r w:rsidRPr="003A58CF">
        <w:t xml:space="preserve">mentary uses to be developed.  </w:t>
      </w:r>
    </w:p>
    <w:p w:rsidR="00135CA1" w:rsidRPr="003A58CF" w:rsidRDefault="0018666D" w:rsidP="008E5B8A">
      <w:pPr>
        <w:pStyle w:val="Heading4"/>
      </w:pPr>
      <w:bookmarkStart w:id="122" w:name="_Toc351459103"/>
      <w:r w:rsidRPr="003A58CF">
        <w:lastRenderedPageBreak/>
        <w:t>Rural small lot development</w:t>
      </w:r>
      <w:bookmarkEnd w:id="122"/>
      <w:r w:rsidRPr="003A58CF">
        <w:t xml:space="preserve"> </w:t>
      </w:r>
    </w:p>
    <w:p w:rsidR="00FF163A" w:rsidRPr="003A58CF" w:rsidRDefault="00DE58DB" w:rsidP="00854F5E">
      <w:pPr>
        <w:pStyle w:val="bt"/>
      </w:pPr>
      <w:r w:rsidRPr="003A58CF">
        <w:t>There is ongoing pressure to provide for small lot rural living development within the region. The intensity of this pressure, the justification for the use and development of such lots and housing, and the demand and supply of rural living land varies significantly across the region. In some locations, smaller lots already exist</w:t>
      </w:r>
      <w:r w:rsidR="00CB2E1D" w:rsidRPr="003A58CF">
        <w:t xml:space="preserve"> but </w:t>
      </w:r>
      <w:r w:rsidRPr="003A58CF">
        <w:t xml:space="preserve">have been restricted </w:t>
      </w:r>
      <w:r w:rsidR="00CB2E1D" w:rsidRPr="003A58CF">
        <w:t xml:space="preserve">for the </w:t>
      </w:r>
      <w:r w:rsidRPr="003A58CF">
        <w:t>constructi</w:t>
      </w:r>
      <w:r w:rsidR="00CB2E1D" w:rsidRPr="003A58CF">
        <w:t xml:space="preserve">on of </w:t>
      </w:r>
      <w:r w:rsidRPr="003A58CF">
        <w:t xml:space="preserve">dwellings, </w:t>
      </w:r>
      <w:r w:rsidR="00241EC4" w:rsidRPr="003A58CF">
        <w:t xml:space="preserve">while </w:t>
      </w:r>
      <w:r w:rsidRPr="003A58CF">
        <w:t xml:space="preserve">in other locations there is pressure to establish smaller lots from larger productive agricultural land holdings. </w:t>
      </w:r>
    </w:p>
    <w:p w:rsidR="00F34646" w:rsidRDefault="00FF163A" w:rsidP="00854F5E">
      <w:pPr>
        <w:pStyle w:val="bt"/>
      </w:pPr>
      <w:r w:rsidRPr="003A58CF">
        <w:t xml:space="preserve">While </w:t>
      </w:r>
      <w:r w:rsidR="00DE58DB" w:rsidRPr="003A58CF">
        <w:t xml:space="preserve">these proposals </w:t>
      </w:r>
      <w:r w:rsidR="00CB2E1D" w:rsidRPr="003A58CF">
        <w:t xml:space="preserve">should </w:t>
      </w:r>
      <w:r w:rsidR="00DE58DB" w:rsidRPr="003A58CF">
        <w:t>be dealt with on a case</w:t>
      </w:r>
      <w:r w:rsidR="00CB2E1D" w:rsidRPr="003A58CF">
        <w:t>-</w:t>
      </w:r>
      <w:r w:rsidR="00DE58DB" w:rsidRPr="003A58CF">
        <w:t>by</w:t>
      </w:r>
      <w:r w:rsidR="00CB2E1D" w:rsidRPr="003A58CF">
        <w:t>-</w:t>
      </w:r>
      <w:r w:rsidR="00DE58DB" w:rsidRPr="003A58CF">
        <w:t xml:space="preserve">case </w:t>
      </w:r>
      <w:r w:rsidR="00CB2E1D" w:rsidRPr="003A58CF">
        <w:t xml:space="preserve">basis at a </w:t>
      </w:r>
      <w:r w:rsidR="00DE58DB" w:rsidRPr="003A58CF">
        <w:t>local level, the development of a regional approach to small lot development would assist and support decision</w:t>
      </w:r>
      <w:r w:rsidR="00241EC4" w:rsidRPr="003A58CF">
        <w:t xml:space="preserve"> </w:t>
      </w:r>
      <w:r w:rsidR="00DE58DB" w:rsidRPr="003A58CF">
        <w:t>making. This approach would be informed by the classification of strategically important land</w:t>
      </w:r>
      <w:r w:rsidR="00FA60B9" w:rsidRPr="003A58CF">
        <w:t xml:space="preserve"> and the appropriateness of development within</w:t>
      </w:r>
      <w:r w:rsidR="00B8753A" w:rsidRPr="003A58CF">
        <w:t xml:space="preserve"> de</w:t>
      </w:r>
      <w:r w:rsidR="00A84F4E" w:rsidRPr="003A58CF">
        <w:t>c</w:t>
      </w:r>
      <w:r w:rsidR="00B8753A" w:rsidRPr="003A58CF">
        <w:t>l</w:t>
      </w:r>
      <w:r w:rsidR="00A84F4E" w:rsidRPr="003A58CF">
        <w:t>a</w:t>
      </w:r>
      <w:r w:rsidR="00B8753A" w:rsidRPr="003A58CF">
        <w:t>red</w:t>
      </w:r>
      <w:r w:rsidR="00FA60B9" w:rsidRPr="003A58CF">
        <w:t xml:space="preserve"> water supply catchments</w:t>
      </w:r>
      <w:r w:rsidR="00DE58DB" w:rsidRPr="003A58CF">
        <w:t xml:space="preserve">. </w:t>
      </w:r>
    </w:p>
    <w:p w:rsidR="00F34646" w:rsidRDefault="00DE58DB" w:rsidP="00854F5E">
      <w:pPr>
        <w:pStyle w:val="bt"/>
      </w:pPr>
      <w:r w:rsidRPr="003A58CF">
        <w:t>Smaller lot development should be located to</w:t>
      </w:r>
      <w:r w:rsidR="00F34646">
        <w:t>:</w:t>
      </w:r>
    </w:p>
    <w:p w:rsidR="00F34646" w:rsidRDefault="00B8753A" w:rsidP="007A2D19">
      <w:pPr>
        <w:pStyle w:val="btbullet"/>
      </w:pPr>
      <w:r w:rsidRPr="003A58CF">
        <w:t>integrate with existing urban areas</w:t>
      </w:r>
    </w:p>
    <w:p w:rsidR="00F34646" w:rsidRDefault="00DE58DB" w:rsidP="007A2D19">
      <w:pPr>
        <w:pStyle w:val="btbullet"/>
      </w:pPr>
      <w:r w:rsidRPr="003A58CF">
        <w:t>avoid</w:t>
      </w:r>
      <w:r w:rsidR="004232C7" w:rsidRPr="003A58CF">
        <w:t xml:space="preserve"> or </w:t>
      </w:r>
      <w:r w:rsidR="00F2577D" w:rsidRPr="003A58CF">
        <w:t>complement</w:t>
      </w:r>
      <w:r w:rsidRPr="003A58CF">
        <w:t xml:space="preserve"> strategically important, highly productive agricultural land</w:t>
      </w:r>
      <w:r w:rsidR="00896984" w:rsidRPr="003A58CF">
        <w:t xml:space="preserve">, </w:t>
      </w:r>
      <w:r w:rsidR="0069480B" w:rsidRPr="003A58CF">
        <w:t>natural resources</w:t>
      </w:r>
      <w:r w:rsidR="00FA60B9" w:rsidRPr="003A58CF">
        <w:t>, significant natural hazards</w:t>
      </w:r>
      <w:r w:rsidR="00B8753A" w:rsidRPr="003A58CF">
        <w:t xml:space="preserve"> (especially bushfire), significant landscapes, environmental and cultural heritage assets</w:t>
      </w:r>
    </w:p>
    <w:p w:rsidR="00694846" w:rsidRPr="003A58CF" w:rsidRDefault="00777746" w:rsidP="007A2D19">
      <w:pPr>
        <w:pStyle w:val="btbullet"/>
      </w:pPr>
      <w:r>
        <w:t>a</w:t>
      </w:r>
      <w:r w:rsidR="00F34646">
        <w:t>ssist to achieve</w:t>
      </w:r>
      <w:r w:rsidR="00DE58DB" w:rsidRPr="003A58CF">
        <w:t xml:space="preserve"> better land use management outcomes. </w:t>
      </w:r>
    </w:p>
    <w:p w:rsidR="00694846" w:rsidRPr="008E5B8A" w:rsidRDefault="00694846" w:rsidP="008E5B8A">
      <w:pPr>
        <w:pStyle w:val="Heading4"/>
        <w:rPr>
          <w:rStyle w:val="Strong"/>
          <w:b/>
          <w:bCs/>
        </w:rPr>
      </w:pPr>
      <w:r w:rsidRPr="008E5B8A">
        <w:rPr>
          <w:rStyle w:val="Strong"/>
          <w:b/>
          <w:bCs/>
        </w:rPr>
        <w:t xml:space="preserve">Future </w:t>
      </w:r>
      <w:r w:rsidR="00241EC4" w:rsidRPr="008E5B8A">
        <w:rPr>
          <w:rStyle w:val="Strong"/>
          <w:b/>
          <w:bCs/>
        </w:rPr>
        <w:t>rura</w:t>
      </w:r>
      <w:r w:rsidR="008607C8" w:rsidRPr="008E5B8A">
        <w:rPr>
          <w:rStyle w:val="Strong"/>
          <w:b/>
          <w:bCs/>
        </w:rPr>
        <w:t xml:space="preserve">l and </w:t>
      </w:r>
      <w:r w:rsidR="00241EC4" w:rsidRPr="008E5B8A">
        <w:rPr>
          <w:rStyle w:val="Strong"/>
          <w:b/>
          <w:bCs/>
        </w:rPr>
        <w:t>agricultural land use actions</w:t>
      </w:r>
    </w:p>
    <w:p w:rsidR="00135CA1" w:rsidRPr="003A58CF" w:rsidRDefault="0018666D" w:rsidP="007A2D19">
      <w:pPr>
        <w:pStyle w:val="btbullet"/>
      </w:pPr>
      <w:bookmarkStart w:id="123" w:name="OLE_LINK12"/>
      <w:bookmarkStart w:id="124" w:name="OLE_LINK13"/>
      <w:bookmarkStart w:id="125" w:name="OLE_LINK3"/>
      <w:bookmarkStart w:id="126" w:name="OLE_LINK4"/>
      <w:r w:rsidRPr="003A58CF">
        <w:t>Support agricultural activity through management of land use conflicts and appropriate land use strategies</w:t>
      </w:r>
    </w:p>
    <w:p w:rsidR="00135CA1" w:rsidRPr="003A58CF" w:rsidRDefault="0018666D" w:rsidP="007A2D19">
      <w:pPr>
        <w:pStyle w:val="btbullet"/>
      </w:pPr>
      <w:r w:rsidRPr="003A58CF">
        <w:t>Identify emerging agribusinesses and location clusters including the equine industry, and intensive animal industries such as cattle feed lots, piggeries and poultry farms</w:t>
      </w:r>
    </w:p>
    <w:p w:rsidR="00135CA1" w:rsidRPr="003A58CF" w:rsidRDefault="0018666D" w:rsidP="007A2D19">
      <w:pPr>
        <w:pStyle w:val="btbullet"/>
      </w:pPr>
      <w:r w:rsidRPr="003A58CF">
        <w:t>Identify agribusiness and tourism clusters in the region</w:t>
      </w:r>
      <w:r w:rsidR="00FF163A" w:rsidRPr="003A58CF">
        <w:t xml:space="preserve"> and i</w:t>
      </w:r>
      <w:r w:rsidRPr="003A58CF">
        <w:t>mplement appropriate land use measures to facilitate agricultural tourism activities</w:t>
      </w:r>
      <w:r w:rsidR="00FF163A" w:rsidRPr="003A58CF">
        <w:t xml:space="preserve"> through the application of </w:t>
      </w:r>
      <w:r w:rsidR="00F34646">
        <w:t>the reformed</w:t>
      </w:r>
      <w:r w:rsidR="00F34646" w:rsidRPr="003A58CF">
        <w:t xml:space="preserve"> </w:t>
      </w:r>
      <w:r w:rsidR="00FF163A" w:rsidRPr="003A58CF">
        <w:t>zones</w:t>
      </w:r>
    </w:p>
    <w:p w:rsidR="00135CA1" w:rsidRPr="003A58CF" w:rsidRDefault="0018666D" w:rsidP="007A2D19">
      <w:pPr>
        <w:pStyle w:val="btbullet"/>
      </w:pPr>
      <w:r w:rsidRPr="003A58CF">
        <w:t xml:space="preserve">Develop a regional approach to small lot development using </w:t>
      </w:r>
      <w:r w:rsidR="00F34646">
        <w:t>the reformed</w:t>
      </w:r>
      <w:r w:rsidR="00F34646" w:rsidRPr="003A58CF">
        <w:t xml:space="preserve"> </w:t>
      </w:r>
      <w:r w:rsidRPr="003A58CF">
        <w:t>rural zones implementation</w:t>
      </w:r>
    </w:p>
    <w:p w:rsidR="00135CA1" w:rsidRPr="003A58CF" w:rsidRDefault="0018666D" w:rsidP="007A2D19">
      <w:pPr>
        <w:pStyle w:val="btbullet"/>
      </w:pPr>
      <w:r w:rsidRPr="003A58CF">
        <w:t xml:space="preserve">Develop a consistent regional approach </w:t>
      </w:r>
      <w:r w:rsidR="00FF163A" w:rsidRPr="003A58CF">
        <w:t>to identify</w:t>
      </w:r>
      <w:r w:rsidRPr="003A58CF">
        <w:t xml:space="preserve"> strategically important agricultural land, land use clusters and links to processing</w:t>
      </w:r>
      <w:r w:rsidR="008607C8" w:rsidRPr="003A58CF">
        <w:t xml:space="preserve">, </w:t>
      </w:r>
      <w:r w:rsidRPr="003A58CF">
        <w:t>manufacturing and freight opportunities in the region through a combined food, freight and energy strategy for the region</w:t>
      </w:r>
    </w:p>
    <w:p w:rsidR="00135CA1" w:rsidRPr="003A58CF" w:rsidRDefault="0018666D" w:rsidP="007A2D19">
      <w:pPr>
        <w:pStyle w:val="btbullet"/>
      </w:pPr>
      <w:r w:rsidRPr="003A58CF">
        <w:t>Support the increased efficiency of irrigated agriculture</w:t>
      </w:r>
    </w:p>
    <w:p w:rsidR="00135CA1" w:rsidRPr="003A58CF" w:rsidRDefault="0018666D" w:rsidP="007A2D19">
      <w:pPr>
        <w:pStyle w:val="btbullet"/>
      </w:pPr>
      <w:bookmarkStart w:id="127" w:name="OLE_LINK18"/>
      <w:bookmarkStart w:id="128" w:name="OLE_LINK19"/>
      <w:bookmarkEnd w:id="123"/>
      <w:bookmarkEnd w:id="124"/>
      <w:r w:rsidRPr="003A58CF">
        <w:t xml:space="preserve">Work cooperatively with catchment management authorities to develop a </w:t>
      </w:r>
      <w:r w:rsidR="008607C8" w:rsidRPr="003A58CF">
        <w:t>c</w:t>
      </w:r>
      <w:r w:rsidRPr="003A58CF">
        <w:t xml:space="preserve">arbon </w:t>
      </w:r>
      <w:r w:rsidR="008607C8" w:rsidRPr="003A58CF">
        <w:t>a</w:t>
      </w:r>
      <w:r w:rsidRPr="003A58CF">
        <w:t xml:space="preserve">ction </w:t>
      </w:r>
      <w:r w:rsidR="008607C8" w:rsidRPr="003A58CF">
        <w:t>p</w:t>
      </w:r>
      <w:r w:rsidRPr="003A58CF">
        <w:t>lan</w:t>
      </w:r>
      <w:bookmarkEnd w:id="127"/>
      <w:bookmarkEnd w:id="128"/>
    </w:p>
    <w:p w:rsidR="00E635CC" w:rsidRPr="001514AA" w:rsidRDefault="000B3093" w:rsidP="001514AA">
      <w:pPr>
        <w:pStyle w:val="bt"/>
      </w:pPr>
      <w:bookmarkStart w:id="129" w:name="_Toc373757227"/>
      <w:bookmarkEnd w:id="125"/>
      <w:bookmarkEnd w:id="126"/>
      <w:r w:rsidRPr="001514AA">
        <w:t xml:space="preserve">Map </w:t>
      </w:r>
      <w:r w:rsidR="00993A78">
        <w:t xml:space="preserve">7 </w:t>
      </w:r>
      <w:r w:rsidR="001514AA" w:rsidRPr="001514AA">
        <w:t xml:space="preserve">is located here in the document and it shows - </w:t>
      </w:r>
      <w:r w:rsidRPr="001514AA">
        <w:t>Future rural land use directions</w:t>
      </w:r>
      <w:bookmarkEnd w:id="129"/>
    </w:p>
    <w:p w:rsidR="00135CA1" w:rsidRPr="003A58CF" w:rsidRDefault="00DE58DB" w:rsidP="008E5B8A">
      <w:pPr>
        <w:pStyle w:val="Heading11"/>
      </w:pPr>
      <w:bookmarkStart w:id="130" w:name="_Toc336871224"/>
      <w:bookmarkStart w:id="131" w:name="_Toc377026337"/>
      <w:r w:rsidRPr="003A58CF">
        <w:t xml:space="preserve">Environment and </w:t>
      </w:r>
      <w:bookmarkEnd w:id="130"/>
      <w:r w:rsidR="00F0382F" w:rsidRPr="003A58CF">
        <w:t>h</w:t>
      </w:r>
      <w:r w:rsidRPr="003A58CF">
        <w:t>eritage</w:t>
      </w:r>
      <w:bookmarkEnd w:id="131"/>
    </w:p>
    <w:p w:rsidR="00135CA1" w:rsidRPr="008E5B8A" w:rsidRDefault="0043085B" w:rsidP="008E5B8A">
      <w:pPr>
        <w:pStyle w:val="Heading4"/>
        <w:rPr>
          <w:rStyle w:val="Strong"/>
          <w:b/>
          <w:bCs/>
        </w:rPr>
      </w:pPr>
      <w:r w:rsidRPr="008E5B8A">
        <w:rPr>
          <w:rStyle w:val="Strong"/>
          <w:b/>
          <w:bCs/>
        </w:rPr>
        <w:t xml:space="preserve">Future directions </w:t>
      </w:r>
    </w:p>
    <w:p w:rsidR="00135CA1" w:rsidRPr="003A58CF" w:rsidRDefault="00DE58DB" w:rsidP="00025EF8">
      <w:pPr>
        <w:pStyle w:val="btbullet"/>
      </w:pPr>
      <w:bookmarkStart w:id="132" w:name="OLE_LINK70"/>
      <w:bookmarkStart w:id="133" w:name="OLE_LINK71"/>
      <w:bookmarkStart w:id="134" w:name="OLE_LINK100"/>
      <w:bookmarkStart w:id="135" w:name="OLE_LINK161"/>
      <w:r w:rsidRPr="003A58CF">
        <w:t>Protect and improve the condition of the region’s important environmental assets such as the forests</w:t>
      </w:r>
      <w:r w:rsidR="0063085A" w:rsidRPr="003A58CF">
        <w:t>, wetlands and rivers</w:t>
      </w:r>
    </w:p>
    <w:p w:rsidR="00135CA1" w:rsidRPr="003A58CF" w:rsidRDefault="00DE58DB" w:rsidP="00025EF8">
      <w:pPr>
        <w:pStyle w:val="btbullet"/>
      </w:pPr>
      <w:r w:rsidRPr="003A58CF">
        <w:t>Protect identified visually important landscapes and cultural and built heritage places</w:t>
      </w:r>
    </w:p>
    <w:p w:rsidR="00135CA1" w:rsidRPr="003A58CF" w:rsidRDefault="00DE58DB" w:rsidP="00025EF8">
      <w:pPr>
        <w:pStyle w:val="btbullet"/>
      </w:pPr>
      <w:r w:rsidRPr="003A58CF">
        <w:t xml:space="preserve">Plan for settlement growth </w:t>
      </w:r>
      <w:r w:rsidR="00FA60B9" w:rsidRPr="003A58CF">
        <w:t xml:space="preserve">to occur </w:t>
      </w:r>
      <w:r w:rsidRPr="003A58CF">
        <w:t xml:space="preserve">in locations </w:t>
      </w:r>
      <w:r w:rsidR="00FA60B9" w:rsidRPr="003A58CF">
        <w:t xml:space="preserve">that avoid areas of high risk from natural hazards such as </w:t>
      </w:r>
      <w:r w:rsidR="002D2356" w:rsidRPr="003A58CF">
        <w:t>bushfire</w:t>
      </w:r>
      <w:r w:rsidR="00FA60B9" w:rsidRPr="003A58CF">
        <w:t xml:space="preserve"> and </w:t>
      </w:r>
      <w:r w:rsidR="002D2356" w:rsidRPr="003A58CF">
        <w:t>flood</w:t>
      </w:r>
    </w:p>
    <w:p w:rsidR="00325BF8" w:rsidRPr="003A58CF" w:rsidRDefault="00325BF8" w:rsidP="00025EF8">
      <w:pPr>
        <w:pStyle w:val="btbullet"/>
      </w:pPr>
      <w:r w:rsidRPr="003A58CF">
        <w:t>Manage settlement growth to limit the impact on agricultural productivity, natural resources and environmental assets</w:t>
      </w:r>
    </w:p>
    <w:p w:rsidR="00135CA1" w:rsidRPr="003A58CF" w:rsidRDefault="00DE58DB" w:rsidP="00025EF8">
      <w:pPr>
        <w:pStyle w:val="btbullet"/>
      </w:pPr>
      <w:r w:rsidRPr="003A58CF">
        <w:lastRenderedPageBreak/>
        <w:t>Maintain the non</w:t>
      </w:r>
      <w:r w:rsidR="00283A2F" w:rsidRPr="003A58CF">
        <w:t>-</w:t>
      </w:r>
      <w:r w:rsidRPr="003A58CF">
        <w:t>urban breaks between settlements</w:t>
      </w:r>
    </w:p>
    <w:p w:rsidR="00135CA1" w:rsidRPr="003A58CF" w:rsidRDefault="006F1F37" w:rsidP="00025EF8">
      <w:pPr>
        <w:pStyle w:val="btbullet"/>
      </w:pPr>
      <w:r w:rsidRPr="003A58CF">
        <w:t xml:space="preserve">Minimise the impacts of land use change and development on areas with significant </w:t>
      </w:r>
      <w:r w:rsidR="0029306D" w:rsidRPr="003A58CF">
        <w:br/>
      </w:r>
      <w:r w:rsidRPr="003A58CF">
        <w:t xml:space="preserve">environmental </w:t>
      </w:r>
      <w:r w:rsidR="00FA60B9" w:rsidRPr="003A58CF">
        <w:t>assets</w:t>
      </w:r>
    </w:p>
    <w:bookmarkEnd w:id="132"/>
    <w:bookmarkEnd w:id="133"/>
    <w:bookmarkEnd w:id="134"/>
    <w:bookmarkEnd w:id="135"/>
    <w:p w:rsidR="00135CA1" w:rsidRPr="008E5B8A" w:rsidRDefault="0018666D" w:rsidP="008E5B8A">
      <w:pPr>
        <w:pStyle w:val="Heading4"/>
        <w:rPr>
          <w:rStyle w:val="Strong"/>
          <w:b/>
          <w:bCs/>
        </w:rPr>
      </w:pPr>
      <w:r w:rsidRPr="008E5B8A">
        <w:rPr>
          <w:rStyle w:val="Strong"/>
          <w:b/>
          <w:bCs/>
        </w:rPr>
        <w:t>Overview</w:t>
      </w:r>
    </w:p>
    <w:p w:rsidR="00135CA1" w:rsidRPr="003A58CF" w:rsidRDefault="00DE58DB" w:rsidP="00854F5E">
      <w:pPr>
        <w:pStyle w:val="bt"/>
      </w:pPr>
      <w:r w:rsidRPr="003A58CF">
        <w:t xml:space="preserve">The Loddon Mallee South region has rich and diverse environmental and heritage assets. The </w:t>
      </w:r>
      <w:r w:rsidR="00283A2F" w:rsidRPr="003A58CF">
        <w:t xml:space="preserve">Strategic Plan 2010 </w:t>
      </w:r>
      <w:r w:rsidRPr="003A58CF">
        <w:t xml:space="preserve">recognises that the natural ecosystems, rural landscapes and water catchments of the region are critical to the region’s attractiveness, liveability, cultural heritage and economy. </w:t>
      </w:r>
      <w:bookmarkStart w:id="136" w:name="OLE_LINK98"/>
      <w:bookmarkStart w:id="137" w:name="OLE_LINK99"/>
      <w:r w:rsidRPr="003A58CF">
        <w:t xml:space="preserve">The </w:t>
      </w:r>
      <w:r w:rsidR="00283A2F" w:rsidRPr="003A58CF">
        <w:t xml:space="preserve">Strategic Plan 2010 </w:t>
      </w:r>
      <w:r w:rsidRPr="003A58CF">
        <w:t xml:space="preserve">aims to protect and enhance the region’s natural and built environment and to foster the resilience and intrinsic values of the natural environment and farming systems. It also recognises that the Aboriginal </w:t>
      </w:r>
      <w:r w:rsidR="003C2E2F" w:rsidRPr="003A58CF">
        <w:t xml:space="preserve">cultural heritage </w:t>
      </w:r>
      <w:r w:rsidRPr="003A58CF">
        <w:t xml:space="preserve">and </w:t>
      </w:r>
      <w:r w:rsidR="007E5DCA" w:rsidRPr="003A58CF">
        <w:t>historic heritage</w:t>
      </w:r>
      <w:r w:rsidR="00984E4E" w:rsidRPr="003A58CF">
        <w:t>,</w:t>
      </w:r>
      <w:r w:rsidRPr="003A58CF">
        <w:t xml:space="preserve"> particularly goldfields heritage</w:t>
      </w:r>
      <w:r w:rsidR="00984E4E" w:rsidRPr="003A58CF">
        <w:t>,</w:t>
      </w:r>
      <w:r w:rsidRPr="003A58CF">
        <w:t xml:space="preserve"> in the region provide tourism opportunities</w:t>
      </w:r>
      <w:r w:rsidR="0063085A" w:rsidRPr="003A58CF">
        <w:t xml:space="preserve"> and </w:t>
      </w:r>
      <w:r w:rsidR="003C2E2F" w:rsidRPr="003A58CF">
        <w:t xml:space="preserve">have </w:t>
      </w:r>
      <w:r w:rsidR="0063085A" w:rsidRPr="003A58CF">
        <w:t xml:space="preserve">a significant influence on land use patterns and decisions. </w:t>
      </w:r>
    </w:p>
    <w:p w:rsidR="00DE58DB" w:rsidRPr="003A58CF" w:rsidRDefault="004232C7" w:rsidP="00854F5E">
      <w:pPr>
        <w:pStyle w:val="bt"/>
      </w:pPr>
      <w:r w:rsidRPr="003A58CF">
        <w:t>T</w:t>
      </w:r>
      <w:r w:rsidR="00283A2F" w:rsidRPr="003A58CF">
        <w:t xml:space="preserve">he </w:t>
      </w:r>
      <w:r w:rsidR="00DE58DB" w:rsidRPr="003A58CF">
        <w:t xml:space="preserve">region will </w:t>
      </w:r>
      <w:r w:rsidRPr="003A58CF">
        <w:t xml:space="preserve">benefit from its significant </w:t>
      </w:r>
      <w:r w:rsidR="00DE58DB" w:rsidRPr="003A58CF">
        <w:t xml:space="preserve">environmental and heritage </w:t>
      </w:r>
      <w:r w:rsidR="005B31F5" w:rsidRPr="003A58CF">
        <w:t>assets through</w:t>
      </w:r>
      <w:r w:rsidR="007E5DCA" w:rsidRPr="003A58CF">
        <w:t xml:space="preserve"> advancing</w:t>
      </w:r>
      <w:r w:rsidR="00DE58DB" w:rsidRPr="003A58CF">
        <w:t xml:space="preserve"> </w:t>
      </w:r>
      <w:r w:rsidRPr="003A58CF">
        <w:t xml:space="preserve">sustainable </w:t>
      </w:r>
      <w:r w:rsidR="00DE58DB" w:rsidRPr="003A58CF">
        <w:t>economic diversification opportunities</w:t>
      </w:r>
      <w:r w:rsidR="003943A7" w:rsidRPr="003A58CF">
        <w:t xml:space="preserve"> including tourism, renewable energy and </w:t>
      </w:r>
      <w:r w:rsidR="0029306D" w:rsidRPr="003A58CF">
        <w:t xml:space="preserve">green </w:t>
      </w:r>
      <w:r w:rsidR="003943A7" w:rsidRPr="003A58CF">
        <w:t>industries.</w:t>
      </w:r>
      <w:r w:rsidR="003C2E2F" w:rsidRPr="003A58CF">
        <w:t xml:space="preserve"> </w:t>
      </w:r>
      <w:bookmarkEnd w:id="136"/>
      <w:bookmarkEnd w:id="137"/>
      <w:r w:rsidR="00DE58DB" w:rsidRPr="003A58CF">
        <w:t xml:space="preserve">Detailed land use planning consideration is required to </w:t>
      </w:r>
      <w:r w:rsidR="003C2E2F" w:rsidRPr="003A58CF">
        <w:t xml:space="preserve">manage the impacts of </w:t>
      </w:r>
      <w:r w:rsidR="00DE58DB" w:rsidRPr="003A58CF">
        <w:t>growth. These planning considerations are illustrated in</w:t>
      </w:r>
      <w:r w:rsidR="00BA6E4B" w:rsidRPr="003A58CF">
        <w:t xml:space="preserve"> Map 8 – Future environment and heritage directions</w:t>
      </w:r>
      <w:r w:rsidR="00DE58DB" w:rsidRPr="003A58CF">
        <w:t xml:space="preserve">. Key aspects of the region are explored further in </w:t>
      </w:r>
      <w:r w:rsidR="00212EF9" w:rsidRPr="003A58CF">
        <w:t>Section 12.1 Environment and heritage assets</w:t>
      </w:r>
      <w:r w:rsidR="00DE58DB" w:rsidRPr="003A58CF">
        <w:t xml:space="preserve"> and </w:t>
      </w:r>
      <w:r w:rsidR="00212EF9" w:rsidRPr="003A58CF">
        <w:t>Section 12.2 Natural hazards</w:t>
      </w:r>
      <w:r w:rsidR="00511AA0" w:rsidRPr="003A58CF">
        <w:t xml:space="preserve"> and risks</w:t>
      </w:r>
      <w:r w:rsidR="00DE58DB" w:rsidRPr="003A58CF">
        <w:t>.</w:t>
      </w:r>
    </w:p>
    <w:p w:rsidR="00DE58DB" w:rsidRPr="003A58CF" w:rsidRDefault="007E5DCA" w:rsidP="00854F5E">
      <w:pPr>
        <w:pStyle w:val="bt"/>
      </w:pPr>
      <w:r w:rsidRPr="003A58CF">
        <w:t>Pressure for urban and rural residential development in areas of high amenity or natural value, such as the Macedon Ranges, presents a challenge for land use planning, but also presents opportunities for tourism and other economic diversification in the region</w:t>
      </w:r>
      <w:r w:rsidRPr="003A58CF">
        <w:rPr>
          <w:rStyle w:val="FootnoteReference"/>
          <w:rFonts w:asciiTheme="minorHAnsi" w:hAnsiTheme="minorHAnsi" w:cstheme="minorHAnsi"/>
          <w:sz w:val="22"/>
          <w:szCs w:val="22"/>
        </w:rPr>
        <w:footnoteReference w:id="12"/>
      </w:r>
      <w:r w:rsidRPr="003A58CF">
        <w:t xml:space="preserve">. </w:t>
      </w:r>
      <w:r w:rsidR="003943A7" w:rsidRPr="003A58CF">
        <w:t>Communities in these areas value their natural environment</w:t>
      </w:r>
      <w:r w:rsidR="003C2E2F" w:rsidRPr="003A58CF">
        <w:t xml:space="preserve"> highly</w:t>
      </w:r>
      <w:r w:rsidR="003943A7" w:rsidRPr="003A58CF">
        <w:t xml:space="preserve"> and want to see it protected from inappropriate </w:t>
      </w:r>
      <w:r w:rsidRPr="003A58CF">
        <w:t>development. The</w:t>
      </w:r>
      <w:r w:rsidR="005D4B46" w:rsidRPr="003A58CF">
        <w:t xml:space="preserve"> impacts of l</w:t>
      </w:r>
      <w:r w:rsidR="00024E10" w:rsidRPr="003A58CF">
        <w:t xml:space="preserve">and use change on surface water quality and </w:t>
      </w:r>
      <w:r w:rsidR="00F2079A" w:rsidRPr="003A58CF">
        <w:t xml:space="preserve">quantity </w:t>
      </w:r>
      <w:r w:rsidR="00024E10" w:rsidRPr="003A58CF">
        <w:t>need to be considered</w:t>
      </w:r>
      <w:r w:rsidR="003943A7" w:rsidRPr="003A58CF">
        <w:t xml:space="preserve"> especially in </w:t>
      </w:r>
      <w:r w:rsidR="008607C8" w:rsidRPr="003A58CF">
        <w:t>d</w:t>
      </w:r>
      <w:r w:rsidR="003943A7" w:rsidRPr="003A58CF">
        <w:t xml:space="preserve">eclared </w:t>
      </w:r>
      <w:r w:rsidR="008607C8" w:rsidRPr="003A58CF">
        <w:t>w</w:t>
      </w:r>
      <w:r w:rsidR="003943A7" w:rsidRPr="003A58CF">
        <w:t xml:space="preserve">ater </w:t>
      </w:r>
      <w:r w:rsidR="008607C8" w:rsidRPr="003A58CF">
        <w:t>s</w:t>
      </w:r>
      <w:r w:rsidR="003943A7" w:rsidRPr="003A58CF">
        <w:t xml:space="preserve">upply </w:t>
      </w:r>
      <w:r w:rsidR="008607C8" w:rsidRPr="003A58CF">
        <w:t>c</w:t>
      </w:r>
      <w:r w:rsidR="003943A7" w:rsidRPr="003A58CF">
        <w:t>atchments</w:t>
      </w:r>
      <w:r w:rsidR="00024E10" w:rsidRPr="003A58CF">
        <w:t xml:space="preserve">. </w:t>
      </w:r>
      <w:r w:rsidR="00DE58DB" w:rsidRPr="003A58CF">
        <w:t>Balancing these pressures</w:t>
      </w:r>
      <w:r w:rsidR="00283A2F" w:rsidRPr="003A58CF">
        <w:t>,</w:t>
      </w:r>
      <w:r w:rsidR="00DE58DB" w:rsidRPr="003A58CF">
        <w:t xml:space="preserve"> along with the </w:t>
      </w:r>
      <w:r w:rsidR="00F2079A" w:rsidRPr="003A58CF">
        <w:t xml:space="preserve">natural hazards </w:t>
      </w:r>
      <w:r w:rsidR="00DE58DB" w:rsidRPr="003A58CF">
        <w:t>associated with these areas</w:t>
      </w:r>
      <w:r w:rsidR="00984E4E" w:rsidRPr="003A58CF">
        <w:t>,</w:t>
      </w:r>
      <w:r w:rsidR="00DE58DB" w:rsidRPr="003A58CF">
        <w:t xml:space="preserve"> such as </w:t>
      </w:r>
      <w:r w:rsidR="002D2356" w:rsidRPr="003A58CF">
        <w:t>bushfire</w:t>
      </w:r>
      <w:r w:rsidR="00DE58DB" w:rsidRPr="003A58CF">
        <w:t>, flood and salinity</w:t>
      </w:r>
      <w:r w:rsidR="00283A2F" w:rsidRPr="003A58CF">
        <w:t>,</w:t>
      </w:r>
      <w:r w:rsidR="00DE58DB" w:rsidRPr="003A58CF">
        <w:t xml:space="preserve"> are a key challenge for this </w:t>
      </w:r>
      <w:r w:rsidR="003F429B" w:rsidRPr="003A58CF">
        <w:t>plan</w:t>
      </w:r>
      <w:r w:rsidR="00DE58DB" w:rsidRPr="003A58CF">
        <w:t xml:space="preserve"> and more detailed local planning.</w:t>
      </w:r>
    </w:p>
    <w:p w:rsidR="001514AA" w:rsidRDefault="00DE58DB" w:rsidP="001514AA">
      <w:pPr>
        <w:pStyle w:val="bt"/>
      </w:pPr>
      <w:r w:rsidRPr="003A58CF">
        <w:t xml:space="preserve">The North Central, Goulburn Broken and Port Phillip and Westernport </w:t>
      </w:r>
      <w:r w:rsidR="00F0382F" w:rsidRPr="003A58CF">
        <w:t>c</w:t>
      </w:r>
      <w:r w:rsidRPr="003A58CF">
        <w:t xml:space="preserve">atchment </w:t>
      </w:r>
      <w:r w:rsidR="00F0382F" w:rsidRPr="003A58CF">
        <w:t>m</w:t>
      </w:r>
      <w:r w:rsidRPr="003A58CF">
        <w:t xml:space="preserve">anagement </w:t>
      </w:r>
      <w:r w:rsidR="00F0382F" w:rsidRPr="003A58CF">
        <w:t>a</w:t>
      </w:r>
      <w:r w:rsidRPr="003A58CF">
        <w:t xml:space="preserve">uthorities coordinate investment into the protection and enhancement of the environment throughout the region, along with public land managers. Regional </w:t>
      </w:r>
      <w:r w:rsidR="003C2E2F" w:rsidRPr="003A58CF">
        <w:t xml:space="preserve">catchment strategies </w:t>
      </w:r>
      <w:r w:rsidRPr="003A58CF">
        <w:t>are the primary integrated regional strategies for achieving improved environmental outcomes in the region. Regionally</w:t>
      </w:r>
      <w:r w:rsidR="00024EFC" w:rsidRPr="003A58CF">
        <w:t xml:space="preserve"> </w:t>
      </w:r>
      <w:r w:rsidRPr="003A58CF">
        <w:t>significant environmental assets</w:t>
      </w:r>
      <w:r w:rsidRPr="003A58CF">
        <w:rPr>
          <w:rStyle w:val="FootnoteReference"/>
          <w:rFonts w:asciiTheme="minorHAnsi" w:hAnsiTheme="minorHAnsi" w:cstheme="minorHAnsi"/>
          <w:sz w:val="22"/>
          <w:szCs w:val="22"/>
        </w:rPr>
        <w:footnoteReference w:id="13"/>
      </w:r>
      <w:r w:rsidRPr="003A58CF">
        <w:t xml:space="preserve"> are clearly described in these </w:t>
      </w:r>
      <w:r w:rsidR="003C2E2F" w:rsidRPr="003A58CF">
        <w:t>regional catchment strategies</w:t>
      </w:r>
      <w:r w:rsidRPr="003A58CF">
        <w:t xml:space="preserve">. </w:t>
      </w:r>
      <w:r w:rsidR="005D4B46" w:rsidRPr="003A58CF">
        <w:t>This</w:t>
      </w:r>
      <w:r w:rsidRPr="003A58CF">
        <w:t xml:space="preserve"> </w:t>
      </w:r>
      <w:r w:rsidR="003F429B" w:rsidRPr="003A58CF">
        <w:t>plan</w:t>
      </w:r>
      <w:r w:rsidRPr="003A58CF">
        <w:t xml:space="preserve"> can complement </w:t>
      </w:r>
      <w:r w:rsidR="006A42FC" w:rsidRPr="003A58CF">
        <w:t xml:space="preserve">catchment management authority </w:t>
      </w:r>
      <w:r w:rsidRPr="003A58CF">
        <w:t>activities and initiatives through appropriate land use planning mechanisms. Regionally</w:t>
      </w:r>
      <w:r w:rsidR="00024EFC" w:rsidRPr="003A58CF">
        <w:t xml:space="preserve"> </w:t>
      </w:r>
      <w:r w:rsidRPr="003A58CF">
        <w:t xml:space="preserve">significant assets identified in </w:t>
      </w:r>
      <w:r w:rsidR="003C2E2F" w:rsidRPr="003A58CF">
        <w:t xml:space="preserve">regional catchment strategies </w:t>
      </w:r>
      <w:r w:rsidRPr="003A58CF">
        <w:t>should be considered in local planning decisions.</w:t>
      </w:r>
      <w:bookmarkStart w:id="138" w:name="_Ref352070980"/>
      <w:bookmarkStart w:id="139" w:name="_Ref352069906"/>
      <w:bookmarkStart w:id="140" w:name="_Ref352070001"/>
      <w:bookmarkStart w:id="141" w:name="_Toc373757228"/>
      <w:bookmarkStart w:id="142" w:name="_Toc333489492"/>
    </w:p>
    <w:p w:rsidR="00E635CC" w:rsidRPr="001514AA" w:rsidRDefault="00597505" w:rsidP="001514AA">
      <w:pPr>
        <w:pStyle w:val="bt"/>
      </w:pPr>
      <w:r w:rsidRPr="001514AA">
        <w:t xml:space="preserve">Map </w:t>
      </w:r>
      <w:bookmarkEnd w:id="138"/>
      <w:r w:rsidR="00993A78">
        <w:t>8</w:t>
      </w:r>
      <w:r w:rsidR="001514AA" w:rsidRPr="001514AA">
        <w:t xml:space="preserve"> is located here in the document and it shows -</w:t>
      </w:r>
      <w:r w:rsidR="005770F9" w:rsidRPr="001514AA">
        <w:t xml:space="preserve"> </w:t>
      </w:r>
      <w:r w:rsidRPr="001514AA">
        <w:t>Future environment and heritage directions</w:t>
      </w:r>
      <w:bookmarkEnd w:id="139"/>
      <w:bookmarkEnd w:id="140"/>
      <w:bookmarkEnd w:id="141"/>
    </w:p>
    <w:p w:rsidR="00DE58DB" w:rsidRPr="003A58CF" w:rsidRDefault="00DE58DB" w:rsidP="008E5B8A">
      <w:pPr>
        <w:pStyle w:val="Heading2"/>
      </w:pPr>
      <w:bookmarkStart w:id="143" w:name="_Toc377026338"/>
      <w:r w:rsidRPr="003A58CF">
        <w:t xml:space="preserve">Environment and </w:t>
      </w:r>
      <w:r w:rsidR="000B6EFD" w:rsidRPr="003A58CF">
        <w:t>h</w:t>
      </w:r>
      <w:r w:rsidRPr="003A58CF">
        <w:t xml:space="preserve">eritage </w:t>
      </w:r>
      <w:r w:rsidR="000B6EFD" w:rsidRPr="003A58CF">
        <w:t>a</w:t>
      </w:r>
      <w:r w:rsidRPr="003A58CF">
        <w:t>ssets</w:t>
      </w:r>
      <w:bookmarkEnd w:id="142"/>
      <w:bookmarkEnd w:id="143"/>
    </w:p>
    <w:p w:rsidR="00DE58DB" w:rsidRPr="0052225A" w:rsidRDefault="001F16ED" w:rsidP="0052225A">
      <w:pPr>
        <w:pStyle w:val="bt"/>
        <w:rPr>
          <w:rStyle w:val="RGPnormalChar"/>
          <w:rFonts w:ascii="Calibri" w:eastAsia="Calibri" w:hAnsi="Calibri" w:cs="Calibri"/>
          <w:sz w:val="20"/>
          <w:szCs w:val="20"/>
        </w:rPr>
      </w:pPr>
      <w:r w:rsidRPr="0052225A">
        <w:rPr>
          <w:rStyle w:val="RGPnormalChar"/>
          <w:rFonts w:ascii="Calibri" w:eastAsia="Calibri" w:hAnsi="Calibri" w:cs="Calibri"/>
          <w:sz w:val="20"/>
          <w:szCs w:val="20"/>
        </w:rPr>
        <w:t>Environmental and heritage assets are essential to the Loddon Mallee South region’s continued growth, providing foundations and attractors for many industries and people. Protection and enhancement of environmental assets present many opportunities for the region</w:t>
      </w:r>
      <w:r w:rsidR="00DE58DB" w:rsidRPr="0052225A">
        <w:t xml:space="preserve"> </w:t>
      </w:r>
      <w:r w:rsidRPr="0052225A">
        <w:rPr>
          <w:rStyle w:val="RGPnormalChar"/>
          <w:rFonts w:ascii="Calibri" w:eastAsia="Calibri" w:hAnsi="Calibri" w:cs="Calibri"/>
          <w:sz w:val="20"/>
          <w:szCs w:val="20"/>
        </w:rPr>
        <w:t xml:space="preserve">and will be managed in the context of growth. Key environmental and heritage assets are discussed below. More detail on the </w:t>
      </w:r>
      <w:r w:rsidR="00024EFC" w:rsidRPr="0052225A">
        <w:rPr>
          <w:rStyle w:val="RGPnormalChar"/>
          <w:rFonts w:ascii="Calibri" w:eastAsia="Calibri" w:hAnsi="Calibri" w:cs="Calibri"/>
          <w:sz w:val="20"/>
          <w:szCs w:val="20"/>
        </w:rPr>
        <w:t xml:space="preserve">region’s </w:t>
      </w:r>
      <w:r w:rsidRPr="0052225A">
        <w:rPr>
          <w:rStyle w:val="RGPnormalChar"/>
          <w:rFonts w:ascii="Calibri" w:eastAsia="Calibri" w:hAnsi="Calibri" w:cs="Calibri"/>
          <w:sz w:val="20"/>
          <w:szCs w:val="20"/>
        </w:rPr>
        <w:t>environment and heritage assets</w:t>
      </w:r>
      <w:r w:rsidR="003C2E2F" w:rsidRPr="0052225A">
        <w:rPr>
          <w:rStyle w:val="RGPnormalChar"/>
          <w:rFonts w:ascii="Calibri" w:eastAsia="Calibri" w:hAnsi="Calibri" w:cs="Calibri"/>
          <w:sz w:val="20"/>
          <w:szCs w:val="20"/>
        </w:rPr>
        <w:t xml:space="preserve">, </w:t>
      </w:r>
      <w:r w:rsidRPr="0052225A">
        <w:rPr>
          <w:rStyle w:val="RGPnormalChar"/>
          <w:rFonts w:ascii="Calibri" w:eastAsia="Calibri" w:hAnsi="Calibri" w:cs="Calibri"/>
          <w:sz w:val="20"/>
          <w:szCs w:val="20"/>
        </w:rPr>
        <w:t>including more detailed mapping</w:t>
      </w:r>
      <w:r w:rsidR="003C2E2F" w:rsidRPr="0052225A">
        <w:rPr>
          <w:rStyle w:val="RGPnormalChar"/>
          <w:rFonts w:ascii="Calibri" w:eastAsia="Calibri" w:hAnsi="Calibri" w:cs="Calibri"/>
          <w:sz w:val="20"/>
          <w:szCs w:val="20"/>
        </w:rPr>
        <w:t>,</w:t>
      </w:r>
      <w:r w:rsidRPr="0052225A">
        <w:rPr>
          <w:rStyle w:val="RGPnormalChar"/>
          <w:rFonts w:ascii="Calibri" w:eastAsia="Calibri" w:hAnsi="Calibri" w:cs="Calibri"/>
          <w:sz w:val="20"/>
          <w:szCs w:val="20"/>
        </w:rPr>
        <w:t xml:space="preserve"> is included in the </w:t>
      </w:r>
      <w:r w:rsidR="003C2E2F" w:rsidRPr="0052225A">
        <w:rPr>
          <w:rStyle w:val="RGPnormalChar"/>
          <w:rFonts w:ascii="Calibri" w:eastAsia="Calibri" w:hAnsi="Calibri" w:cs="Calibri"/>
          <w:sz w:val="20"/>
          <w:szCs w:val="20"/>
        </w:rPr>
        <w:t>b</w:t>
      </w:r>
      <w:r w:rsidRPr="0052225A">
        <w:rPr>
          <w:rStyle w:val="RGPnormalChar"/>
          <w:rFonts w:ascii="Calibri" w:eastAsia="Calibri" w:hAnsi="Calibri" w:cs="Calibri"/>
          <w:sz w:val="20"/>
          <w:szCs w:val="20"/>
        </w:rPr>
        <w:t xml:space="preserve">ackground </w:t>
      </w:r>
      <w:r w:rsidR="003C2E2F" w:rsidRPr="0052225A">
        <w:rPr>
          <w:rStyle w:val="RGPnormalChar"/>
          <w:rFonts w:ascii="Calibri" w:eastAsia="Calibri" w:hAnsi="Calibri" w:cs="Calibri"/>
          <w:sz w:val="20"/>
          <w:szCs w:val="20"/>
        </w:rPr>
        <w:t>r</w:t>
      </w:r>
      <w:r w:rsidRPr="0052225A">
        <w:rPr>
          <w:rStyle w:val="RGPnormalChar"/>
          <w:rFonts w:ascii="Calibri" w:eastAsia="Calibri" w:hAnsi="Calibri" w:cs="Calibri"/>
          <w:sz w:val="20"/>
          <w:szCs w:val="20"/>
        </w:rPr>
        <w:t>eport.</w:t>
      </w:r>
    </w:p>
    <w:p w:rsidR="00135CA1" w:rsidRPr="008E5B8A" w:rsidRDefault="0018666D" w:rsidP="008E5B8A">
      <w:pPr>
        <w:pStyle w:val="Heading4"/>
        <w:rPr>
          <w:rStyle w:val="Strong"/>
          <w:b/>
          <w:bCs/>
        </w:rPr>
      </w:pPr>
      <w:bookmarkStart w:id="144" w:name="_Toc351459106"/>
      <w:r w:rsidRPr="008E5B8A">
        <w:rPr>
          <w:rStyle w:val="Strong"/>
          <w:b/>
          <w:bCs/>
        </w:rPr>
        <w:lastRenderedPageBreak/>
        <w:t>Cultural heritage</w:t>
      </w:r>
      <w:bookmarkEnd w:id="144"/>
    </w:p>
    <w:p w:rsidR="00DE58DB" w:rsidRPr="003A58CF" w:rsidRDefault="00DE58DB" w:rsidP="00854F5E">
      <w:pPr>
        <w:pStyle w:val="bt"/>
      </w:pPr>
      <w:r w:rsidRPr="003A58CF">
        <w:t xml:space="preserve">A priority action of the </w:t>
      </w:r>
      <w:r w:rsidR="00216C68" w:rsidRPr="003A58CF">
        <w:t xml:space="preserve">Strategic Plan 2010 </w:t>
      </w:r>
      <w:r w:rsidRPr="003A58CF">
        <w:t xml:space="preserve">is to establish Australia’s first heritage region, linked to the goldfields heritage, as an iconic destination to </w:t>
      </w:r>
      <w:r w:rsidR="00216C68" w:rsidRPr="003A58CF">
        <w:t xml:space="preserve">increase awareness of </w:t>
      </w:r>
      <w:r w:rsidRPr="003A58CF">
        <w:t>our natural heritage and promote tourism in the region. A major initiative</w:t>
      </w:r>
      <w:r w:rsidR="003C2E2F" w:rsidRPr="003A58CF">
        <w:t xml:space="preserve">, </w:t>
      </w:r>
      <w:r w:rsidRPr="003A58CF">
        <w:t>Goldfields – Australia’s Premier Heritage Region</w:t>
      </w:r>
      <w:r w:rsidR="003C2E2F" w:rsidRPr="003A58CF">
        <w:t>,</w:t>
      </w:r>
      <w:r w:rsidRPr="003A58CF">
        <w:t xml:space="preserve"> is under</w:t>
      </w:r>
      <w:r w:rsidR="003C2E2F" w:rsidRPr="003A58CF">
        <w:t xml:space="preserve"> </w:t>
      </w:r>
      <w:r w:rsidRPr="003A58CF">
        <w:t>way in partnership with the neighbouring Grampians region to establish the Castlemaine Diggings National</w:t>
      </w:r>
      <w:r w:rsidR="00F2079A" w:rsidRPr="003A58CF">
        <w:t xml:space="preserve"> Heritage</w:t>
      </w:r>
      <w:r w:rsidRPr="003A58CF">
        <w:t xml:space="preserve"> Park as a World Heritage site and to have the whole goldfields region recognised worldwide as Australia’s premier heritage region. The </w:t>
      </w:r>
      <w:r w:rsidR="00216C68" w:rsidRPr="003A58CF">
        <w:t xml:space="preserve">Strategic Plan 2010 </w:t>
      </w:r>
      <w:r w:rsidRPr="003A58CF">
        <w:t>also contains initiatives to develop cultural heritage and other tourism opportunities around natural heritage, such as a Box-Ironbark interpretation program.</w:t>
      </w:r>
    </w:p>
    <w:p w:rsidR="001F16ED" w:rsidRPr="003A58CF" w:rsidRDefault="001F16ED" w:rsidP="00854F5E">
      <w:pPr>
        <w:pStyle w:val="bt"/>
        <w:rPr>
          <w:b/>
        </w:rPr>
      </w:pPr>
      <w:r w:rsidRPr="003A58CF">
        <w:t xml:space="preserve">Registered Aboriginal Parties will have an important role in planning place-based activity and development, and there are benefits to engaging with the relevant Aboriginal community organisations early in strategic planning processes. Currently the Dja Dja Wurrung Clans Aboriginal Corporation, Taungurung Clans Aboriginal Corporation and the Wurundjeri Tribe Land and Compensation Cultural Heritage Council Inc. have legislated responsibilities relating to the management of Aboriginal cultural heritage places in the Loddon Mallee South region. This arrangement recognises the key role that Aboriginal people have in the protection and management of significant Aboriginal cultural heritage places. Native title is also held over </w:t>
      </w:r>
      <w:r w:rsidR="0025037B" w:rsidRPr="003A58CF">
        <w:t xml:space="preserve">Crown </w:t>
      </w:r>
      <w:r w:rsidRPr="003A58CF">
        <w:t>land in a significant portion of the region by the Dja Dja Wurrung Peoples.</w:t>
      </w:r>
      <w:bookmarkStart w:id="145" w:name="_Toc351459107"/>
    </w:p>
    <w:p w:rsidR="00135CA1" w:rsidRPr="008E5B8A" w:rsidRDefault="0018666D" w:rsidP="008E5B8A">
      <w:pPr>
        <w:pStyle w:val="Heading4"/>
        <w:rPr>
          <w:rStyle w:val="Strong"/>
          <w:b/>
          <w:bCs/>
        </w:rPr>
      </w:pPr>
      <w:r w:rsidRPr="008E5B8A">
        <w:rPr>
          <w:rStyle w:val="Strong"/>
          <w:b/>
          <w:bCs/>
        </w:rPr>
        <w:t>Native vegetation</w:t>
      </w:r>
      <w:bookmarkEnd w:id="145"/>
    </w:p>
    <w:p w:rsidR="00DE58DB" w:rsidRPr="003A58CF" w:rsidRDefault="00DE58DB" w:rsidP="00854F5E">
      <w:pPr>
        <w:pStyle w:val="bt"/>
      </w:pPr>
      <w:r w:rsidRPr="003A58CF">
        <w:t>Aside from the region’s well</w:t>
      </w:r>
      <w:r w:rsidR="00216C68" w:rsidRPr="003A58CF">
        <w:t>-</w:t>
      </w:r>
      <w:r w:rsidRPr="003A58CF">
        <w:t>known significant forested areas</w:t>
      </w:r>
      <w:r w:rsidR="003C2E2F" w:rsidRPr="003A58CF">
        <w:t>,</w:t>
      </w:r>
      <w:r w:rsidRPr="003A58CF">
        <w:t xml:space="preserve"> such as</w:t>
      </w:r>
      <w:r w:rsidR="00990D6A" w:rsidRPr="003A58CF">
        <w:t xml:space="preserve"> the Macedon </w:t>
      </w:r>
      <w:r w:rsidR="007E5DCA" w:rsidRPr="003A58CF">
        <w:t xml:space="preserve">Ranges </w:t>
      </w:r>
      <w:r w:rsidR="00990D6A" w:rsidRPr="003A58CF">
        <w:t xml:space="preserve">and </w:t>
      </w:r>
      <w:r w:rsidRPr="003A58CF">
        <w:t>Box</w:t>
      </w:r>
      <w:r w:rsidR="00216C68" w:rsidRPr="003A58CF">
        <w:t>-</w:t>
      </w:r>
      <w:r w:rsidRPr="003A58CF">
        <w:t xml:space="preserve">Ironbark forests, there are also significant areas of </w:t>
      </w:r>
      <w:r w:rsidR="006F1F37" w:rsidRPr="003A58CF">
        <w:t xml:space="preserve">native </w:t>
      </w:r>
      <w:r w:rsidRPr="003A58CF">
        <w:t>grasslands, often on private land. These assets pose a challenge for land use planning, but also create opportunities around nature-based tourism and access to income from</w:t>
      </w:r>
      <w:r w:rsidR="001E4A5E" w:rsidRPr="003A58CF">
        <w:t xml:space="preserve"> providing ecosystem services.</w:t>
      </w:r>
    </w:p>
    <w:p w:rsidR="003C2E2F" w:rsidRPr="003A58CF" w:rsidRDefault="00DE58DB" w:rsidP="00854F5E">
      <w:pPr>
        <w:pStyle w:val="bt"/>
      </w:pPr>
      <w:r w:rsidRPr="003A58CF">
        <w:t>Key initiatives</w:t>
      </w:r>
      <w:r w:rsidR="003C2E2F" w:rsidRPr="003A58CF">
        <w:t xml:space="preserve"> </w:t>
      </w:r>
      <w:r w:rsidRPr="003A58CF">
        <w:t xml:space="preserve">of the </w:t>
      </w:r>
      <w:r w:rsidR="006A42FC" w:rsidRPr="003A58CF">
        <w:t xml:space="preserve">catchment management authorities </w:t>
      </w:r>
      <w:r w:rsidRPr="003A58CF">
        <w:t>include improving the quality of remnant habitat and increasing connectivity between remnant vegetation, especially significant</w:t>
      </w:r>
      <w:r w:rsidR="00F2079A" w:rsidRPr="003A58CF">
        <w:t xml:space="preserve"> vegetation</w:t>
      </w:r>
      <w:r w:rsidRPr="003A58CF">
        <w:t xml:space="preserve"> asset areas as identified in the </w:t>
      </w:r>
      <w:r w:rsidR="003C2E2F" w:rsidRPr="003A58CF">
        <w:t>regional catchment strategies</w:t>
      </w:r>
      <w:r w:rsidRPr="003A58CF">
        <w:t xml:space="preserve">. The </w:t>
      </w:r>
      <w:r w:rsidR="00216C68" w:rsidRPr="003A58CF">
        <w:t xml:space="preserve">Strategic Plan 2010 </w:t>
      </w:r>
      <w:r w:rsidRPr="003A58CF">
        <w:t>further supports this through its priority action</w:t>
      </w:r>
      <w:r w:rsidR="00122FD6" w:rsidRPr="003A58CF">
        <w:t xml:space="preserve"> 6.1</w:t>
      </w:r>
      <w:r w:rsidRPr="003A58CF">
        <w:t xml:space="preserve"> to </w:t>
      </w:r>
      <w:r w:rsidR="0025037B" w:rsidRPr="003A58CF">
        <w:t>“</w:t>
      </w:r>
      <w:r w:rsidRPr="003A58CF">
        <w:t xml:space="preserve">engage the Loddon Mallee </w:t>
      </w:r>
      <w:r w:rsidR="005D4B46" w:rsidRPr="003A58CF">
        <w:t xml:space="preserve">South </w:t>
      </w:r>
      <w:r w:rsidRPr="003A58CF">
        <w:t xml:space="preserve">community in actions such as the BushTender program and Landcare activities to protect rural land and improve connectivity of native vegetation along major corridors, ultimately linking to the Murray </w:t>
      </w:r>
      <w:r w:rsidR="0025037B" w:rsidRPr="003A58CF">
        <w:t>River”</w:t>
      </w:r>
      <w:r w:rsidRPr="003A58CF">
        <w:t xml:space="preserve">. </w:t>
      </w:r>
    </w:p>
    <w:p w:rsidR="003C2E2F" w:rsidRPr="003A58CF" w:rsidRDefault="00122FD6" w:rsidP="00854F5E">
      <w:pPr>
        <w:pStyle w:val="bt"/>
      </w:pPr>
      <w:r w:rsidRPr="003A58CF">
        <w:t>O</w:t>
      </w:r>
      <w:r w:rsidR="00DE58DB" w:rsidRPr="003A58CF">
        <w:t>ther initiatives</w:t>
      </w:r>
      <w:r w:rsidRPr="003A58CF">
        <w:t xml:space="preserve"> and opportunities in the region to enhance the native vegetation coverage in the region include capitalising</w:t>
      </w:r>
      <w:r w:rsidR="00DE58DB" w:rsidRPr="003A58CF">
        <w:t xml:space="preserve"> on ecoMarkets, biodiversity offset markets</w:t>
      </w:r>
      <w:r w:rsidRPr="003A58CF">
        <w:t xml:space="preserve"> and carbon markets</w:t>
      </w:r>
      <w:r w:rsidR="00DE58DB" w:rsidRPr="003A58CF">
        <w:t xml:space="preserve"> </w:t>
      </w:r>
      <w:r w:rsidR="008B57E3" w:rsidRPr="003A58CF">
        <w:t xml:space="preserve">to </w:t>
      </w:r>
      <w:r w:rsidR="00DE58DB" w:rsidRPr="003A58CF">
        <w:t xml:space="preserve">link high value native vegetation on private land to public land reserves. </w:t>
      </w:r>
      <w:r w:rsidRPr="003A58CF">
        <w:t>Additional opportunities are emerging in the region since the Strategic Plan 2010 was released</w:t>
      </w:r>
      <w:r w:rsidR="0025037B" w:rsidRPr="003A58CF">
        <w:t>,</w:t>
      </w:r>
      <w:r w:rsidRPr="003A58CF">
        <w:t xml:space="preserve"> including enhancing native vegetation coverage in the region through capitalising on </w:t>
      </w:r>
      <w:r w:rsidR="00E908DE" w:rsidRPr="003A58CF">
        <w:t xml:space="preserve">initiatives that support national and global action to reduce greenhouse gas emissions, such as </w:t>
      </w:r>
      <w:r w:rsidRPr="003A58CF">
        <w:t xml:space="preserve">carbon markets. </w:t>
      </w:r>
    </w:p>
    <w:p w:rsidR="003C2E2F" w:rsidRPr="003A58CF" w:rsidRDefault="00122FD6" w:rsidP="00854F5E">
      <w:pPr>
        <w:pStyle w:val="bt"/>
      </w:pPr>
      <w:r w:rsidRPr="003A58CF">
        <w:t xml:space="preserve">Regional natural resource management planning and land use planning will need to consider any potential increase in natural hazards as a result of such activities. This is particularly relevant to any changes in landscape fire and flood risks that may result from increasing treed vegetation cover, especially where occurring in close proximity to settlements. </w:t>
      </w:r>
    </w:p>
    <w:p w:rsidR="001F16ED" w:rsidRPr="008E5B8A" w:rsidRDefault="0018666D" w:rsidP="008E5B8A">
      <w:pPr>
        <w:pStyle w:val="Heading4"/>
        <w:rPr>
          <w:rStyle w:val="Strong"/>
          <w:b/>
          <w:bCs/>
        </w:rPr>
      </w:pPr>
      <w:bookmarkStart w:id="146" w:name="_Toc351459108"/>
      <w:r w:rsidRPr="008E5B8A">
        <w:rPr>
          <w:rStyle w:val="Strong"/>
          <w:b/>
          <w:bCs/>
        </w:rPr>
        <w:t>Waterways</w:t>
      </w:r>
      <w:bookmarkEnd w:id="146"/>
    </w:p>
    <w:p w:rsidR="003C2E2F" w:rsidRPr="003A58CF" w:rsidRDefault="00DE58DB" w:rsidP="00854F5E">
      <w:pPr>
        <w:pStyle w:val="bt"/>
      </w:pPr>
      <w:r w:rsidRPr="003A58CF">
        <w:t xml:space="preserve">The region covers parts of the Avoca, Loddon, Campaspe, Goulburn, Maribyrnong and Werribee </w:t>
      </w:r>
      <w:r w:rsidR="00833553" w:rsidRPr="003A58CF">
        <w:t>r</w:t>
      </w:r>
      <w:r w:rsidRPr="003A58CF">
        <w:t>iver</w:t>
      </w:r>
      <w:r w:rsidR="00E908DE" w:rsidRPr="003A58CF">
        <w:t xml:space="preserve"> catchments</w:t>
      </w:r>
      <w:r w:rsidRPr="003A58CF">
        <w:t xml:space="preserve">. Rivers and wetlands are highly valued by regional communities for their intrinsic environmental values and also support communities by providing water to farms, towns and industry. Waterways play a key role in providing </w:t>
      </w:r>
      <w:r w:rsidR="006F1F37" w:rsidRPr="003A58CF">
        <w:t xml:space="preserve">tourism and </w:t>
      </w:r>
      <w:r w:rsidRPr="003A58CF">
        <w:t>recreational opportunities and support significant cultural value</w:t>
      </w:r>
      <w:r w:rsidR="00230305">
        <w:t>s</w:t>
      </w:r>
      <w:r w:rsidRPr="003A58CF">
        <w:t xml:space="preserve">. </w:t>
      </w:r>
    </w:p>
    <w:p w:rsidR="00DE58DB" w:rsidRPr="003A58CF" w:rsidRDefault="00DE58DB" w:rsidP="00854F5E">
      <w:pPr>
        <w:pStyle w:val="bt"/>
      </w:pPr>
      <w:r w:rsidRPr="003A58CF">
        <w:lastRenderedPageBreak/>
        <w:t>Many rivers and wetlands within the region are critical for supporting tourism within smaller settlements</w:t>
      </w:r>
      <w:r w:rsidR="00984E4E" w:rsidRPr="003A58CF">
        <w:t>, for example,</w:t>
      </w:r>
      <w:r w:rsidRPr="003A58CF">
        <w:t xml:space="preserve"> Little Lake Boort and the Loddon River at Bridgewater. Land use planning can help address some of the threats to </w:t>
      </w:r>
      <w:r w:rsidR="008B57E3" w:rsidRPr="003A58CF">
        <w:t xml:space="preserve">the region’s </w:t>
      </w:r>
      <w:r w:rsidRPr="003A58CF">
        <w:t>highly valued waterways from urban and rural land use changes, such as changes to flow regimes and poor water quality</w:t>
      </w:r>
      <w:r w:rsidR="00FE79AF" w:rsidRPr="003A58CF">
        <w:t>. W</w:t>
      </w:r>
      <w:r w:rsidRPr="003A58CF">
        <w:t xml:space="preserve">ater supply is discussed in </w:t>
      </w:r>
      <w:r w:rsidR="00212EF9" w:rsidRPr="003A58CF">
        <w:t>Section 14</w:t>
      </w:r>
      <w:r w:rsidR="0025037B" w:rsidRPr="003A58CF">
        <w:t xml:space="preserve"> </w:t>
      </w:r>
      <w:r w:rsidR="00212EF9" w:rsidRPr="003A58CF">
        <w:t>Regional infrastructure</w:t>
      </w:r>
      <w:r w:rsidRPr="003A58CF">
        <w:t xml:space="preserve">.  </w:t>
      </w:r>
    </w:p>
    <w:p w:rsidR="00135CA1" w:rsidRPr="008E5B8A" w:rsidRDefault="0018666D" w:rsidP="008E5B8A">
      <w:pPr>
        <w:pStyle w:val="Heading4"/>
        <w:rPr>
          <w:rStyle w:val="Strong"/>
          <w:b/>
          <w:bCs/>
        </w:rPr>
      </w:pPr>
      <w:bookmarkStart w:id="147" w:name="_Toc351459109"/>
      <w:r w:rsidRPr="008E5B8A">
        <w:rPr>
          <w:rStyle w:val="Strong"/>
          <w:b/>
          <w:bCs/>
        </w:rPr>
        <w:t>Catchment health</w:t>
      </w:r>
      <w:bookmarkEnd w:id="147"/>
    </w:p>
    <w:p w:rsidR="00024E10" w:rsidRPr="003A58CF" w:rsidRDefault="007E5DCA" w:rsidP="00854F5E">
      <w:pPr>
        <w:pStyle w:val="bt"/>
      </w:pPr>
      <w:r w:rsidRPr="003A58CF">
        <w:t>Significant pressure for increased</w:t>
      </w:r>
      <w:r w:rsidR="00FE79AF" w:rsidRPr="003A58CF">
        <w:t xml:space="preserve"> urban and rural</w:t>
      </w:r>
      <w:r w:rsidRPr="003A58CF">
        <w:t xml:space="preserve"> settlement exists in some </w:t>
      </w:r>
      <w:r w:rsidR="008607C8" w:rsidRPr="003A58CF">
        <w:t>d</w:t>
      </w:r>
      <w:r w:rsidRPr="003A58CF">
        <w:t xml:space="preserve">eclared </w:t>
      </w:r>
      <w:r w:rsidR="008607C8" w:rsidRPr="003A58CF">
        <w:t>w</w:t>
      </w:r>
      <w:r w:rsidRPr="003A58CF">
        <w:t xml:space="preserve">ater </w:t>
      </w:r>
      <w:r w:rsidR="008607C8" w:rsidRPr="003A58CF">
        <w:t>s</w:t>
      </w:r>
      <w:r w:rsidRPr="003A58CF">
        <w:t xml:space="preserve">upply </w:t>
      </w:r>
      <w:r w:rsidR="008607C8" w:rsidRPr="003A58CF">
        <w:t>c</w:t>
      </w:r>
      <w:r w:rsidRPr="003A58CF">
        <w:t>atchments</w:t>
      </w:r>
      <w:r w:rsidR="0025037B" w:rsidRPr="003A58CF">
        <w:t>,</w:t>
      </w:r>
      <w:r w:rsidRPr="003A58CF">
        <w:t xml:space="preserve"> which needs to be carefully managed to protect both water quality and water supply. The rapid growth of domestic and stock dams that is occurring in rural residential areas across the region will have implications for water supply, particularly in drier years. </w:t>
      </w:r>
      <w:r w:rsidR="00FE79AF" w:rsidRPr="003A58CF">
        <w:t>The impacts of increased</w:t>
      </w:r>
      <w:r w:rsidR="00DB13FA" w:rsidRPr="003A58CF">
        <w:t xml:space="preserve"> density</w:t>
      </w:r>
      <w:r w:rsidR="00FE79AF" w:rsidRPr="003A58CF">
        <w:t xml:space="preserve"> urban</w:t>
      </w:r>
      <w:r w:rsidR="00DB13FA" w:rsidRPr="003A58CF">
        <w:t xml:space="preserve"> development</w:t>
      </w:r>
      <w:r w:rsidR="00FE79AF" w:rsidRPr="003A58CF">
        <w:t>, such as</w:t>
      </w:r>
      <w:r w:rsidR="00DB13FA" w:rsidRPr="003A58CF">
        <w:t xml:space="preserve"> increased pavement area</w:t>
      </w:r>
      <w:r w:rsidR="00FE79AF" w:rsidRPr="003A58CF">
        <w:t xml:space="preserve"> and runoff, and from some </w:t>
      </w:r>
      <w:r w:rsidR="00DB13FA" w:rsidRPr="003A58CF">
        <w:t>rural activities</w:t>
      </w:r>
      <w:r w:rsidR="00FE79AF" w:rsidRPr="003A58CF">
        <w:t xml:space="preserve">, such as intensive animal industries, </w:t>
      </w:r>
      <w:r w:rsidR="00DB13FA" w:rsidRPr="003A58CF">
        <w:t xml:space="preserve">can also impact on the rate and quality of water runoff to waterways through drainage </w:t>
      </w:r>
      <w:r w:rsidRPr="003A58CF">
        <w:t>lines. The</w:t>
      </w:r>
      <w:r w:rsidR="00024E10" w:rsidRPr="003A58CF">
        <w:t xml:space="preserve"> overall impact of activity </w:t>
      </w:r>
      <w:r w:rsidR="00F2079A" w:rsidRPr="003A58CF">
        <w:t xml:space="preserve">within </w:t>
      </w:r>
      <w:r w:rsidR="00024E10" w:rsidRPr="003A58CF">
        <w:t xml:space="preserve">water </w:t>
      </w:r>
      <w:r w:rsidR="00F2079A" w:rsidRPr="003A58CF">
        <w:t xml:space="preserve">supply </w:t>
      </w:r>
      <w:r w:rsidR="00024E10" w:rsidRPr="003A58CF">
        <w:t xml:space="preserve">catchments needs to be constantly monitored </w:t>
      </w:r>
      <w:r w:rsidR="005D4B46" w:rsidRPr="003A58CF">
        <w:t>and</w:t>
      </w:r>
      <w:r w:rsidR="00024E10" w:rsidRPr="003A58CF">
        <w:t xml:space="preserve"> managed. </w:t>
      </w:r>
    </w:p>
    <w:p w:rsidR="00DE58DB" w:rsidRPr="003A58CF" w:rsidRDefault="00F2079A" w:rsidP="00854F5E">
      <w:pPr>
        <w:pStyle w:val="bt"/>
      </w:pPr>
      <w:r w:rsidRPr="003A58CF">
        <w:t>Land use planning decisions in these areas need to consider the appropriate management of risks to water quality</w:t>
      </w:r>
      <w:r w:rsidR="00984E4E" w:rsidRPr="003A58CF">
        <w:t>, for example,</w:t>
      </w:r>
      <w:r w:rsidRPr="003A58CF">
        <w:t xml:space="preserve"> from wastewater. Councils and water authorities need to work closely together to </w:t>
      </w:r>
      <w:r w:rsidR="00FE79AF" w:rsidRPr="003A58CF">
        <w:t xml:space="preserve">identify and </w:t>
      </w:r>
      <w:r w:rsidRPr="003A58CF">
        <w:t xml:space="preserve">plan for rural residential developments in these areas. Councils may need to consider reviewing their </w:t>
      </w:r>
      <w:r w:rsidR="008607C8" w:rsidRPr="003A58CF">
        <w:t>d</w:t>
      </w:r>
      <w:r w:rsidRPr="003A58CF">
        <w:t xml:space="preserve">omestic </w:t>
      </w:r>
      <w:r w:rsidR="008607C8" w:rsidRPr="003A58CF">
        <w:t>w</w:t>
      </w:r>
      <w:r w:rsidRPr="003A58CF">
        <w:t xml:space="preserve">astewater </w:t>
      </w:r>
      <w:r w:rsidR="008607C8" w:rsidRPr="003A58CF">
        <w:t>m</w:t>
      </w:r>
      <w:r w:rsidRPr="003A58CF">
        <w:t xml:space="preserve">anagement </w:t>
      </w:r>
      <w:r w:rsidR="008607C8" w:rsidRPr="003A58CF">
        <w:t>p</w:t>
      </w:r>
      <w:r w:rsidRPr="003A58CF">
        <w:t xml:space="preserve">lans to </w:t>
      </w:r>
      <w:r w:rsidR="00FE79AF" w:rsidRPr="003A58CF">
        <w:t>support</w:t>
      </w:r>
      <w:r w:rsidRPr="003A58CF">
        <w:t xml:space="preserve"> this planning.</w:t>
      </w:r>
      <w:r w:rsidR="000F209D" w:rsidRPr="003A58CF">
        <w:t xml:space="preserve"> </w:t>
      </w:r>
      <w:r w:rsidR="00DE58DB" w:rsidRPr="003A58CF">
        <w:t xml:space="preserve">As new technologies and guidelines emerge </w:t>
      </w:r>
      <w:r w:rsidR="00FE79AF" w:rsidRPr="003A58CF">
        <w:t xml:space="preserve">relating to </w:t>
      </w:r>
      <w:r w:rsidR="00DE58DB" w:rsidRPr="003A58CF">
        <w:t>development in these catchment areas, the region will need to consider their implications</w:t>
      </w:r>
      <w:r w:rsidR="00FE79AF" w:rsidRPr="003A58CF">
        <w:t xml:space="preserve"> </w:t>
      </w:r>
      <w:r w:rsidR="00DE58DB" w:rsidRPr="003A58CF">
        <w:t xml:space="preserve">on the type of settlement and economic activity that could then emerge, and carefully plan for </w:t>
      </w:r>
      <w:r w:rsidR="00FE79AF" w:rsidRPr="003A58CF">
        <w:t>these in a way that maintains and protects</w:t>
      </w:r>
      <w:r w:rsidR="00DE58DB" w:rsidRPr="003A58CF">
        <w:t xml:space="preserve"> catchment health. This is especially important within </w:t>
      </w:r>
      <w:r w:rsidR="008B57E3" w:rsidRPr="003A58CF">
        <w:t xml:space="preserve">the Loddon Mallee South </w:t>
      </w:r>
      <w:r w:rsidR="00DE58DB" w:rsidRPr="003A58CF">
        <w:t xml:space="preserve">region, given that </w:t>
      </w:r>
      <w:r w:rsidR="008B57E3" w:rsidRPr="003A58CF">
        <w:t xml:space="preserve">most </w:t>
      </w:r>
      <w:r w:rsidR="00DE58DB" w:rsidRPr="003A58CF">
        <w:t xml:space="preserve">of the south of the region is part of </w:t>
      </w:r>
      <w:r w:rsidR="00230305">
        <w:t>d</w:t>
      </w:r>
      <w:r w:rsidR="00230305" w:rsidRPr="003A58CF">
        <w:t xml:space="preserve">eclared </w:t>
      </w:r>
      <w:r w:rsidR="00230305">
        <w:t>w</w:t>
      </w:r>
      <w:r w:rsidR="00230305" w:rsidRPr="003A58CF">
        <w:t xml:space="preserve">ater </w:t>
      </w:r>
      <w:r w:rsidR="00230305">
        <w:t>s</w:t>
      </w:r>
      <w:r w:rsidR="00230305" w:rsidRPr="003A58CF">
        <w:t xml:space="preserve">upply </w:t>
      </w:r>
      <w:r w:rsidR="00230305">
        <w:t>c</w:t>
      </w:r>
      <w:r w:rsidR="00230305" w:rsidRPr="003A58CF">
        <w:t xml:space="preserve">atchments </w:t>
      </w:r>
      <w:r w:rsidR="00DE58DB" w:rsidRPr="003A58CF">
        <w:t xml:space="preserve">(refer </w:t>
      </w:r>
      <w:r w:rsidR="0025037B" w:rsidRPr="003A58CF">
        <w:t xml:space="preserve">to </w:t>
      </w:r>
      <w:r w:rsidR="00DB13FA" w:rsidRPr="003A58CF">
        <w:t>Map 8: Future environment and heritage directions</w:t>
      </w:r>
      <w:r w:rsidR="00DE58DB" w:rsidRPr="003A58CF">
        <w:t xml:space="preserve">). </w:t>
      </w:r>
    </w:p>
    <w:p w:rsidR="00135CA1" w:rsidRPr="008E5B8A" w:rsidRDefault="0018666D" w:rsidP="008E5B8A">
      <w:pPr>
        <w:pStyle w:val="Heading4"/>
        <w:rPr>
          <w:rStyle w:val="Strong"/>
          <w:b/>
          <w:bCs/>
        </w:rPr>
      </w:pPr>
      <w:bookmarkStart w:id="148" w:name="_Toc351459110"/>
      <w:r w:rsidRPr="008E5B8A">
        <w:rPr>
          <w:rStyle w:val="Strong"/>
          <w:b/>
          <w:bCs/>
        </w:rPr>
        <w:t>Soils</w:t>
      </w:r>
      <w:bookmarkEnd w:id="148"/>
    </w:p>
    <w:p w:rsidR="008B57E3" w:rsidRPr="003A58CF" w:rsidRDefault="00DE58DB" w:rsidP="00854F5E">
      <w:pPr>
        <w:pStyle w:val="bt"/>
      </w:pPr>
      <w:r w:rsidRPr="003A58CF">
        <w:t xml:space="preserve">Healthy and productive soils are essential for the continued economic success of </w:t>
      </w:r>
      <w:r w:rsidR="008B57E3" w:rsidRPr="003A58CF">
        <w:t xml:space="preserve">the </w:t>
      </w:r>
      <w:r w:rsidRPr="003A58CF">
        <w:t xml:space="preserve">region, particularly for agricultural enterprises. Land use planning can assist in the protection of the region’s soil resource by </w:t>
      </w:r>
      <w:r w:rsidR="008B57E3" w:rsidRPr="003A58CF">
        <w:t xml:space="preserve">ensuring </w:t>
      </w:r>
      <w:r w:rsidRPr="003A58CF">
        <w:t>that land use change does not disturb soils to a level that could result in deterioration of the soil asset within the region, or further contribute to the pollution of waterways in any significant volume. Overlays</w:t>
      </w:r>
      <w:r w:rsidR="00984E4E" w:rsidRPr="003A58CF">
        <w:t xml:space="preserve"> </w:t>
      </w:r>
      <w:r w:rsidRPr="003A58CF">
        <w:t xml:space="preserve">such as </w:t>
      </w:r>
      <w:r w:rsidR="008B57E3" w:rsidRPr="003A58CF">
        <w:t xml:space="preserve">the </w:t>
      </w:r>
      <w:r w:rsidR="00E93CEA" w:rsidRPr="003A58CF">
        <w:t>E</w:t>
      </w:r>
      <w:r w:rsidRPr="003A58CF">
        <w:t xml:space="preserve">nvironmental </w:t>
      </w:r>
      <w:r w:rsidR="00E93CEA" w:rsidRPr="003A58CF">
        <w:t>S</w:t>
      </w:r>
      <w:r w:rsidRPr="003A58CF">
        <w:t xml:space="preserve">ignificance </w:t>
      </w:r>
      <w:r w:rsidR="00E93CEA" w:rsidRPr="003A58CF">
        <w:t>O</w:t>
      </w:r>
      <w:r w:rsidRPr="003A58CF">
        <w:t xml:space="preserve">verlay or </w:t>
      </w:r>
      <w:r w:rsidR="008B57E3" w:rsidRPr="003A58CF">
        <w:t xml:space="preserve">the </w:t>
      </w:r>
      <w:r w:rsidR="00E93CEA" w:rsidRPr="003A58CF">
        <w:t>E</w:t>
      </w:r>
      <w:r w:rsidRPr="003A58CF">
        <w:t xml:space="preserve">rosion </w:t>
      </w:r>
      <w:r w:rsidR="00E93CEA" w:rsidRPr="003A58CF">
        <w:t>M</w:t>
      </w:r>
      <w:r w:rsidRPr="003A58CF">
        <w:t xml:space="preserve">anagement </w:t>
      </w:r>
      <w:r w:rsidR="00E93CEA" w:rsidRPr="003A58CF">
        <w:t>O</w:t>
      </w:r>
      <w:r w:rsidRPr="003A58CF">
        <w:t xml:space="preserve">verlay can be used to enhance the protection of soils across the region. </w:t>
      </w:r>
      <w:r w:rsidR="000F209D" w:rsidRPr="003A58CF">
        <w:t xml:space="preserve">Protection of significant agricultural land through suitable planning mechanisms will also help to </w:t>
      </w:r>
      <w:r w:rsidR="008B57E3" w:rsidRPr="003A58CF">
        <w:t>protect the region’s soils</w:t>
      </w:r>
      <w:r w:rsidR="0025037B" w:rsidRPr="003A58CF">
        <w:t>.</w:t>
      </w:r>
    </w:p>
    <w:p w:rsidR="00DE58DB" w:rsidRPr="003A58CF" w:rsidRDefault="000F209D" w:rsidP="008E5B8A">
      <w:pPr>
        <w:pStyle w:val="Heading2"/>
      </w:pPr>
      <w:bookmarkStart w:id="149" w:name="_Toc377026339"/>
      <w:r w:rsidRPr="003A58CF">
        <w:t xml:space="preserve">Natural </w:t>
      </w:r>
      <w:r w:rsidR="00F63DAC" w:rsidRPr="003A58CF">
        <w:t>h</w:t>
      </w:r>
      <w:r w:rsidRPr="003A58CF">
        <w:t xml:space="preserve">azards and </w:t>
      </w:r>
      <w:r w:rsidR="00F63DAC" w:rsidRPr="003A58CF">
        <w:t>r</w:t>
      </w:r>
      <w:r w:rsidRPr="003A58CF">
        <w:t>isks</w:t>
      </w:r>
      <w:bookmarkEnd w:id="149"/>
    </w:p>
    <w:p w:rsidR="00DE58DB" w:rsidRPr="003A58CF" w:rsidRDefault="006F1F37" w:rsidP="00854F5E">
      <w:pPr>
        <w:pStyle w:val="bt"/>
      </w:pPr>
      <w:r w:rsidRPr="003A58CF">
        <w:t xml:space="preserve">The </w:t>
      </w:r>
      <w:r w:rsidR="00BB678A" w:rsidRPr="003A58CF">
        <w:t>risks from natural hazards need</w:t>
      </w:r>
      <w:r w:rsidRPr="003A58CF">
        <w:t xml:space="preserve"> to be </w:t>
      </w:r>
      <w:r w:rsidR="00120C92" w:rsidRPr="003A58CF">
        <w:t>explicitly</w:t>
      </w:r>
      <w:r w:rsidRPr="003A58CF">
        <w:t xml:space="preserve"> considered in both strategic and statutory planning to ensure the safety of settlements from, for example, </w:t>
      </w:r>
      <w:r w:rsidR="002D2356" w:rsidRPr="003A58CF">
        <w:t>bushfire</w:t>
      </w:r>
      <w:r w:rsidRPr="003A58CF">
        <w:t xml:space="preserve"> and </w:t>
      </w:r>
      <w:r w:rsidR="002D2356" w:rsidRPr="003A58CF">
        <w:t>flood</w:t>
      </w:r>
      <w:r w:rsidRPr="003A58CF">
        <w:t xml:space="preserve">. </w:t>
      </w:r>
      <w:r w:rsidR="00DB13FA" w:rsidRPr="003A58CF">
        <w:t>An overview of the regional planning implications of natural hazards is provided below. More detail on natural hazards</w:t>
      </w:r>
      <w:r w:rsidR="00E908DE" w:rsidRPr="003A58CF">
        <w:t xml:space="preserve">, </w:t>
      </w:r>
      <w:r w:rsidR="00DB13FA" w:rsidRPr="003A58CF">
        <w:t>including mapping</w:t>
      </w:r>
      <w:r w:rsidR="00E908DE" w:rsidRPr="003A58CF">
        <w:t>,</w:t>
      </w:r>
      <w:r w:rsidR="00DB13FA" w:rsidRPr="003A58CF">
        <w:t xml:space="preserve"> is included in the </w:t>
      </w:r>
      <w:r w:rsidR="00E908DE" w:rsidRPr="003A58CF">
        <w:t>b</w:t>
      </w:r>
      <w:r w:rsidR="00DB13FA" w:rsidRPr="003A58CF">
        <w:t xml:space="preserve">ackground </w:t>
      </w:r>
      <w:r w:rsidR="00E908DE" w:rsidRPr="003A58CF">
        <w:t>r</w:t>
      </w:r>
      <w:r w:rsidR="00DB13FA" w:rsidRPr="003A58CF">
        <w:t>eport.</w:t>
      </w:r>
    </w:p>
    <w:p w:rsidR="00135CA1" w:rsidRPr="008E5B8A" w:rsidRDefault="002D2356" w:rsidP="008E5B8A">
      <w:pPr>
        <w:pStyle w:val="Heading4"/>
        <w:rPr>
          <w:rStyle w:val="Strong"/>
          <w:b/>
          <w:bCs/>
        </w:rPr>
      </w:pPr>
      <w:r w:rsidRPr="008E5B8A">
        <w:rPr>
          <w:rStyle w:val="Strong"/>
          <w:b/>
          <w:bCs/>
        </w:rPr>
        <w:t>Flood</w:t>
      </w:r>
    </w:p>
    <w:p w:rsidR="006E47A6" w:rsidRPr="003A58CF" w:rsidRDefault="000F209D" w:rsidP="00854F5E">
      <w:pPr>
        <w:pStyle w:val="bt"/>
      </w:pPr>
      <w:r w:rsidRPr="003A58CF">
        <w:t>There are a significant number of urban settlements within the Loddon Mallee South region that are exposed to flood risk</w:t>
      </w:r>
      <w:r w:rsidR="00DE58DB" w:rsidRPr="003A58CF">
        <w:t xml:space="preserve"> </w:t>
      </w:r>
      <w:r w:rsidR="00BA6E4B" w:rsidRPr="003A58CF">
        <w:t>(</w:t>
      </w:r>
      <w:r w:rsidR="00527C13" w:rsidRPr="003A58CF">
        <w:t xml:space="preserve">see </w:t>
      </w:r>
      <w:r w:rsidR="00BA6E4B" w:rsidRPr="003A58CF">
        <w:t>Map</w:t>
      </w:r>
      <w:r w:rsidR="00E908DE" w:rsidRPr="003A58CF">
        <w:t>s</w:t>
      </w:r>
      <w:r w:rsidR="00BA6E4B" w:rsidRPr="003A58CF">
        <w:t xml:space="preserve"> 8 </w:t>
      </w:r>
      <w:r w:rsidR="00E908DE" w:rsidRPr="003A58CF">
        <w:t>and 9</w:t>
      </w:r>
      <w:r w:rsidR="00DE58DB" w:rsidRPr="003A58CF">
        <w:t>)</w:t>
      </w:r>
      <w:r w:rsidR="006E47A6" w:rsidRPr="003A58CF">
        <w:t xml:space="preserve"> which</w:t>
      </w:r>
      <w:r w:rsidR="00DE58DB" w:rsidRPr="003A58CF">
        <w:t xml:space="preserve"> needs to be considered in future planning </w:t>
      </w:r>
      <w:r w:rsidR="006E47A6" w:rsidRPr="003A58CF">
        <w:t>for growth</w:t>
      </w:r>
      <w:r w:rsidR="00DE58DB" w:rsidRPr="003A58CF">
        <w:t>.</w:t>
      </w:r>
      <w:r w:rsidR="004133A6" w:rsidRPr="003A58CF">
        <w:t xml:space="preserve"> Wider landscape risks are discussed in the </w:t>
      </w:r>
      <w:r w:rsidR="00E908DE" w:rsidRPr="003A58CF">
        <w:t>b</w:t>
      </w:r>
      <w:r w:rsidR="004133A6" w:rsidRPr="003A58CF">
        <w:t xml:space="preserve">ackground </w:t>
      </w:r>
      <w:r w:rsidR="00E908DE" w:rsidRPr="003A58CF">
        <w:t>r</w:t>
      </w:r>
      <w:r w:rsidR="004133A6" w:rsidRPr="003A58CF">
        <w:t>eport.</w:t>
      </w:r>
      <w:r w:rsidR="00DE58DB" w:rsidRPr="003A58CF">
        <w:t xml:space="preserve"> </w:t>
      </w:r>
      <w:r w:rsidR="006E47A6" w:rsidRPr="003A58CF">
        <w:t xml:space="preserve">It is important </w:t>
      </w:r>
      <w:r w:rsidR="000B554C" w:rsidRPr="003A58CF">
        <w:t xml:space="preserve">for </w:t>
      </w:r>
      <w:r w:rsidR="006E47A6" w:rsidRPr="003A58CF">
        <w:t xml:space="preserve">this </w:t>
      </w:r>
      <w:r w:rsidR="003F429B" w:rsidRPr="003A58CF">
        <w:t>plan</w:t>
      </w:r>
      <w:r w:rsidR="006E47A6" w:rsidRPr="003A58CF">
        <w:t xml:space="preserve"> </w:t>
      </w:r>
      <w:r w:rsidR="000B554C" w:rsidRPr="003A58CF">
        <w:t xml:space="preserve">to </w:t>
      </w:r>
      <w:r w:rsidR="006E47A6" w:rsidRPr="003A58CF">
        <w:t xml:space="preserve">address any increased hazard posed by potential land use change in the region. The risks presented to land use from </w:t>
      </w:r>
      <w:r w:rsidR="008607C8" w:rsidRPr="003A58CF">
        <w:t>flood</w:t>
      </w:r>
      <w:r w:rsidR="006E47A6" w:rsidRPr="003A58CF">
        <w:t xml:space="preserve"> hazards must be considered in regional and local planning decisions. These decisions should be based on the best quality information on </w:t>
      </w:r>
      <w:r w:rsidR="008607C8" w:rsidRPr="003A58CF">
        <w:t>flood</w:t>
      </w:r>
      <w:r w:rsidR="006E47A6" w:rsidRPr="003A58CF">
        <w:t xml:space="preserve"> hazards to minimise risk to life, property and infrastructure.</w:t>
      </w:r>
    </w:p>
    <w:p w:rsidR="00DE58DB" w:rsidRPr="003A58CF" w:rsidRDefault="00DE58DB" w:rsidP="00854F5E">
      <w:pPr>
        <w:pStyle w:val="bt"/>
      </w:pPr>
      <w:r w:rsidRPr="003A58CF">
        <w:lastRenderedPageBreak/>
        <w:t>Flood mapping is critical to the continued success of land use planning. Mapping of the January 2011 flood</w:t>
      </w:r>
      <w:r w:rsidR="004133A6" w:rsidRPr="003A58CF">
        <w:t xml:space="preserve"> in some areas</w:t>
      </w:r>
      <w:r w:rsidR="00E821E2" w:rsidRPr="003A58CF">
        <w:t>,</w:t>
      </w:r>
      <w:r w:rsidRPr="003A58CF">
        <w:t xml:space="preserve"> the highest on record</w:t>
      </w:r>
      <w:r w:rsidR="00E821E2" w:rsidRPr="003A58CF">
        <w:t>,</w:t>
      </w:r>
      <w:r w:rsidRPr="003A58CF">
        <w:t xml:space="preserve"> is still being translated into planning </w:t>
      </w:r>
      <w:r w:rsidR="00E93CEA" w:rsidRPr="003A58CF">
        <w:t xml:space="preserve">scheme </w:t>
      </w:r>
      <w:r w:rsidRPr="003A58CF">
        <w:t>overlays.</w:t>
      </w:r>
      <w:r w:rsidR="006E47A6" w:rsidRPr="003A58CF">
        <w:t xml:space="preserve"> New flood investigations will help inform a consistent and accurate approach to flood risk management in planning schemes across the region.</w:t>
      </w:r>
    </w:p>
    <w:p w:rsidR="007F2BED" w:rsidRPr="003A58CF" w:rsidRDefault="00230305" w:rsidP="00854F5E">
      <w:pPr>
        <w:pStyle w:val="bt"/>
      </w:pPr>
      <w:r>
        <w:t>With a changing climate</w:t>
      </w:r>
      <w:r w:rsidR="001F16ED" w:rsidRPr="003A58CF">
        <w:t xml:space="preserve">, there will be an increased risk of </w:t>
      </w:r>
      <w:r w:rsidR="008607C8" w:rsidRPr="003A58CF">
        <w:t>flood</w:t>
      </w:r>
      <w:r w:rsidR="001F16ED" w:rsidRPr="003A58CF">
        <w:t>. Though there will be fewer rainfall days, there is likely to be an increased incidence of heavier rainfall events</w:t>
      </w:r>
      <w:r w:rsidR="00527C13" w:rsidRPr="003A58CF">
        <w:t>,</w:t>
      </w:r>
      <w:r w:rsidR="001F16ED" w:rsidRPr="003A58CF">
        <w:t xml:space="preserve"> which may result in riverine </w:t>
      </w:r>
      <w:r w:rsidR="008607C8" w:rsidRPr="003A58CF">
        <w:t>flood</w:t>
      </w:r>
      <w:r w:rsidR="001F16ED" w:rsidRPr="003A58CF">
        <w:t xml:space="preserve">, flash </w:t>
      </w:r>
      <w:r w:rsidR="008607C8" w:rsidRPr="003A58CF">
        <w:t>flood</w:t>
      </w:r>
      <w:r w:rsidR="001F16ED" w:rsidRPr="003A58CF">
        <w:t xml:space="preserve"> and storm damage.</w:t>
      </w:r>
    </w:p>
    <w:p w:rsidR="006E47A6" w:rsidRPr="003A58CF" w:rsidRDefault="006E47A6" w:rsidP="00854F5E">
      <w:pPr>
        <w:pStyle w:val="bt"/>
      </w:pPr>
      <w:r w:rsidRPr="003A58CF">
        <w:t xml:space="preserve">The </w:t>
      </w:r>
      <w:r w:rsidR="00E908DE" w:rsidRPr="003A58CF">
        <w:t xml:space="preserve">extent and coverage of </w:t>
      </w:r>
      <w:r w:rsidRPr="003A58CF">
        <w:t xml:space="preserve">flood controls in the region’s current planning schemes </w:t>
      </w:r>
      <w:r w:rsidR="00E908DE" w:rsidRPr="003A58CF">
        <w:t>varies</w:t>
      </w:r>
      <w:r w:rsidRPr="003A58CF">
        <w:t xml:space="preserve"> between council</w:t>
      </w:r>
      <w:r w:rsidR="00E908DE" w:rsidRPr="003A58CF">
        <w:t>s</w:t>
      </w:r>
      <w:r w:rsidRPr="003A58CF">
        <w:t>. The region would benefit from a more consistent approach to flood-related planning controls to avoid inappropriate development</w:t>
      </w:r>
      <w:r w:rsidR="00E821E2" w:rsidRPr="003A58CF">
        <w:t xml:space="preserve"> </w:t>
      </w:r>
      <w:r w:rsidRPr="003A58CF">
        <w:t xml:space="preserve">or redevelopment and support appropriate development responses. The growth directions </w:t>
      </w:r>
      <w:r w:rsidR="000B554C" w:rsidRPr="003A58CF">
        <w:t xml:space="preserve">in this </w:t>
      </w:r>
      <w:r w:rsidR="003F429B" w:rsidRPr="003A58CF">
        <w:t>plan</w:t>
      </w:r>
      <w:r w:rsidR="000B554C" w:rsidRPr="003A58CF">
        <w:t xml:space="preserve"> </w:t>
      </w:r>
      <w:r w:rsidRPr="003A58CF">
        <w:t>for individual settlements (</w:t>
      </w:r>
      <w:r w:rsidR="000B554C" w:rsidRPr="003A58CF">
        <w:t xml:space="preserve">refer to </w:t>
      </w:r>
      <w:r w:rsidR="00212EF9" w:rsidRPr="003A58CF">
        <w:t>Section 13 Living in the region</w:t>
      </w:r>
      <w:r w:rsidRPr="003A58CF">
        <w:t>) consider flood hazard</w:t>
      </w:r>
      <w:r w:rsidR="000B554C" w:rsidRPr="003A58CF">
        <w:t>s</w:t>
      </w:r>
      <w:r w:rsidRPr="003A58CF">
        <w:t>.</w:t>
      </w:r>
    </w:p>
    <w:p w:rsidR="00135CA1" w:rsidRPr="008E5B8A" w:rsidRDefault="002D2356" w:rsidP="008E5B8A">
      <w:pPr>
        <w:pStyle w:val="Heading4"/>
        <w:rPr>
          <w:rStyle w:val="Strong"/>
          <w:b/>
          <w:bCs/>
        </w:rPr>
      </w:pPr>
      <w:r w:rsidRPr="008E5B8A">
        <w:rPr>
          <w:rStyle w:val="Strong"/>
          <w:b/>
          <w:bCs/>
        </w:rPr>
        <w:t>Bushfire</w:t>
      </w:r>
    </w:p>
    <w:p w:rsidR="00BC11AB" w:rsidRPr="003A58CF" w:rsidRDefault="00107F14" w:rsidP="00854F5E">
      <w:pPr>
        <w:pStyle w:val="bt"/>
      </w:pPr>
      <w:r w:rsidRPr="003A58CF">
        <w:t>C</w:t>
      </w:r>
      <w:r w:rsidR="00DE58DB" w:rsidRPr="003A58CF">
        <w:t>hallenge</w:t>
      </w:r>
      <w:r w:rsidRPr="003A58CF">
        <w:t>s</w:t>
      </w:r>
      <w:r w:rsidR="00DE58DB" w:rsidRPr="003A58CF">
        <w:t xml:space="preserve"> </w:t>
      </w:r>
      <w:r w:rsidRPr="003A58CF">
        <w:t xml:space="preserve">exist </w:t>
      </w:r>
      <w:r w:rsidR="00DE58DB" w:rsidRPr="003A58CF">
        <w:t>within</w:t>
      </w:r>
      <w:r w:rsidR="00230305">
        <w:t xml:space="preserve"> the</w:t>
      </w:r>
      <w:r w:rsidR="00DE58DB" w:rsidRPr="003A58CF">
        <w:t xml:space="preserve"> Loddon Mallee South</w:t>
      </w:r>
      <w:r w:rsidR="00230305">
        <w:t xml:space="preserve"> region</w:t>
      </w:r>
      <w:r w:rsidR="00DE58DB" w:rsidRPr="003A58CF">
        <w:t xml:space="preserve"> given the </w:t>
      </w:r>
      <w:r w:rsidRPr="003A58CF">
        <w:t xml:space="preserve">large number </w:t>
      </w:r>
      <w:r w:rsidR="00DE58DB" w:rsidRPr="003A58CF">
        <w:t xml:space="preserve">of high </w:t>
      </w:r>
      <w:r w:rsidR="006E47A6" w:rsidRPr="003A58CF">
        <w:t>bush</w:t>
      </w:r>
      <w:r w:rsidR="00DE58DB" w:rsidRPr="003A58CF">
        <w:t xml:space="preserve">fire </w:t>
      </w:r>
      <w:r w:rsidR="006E47A6" w:rsidRPr="003A58CF">
        <w:t xml:space="preserve">hazard </w:t>
      </w:r>
      <w:r w:rsidRPr="003A58CF">
        <w:t xml:space="preserve">areas </w:t>
      </w:r>
      <w:r w:rsidR="00DE58DB" w:rsidRPr="003A58CF">
        <w:t>that intersect with settlements</w:t>
      </w:r>
      <w:r w:rsidR="00E908DE" w:rsidRPr="003A58CF">
        <w:t xml:space="preserve"> </w:t>
      </w:r>
      <w:r w:rsidR="00527C13" w:rsidRPr="003A58CF">
        <w:t>(</w:t>
      </w:r>
      <w:r w:rsidR="004133A6" w:rsidRPr="003A58CF">
        <w:t>refer to Map</w:t>
      </w:r>
      <w:r w:rsidR="00527C13" w:rsidRPr="003A58CF">
        <w:t>s</w:t>
      </w:r>
      <w:r w:rsidR="004133A6" w:rsidRPr="003A58CF">
        <w:t xml:space="preserve"> 8 and 9</w:t>
      </w:r>
      <w:r w:rsidR="00527C13" w:rsidRPr="003A58CF">
        <w:t>)</w:t>
      </w:r>
      <w:r w:rsidRPr="003A58CF">
        <w:t>,</w:t>
      </w:r>
      <w:r w:rsidR="00DE58DB" w:rsidRPr="003A58CF">
        <w:t xml:space="preserve"> and </w:t>
      </w:r>
      <w:r w:rsidRPr="003A58CF">
        <w:t xml:space="preserve">the number of </w:t>
      </w:r>
      <w:r w:rsidR="00DE58DB" w:rsidRPr="003A58CF">
        <w:t>areas experiencing rural residential and tourism expansion. Regional and local planning consider bushfire risk in detail, with the assistance of planning tools</w:t>
      </w:r>
      <w:r w:rsidR="00BA4EE7" w:rsidRPr="003A58CF">
        <w:t>, for example,</w:t>
      </w:r>
      <w:r w:rsidRPr="003A58CF">
        <w:t xml:space="preserve"> </w:t>
      </w:r>
      <w:r w:rsidR="00DE58DB" w:rsidRPr="003A58CF">
        <w:t>the Bushfire Management Overlay, Regional Bushfire Planning Assessments and Bushfire</w:t>
      </w:r>
      <w:r w:rsidR="00527C13" w:rsidRPr="003A58CF">
        <w:t>-</w:t>
      </w:r>
      <w:r w:rsidR="00DE58DB" w:rsidRPr="003A58CF">
        <w:t>Prone Areas, as well as input from key stakeholders</w:t>
      </w:r>
      <w:r w:rsidRPr="003A58CF">
        <w:t xml:space="preserve"> such as </w:t>
      </w:r>
      <w:r w:rsidR="00DE58DB" w:rsidRPr="003A58CF">
        <w:t xml:space="preserve">the Country Fire Authority. </w:t>
      </w:r>
    </w:p>
    <w:p w:rsidR="00BE12DC" w:rsidRPr="003A58CF" w:rsidRDefault="00DE58DB" w:rsidP="00854F5E">
      <w:pPr>
        <w:pStyle w:val="bt"/>
      </w:pPr>
      <w:r w:rsidRPr="003A58CF">
        <w:t xml:space="preserve">Further detailed analysis </w:t>
      </w:r>
      <w:r w:rsidR="00107F14" w:rsidRPr="003A58CF">
        <w:t xml:space="preserve">needs to be undertaken for each </w:t>
      </w:r>
      <w:r w:rsidR="00E93CEA" w:rsidRPr="003A58CF">
        <w:t>c</w:t>
      </w:r>
      <w:r w:rsidR="00107F14" w:rsidRPr="003A58CF">
        <w:t xml:space="preserve">ouncil to </w:t>
      </w:r>
      <w:r w:rsidRPr="003A58CF">
        <w:t>provid</w:t>
      </w:r>
      <w:r w:rsidR="00107F14" w:rsidRPr="003A58CF">
        <w:t>e</w:t>
      </w:r>
      <w:r w:rsidRPr="003A58CF">
        <w:t xml:space="preserve"> </w:t>
      </w:r>
      <w:r w:rsidR="00107F14" w:rsidRPr="003A58CF">
        <w:t xml:space="preserve">a greater </w:t>
      </w:r>
      <w:r w:rsidRPr="003A58CF">
        <w:t>understanding of vegetation and area</w:t>
      </w:r>
      <w:r w:rsidR="00107F14" w:rsidRPr="003A58CF">
        <w:t>-</w:t>
      </w:r>
      <w:r w:rsidRPr="003A58CF">
        <w:t>specific fire risk to support settlement</w:t>
      </w:r>
      <w:r w:rsidR="00107F14" w:rsidRPr="003A58CF">
        <w:t xml:space="preserve"> planning</w:t>
      </w:r>
      <w:r w:rsidRPr="003A58CF">
        <w:t>.</w:t>
      </w:r>
      <w:r w:rsidR="00BC11AB" w:rsidRPr="003A58CF">
        <w:t xml:space="preserve"> </w:t>
      </w:r>
      <w:r w:rsidR="001F16ED" w:rsidRPr="003A58CF">
        <w:t xml:space="preserve">The growth directions in this </w:t>
      </w:r>
      <w:r w:rsidR="003F429B" w:rsidRPr="003A58CF">
        <w:t>plan</w:t>
      </w:r>
      <w:r w:rsidR="001F16ED" w:rsidRPr="003A58CF">
        <w:t xml:space="preserve"> for individual settlements consider bushfire hazards</w:t>
      </w:r>
      <w:r w:rsidR="00E908DE" w:rsidRPr="003A58CF">
        <w:t xml:space="preserve"> (refer to Section 13 Living in the region)</w:t>
      </w:r>
      <w:r w:rsidR="001F16ED" w:rsidRPr="003A58CF">
        <w:t xml:space="preserve">. </w:t>
      </w:r>
    </w:p>
    <w:p w:rsidR="00BE12DC" w:rsidRPr="003A58CF" w:rsidRDefault="00BE12DC" w:rsidP="00854F5E">
      <w:pPr>
        <w:pStyle w:val="bt"/>
      </w:pPr>
      <w:r w:rsidRPr="003A58CF">
        <w:t>When addressing bushfire risk, community resilience to bushfire will be strengthened by:</w:t>
      </w:r>
    </w:p>
    <w:p w:rsidR="00721E70" w:rsidRPr="003A58CF" w:rsidRDefault="00BE12DC" w:rsidP="00025EF8">
      <w:pPr>
        <w:pStyle w:val="btbullet"/>
      </w:pPr>
      <w:r w:rsidRPr="003A58CF">
        <w:t>Prioritising the protection of human life over other policy considerations when planning to create or expand a settlement at risk from bushfire</w:t>
      </w:r>
    </w:p>
    <w:p w:rsidR="00721E70" w:rsidRPr="003A58CF" w:rsidRDefault="00BE12DC" w:rsidP="00025EF8">
      <w:pPr>
        <w:pStyle w:val="btbullet"/>
      </w:pPr>
      <w:r w:rsidRPr="003A58CF">
        <w:t>Applying a precautionary approach to planning and decision-making when assessing the risk to life, property and community infrastructure from bushfire</w:t>
      </w:r>
    </w:p>
    <w:p w:rsidR="00721E70" w:rsidRPr="003A58CF" w:rsidRDefault="00BE12DC" w:rsidP="00025EF8">
      <w:pPr>
        <w:pStyle w:val="btbullet"/>
      </w:pPr>
      <w:r w:rsidRPr="003A58CF">
        <w:t>Taking advantage of existing settlement patterns where new development will not expose the community to increased risk from bushfire.</w:t>
      </w:r>
    </w:p>
    <w:p w:rsidR="008E5B8A" w:rsidRDefault="001F16ED" w:rsidP="00854F5E">
      <w:pPr>
        <w:pStyle w:val="bt"/>
      </w:pPr>
      <w:r w:rsidRPr="003A58CF">
        <w:t>More detailed information on the bushfire hazard</w:t>
      </w:r>
      <w:r w:rsidR="00527C13" w:rsidRPr="003A58CF">
        <w:t>s</w:t>
      </w:r>
      <w:r w:rsidRPr="003A58CF">
        <w:t xml:space="preserve"> in the region is included in the </w:t>
      </w:r>
      <w:r w:rsidR="00E908DE" w:rsidRPr="003A58CF">
        <w:t>b</w:t>
      </w:r>
      <w:r w:rsidRPr="003A58CF">
        <w:t xml:space="preserve">ackground </w:t>
      </w:r>
      <w:r w:rsidR="00E908DE" w:rsidRPr="003A58CF">
        <w:t>r</w:t>
      </w:r>
      <w:r w:rsidRPr="003A58CF">
        <w:t>eport.</w:t>
      </w:r>
    </w:p>
    <w:p w:rsidR="00135CA1" w:rsidRPr="008E5B8A" w:rsidRDefault="000952D4" w:rsidP="008E5B8A">
      <w:pPr>
        <w:pStyle w:val="Heading4"/>
        <w:rPr>
          <w:rStyle w:val="Strong"/>
          <w:b/>
          <w:bCs/>
        </w:rPr>
      </w:pPr>
      <w:bookmarkStart w:id="150" w:name="_Toc351459114"/>
      <w:r w:rsidRPr="008E5B8A">
        <w:rPr>
          <w:rStyle w:val="Strong"/>
          <w:b/>
          <w:bCs/>
        </w:rPr>
        <w:t>Salinity</w:t>
      </w:r>
      <w:bookmarkEnd w:id="150"/>
    </w:p>
    <w:p w:rsidR="00BC11AB" w:rsidRPr="003A58CF" w:rsidRDefault="00DE58DB" w:rsidP="00854F5E">
      <w:pPr>
        <w:pStyle w:val="bt"/>
      </w:pPr>
      <w:r w:rsidRPr="003A58CF">
        <w:t xml:space="preserve">Salinity issues are a key consideration of some settlements in </w:t>
      </w:r>
      <w:r w:rsidR="006A42FC" w:rsidRPr="003A58CF">
        <w:t xml:space="preserve">the </w:t>
      </w:r>
      <w:r w:rsidRPr="003A58CF">
        <w:t xml:space="preserve">region, mostly in </w:t>
      </w:r>
      <w:r w:rsidR="007E5DCA" w:rsidRPr="003A58CF">
        <w:t>dry land</w:t>
      </w:r>
      <w:r w:rsidR="00527C13" w:rsidRPr="003A58CF">
        <w:t>,</w:t>
      </w:r>
      <w:r w:rsidRPr="003A58CF">
        <w:t xml:space="preserve"> non-irrigated areas. </w:t>
      </w:r>
      <w:r w:rsidR="004133A6" w:rsidRPr="003A58CF">
        <w:t xml:space="preserve">Salinity also impacts on the broader landscape in both </w:t>
      </w:r>
      <w:r w:rsidR="007E5DCA" w:rsidRPr="003A58CF">
        <w:t>dry land</w:t>
      </w:r>
      <w:r w:rsidR="004133A6" w:rsidRPr="003A58CF">
        <w:t xml:space="preserve"> and irrigated areas. </w:t>
      </w:r>
      <w:r w:rsidRPr="003A58CF">
        <w:t xml:space="preserve">The history of salinity in </w:t>
      </w:r>
      <w:r w:rsidR="005D4B46" w:rsidRPr="003A58CF">
        <w:t xml:space="preserve">the region </w:t>
      </w:r>
      <w:r w:rsidRPr="003A58CF">
        <w:t>is well</w:t>
      </w:r>
      <w:r w:rsidR="00527C13" w:rsidRPr="003A58CF">
        <w:t xml:space="preserve"> </w:t>
      </w:r>
      <w:r w:rsidRPr="003A58CF">
        <w:t xml:space="preserve">documented and </w:t>
      </w:r>
      <w:r w:rsidR="005D4B46" w:rsidRPr="003A58CF">
        <w:t xml:space="preserve">an </w:t>
      </w:r>
      <w:r w:rsidRPr="003A58CF">
        <w:t xml:space="preserve">ongoing planning consideration. </w:t>
      </w:r>
    </w:p>
    <w:p w:rsidR="00DE58DB" w:rsidRPr="003A58CF" w:rsidRDefault="00DE58DB" w:rsidP="00854F5E">
      <w:pPr>
        <w:pStyle w:val="bt"/>
      </w:pPr>
      <w:r w:rsidRPr="003A58CF">
        <w:t>Salinity Management Overlays are used in some parts of the region to inform localised planning decisions.</w:t>
      </w:r>
      <w:r w:rsidR="004133A6" w:rsidRPr="003A58CF">
        <w:t xml:space="preserve"> This overlay has generally been used on rural areas in the region, but has been applied in some urban areas to assist in settlement planning decisions, particularly in Bendigo.</w:t>
      </w:r>
      <w:r w:rsidRPr="003A58CF">
        <w:t xml:space="preserve"> </w:t>
      </w:r>
      <w:r w:rsidR="006E47A6" w:rsidRPr="003A58CF">
        <w:t xml:space="preserve">Catchment-scale salinity management actions are coordinated by the </w:t>
      </w:r>
      <w:r w:rsidR="00F0382F" w:rsidRPr="003A58CF">
        <w:t>c</w:t>
      </w:r>
      <w:r w:rsidR="006E47A6" w:rsidRPr="003A58CF">
        <w:t xml:space="preserve">atchment </w:t>
      </w:r>
      <w:r w:rsidR="00F0382F" w:rsidRPr="003A58CF">
        <w:t>m</w:t>
      </w:r>
      <w:r w:rsidR="006E47A6" w:rsidRPr="003A58CF">
        <w:t xml:space="preserve">anagement </w:t>
      </w:r>
      <w:r w:rsidR="00F0382F" w:rsidRPr="003A58CF">
        <w:t>a</w:t>
      </w:r>
      <w:r w:rsidR="006E47A6" w:rsidRPr="003A58CF">
        <w:t>uthorities to try to manage the overall salinity threat.</w:t>
      </w:r>
    </w:p>
    <w:p w:rsidR="00135CA1" w:rsidRPr="008E5B8A" w:rsidRDefault="0018666D" w:rsidP="008E5B8A">
      <w:pPr>
        <w:pStyle w:val="Heading4"/>
        <w:rPr>
          <w:rStyle w:val="Strong"/>
          <w:b/>
          <w:bCs/>
        </w:rPr>
      </w:pPr>
      <w:bookmarkStart w:id="151" w:name="_Toc351459115"/>
      <w:r w:rsidRPr="008E5B8A">
        <w:rPr>
          <w:rStyle w:val="Strong"/>
          <w:b/>
          <w:bCs/>
        </w:rPr>
        <w:t>Climate</w:t>
      </w:r>
      <w:bookmarkEnd w:id="151"/>
    </w:p>
    <w:p w:rsidR="006E47A6" w:rsidRPr="003A58CF" w:rsidRDefault="006E47A6" w:rsidP="00854F5E">
      <w:pPr>
        <w:pStyle w:val="bt"/>
      </w:pPr>
      <w:r w:rsidRPr="003A58CF">
        <w:lastRenderedPageBreak/>
        <w:t xml:space="preserve">Short-term climate variability and </w:t>
      </w:r>
      <w:r w:rsidR="008441A6" w:rsidRPr="003A58CF">
        <w:t>longer-</w:t>
      </w:r>
      <w:r w:rsidRPr="003A58CF">
        <w:t>term climate change present numerous risks to the region’s economy and its environment and heritage assets. The region generally responds well to the effects of climate variability</w:t>
      </w:r>
      <w:r w:rsidR="00BA4EE7" w:rsidRPr="003A58CF">
        <w:t>,</w:t>
      </w:r>
      <w:r w:rsidRPr="003A58CF">
        <w:t xml:space="preserve"> </w:t>
      </w:r>
      <w:r w:rsidR="00BA4EE7" w:rsidRPr="003A58CF">
        <w:t>for example,</w:t>
      </w:r>
      <w:r w:rsidRPr="003A58CF">
        <w:t xml:space="preserve"> droughts. The potential impacts of </w:t>
      </w:r>
      <w:r w:rsidR="008441A6" w:rsidRPr="003A58CF">
        <w:t>longer-</w:t>
      </w:r>
      <w:r w:rsidRPr="003A58CF">
        <w:t xml:space="preserve">term climate change include an increase in temperature, </w:t>
      </w:r>
      <w:r w:rsidR="005B33F7" w:rsidRPr="003A58CF">
        <w:t xml:space="preserve">reduced average rainfall and </w:t>
      </w:r>
      <w:r w:rsidR="007E5DCA" w:rsidRPr="003A58CF">
        <w:t>stream flow</w:t>
      </w:r>
      <w:r w:rsidR="005B33F7" w:rsidRPr="003A58CF">
        <w:t>, increased frequency of drought</w:t>
      </w:r>
      <w:r w:rsidR="00BC11AB" w:rsidRPr="003A58CF">
        <w:t>,</w:t>
      </w:r>
      <w:r w:rsidRPr="003A58CF">
        <w:t xml:space="preserve"> and an increase in the number and severity of events requiring emergency responses</w:t>
      </w:r>
      <w:r w:rsidR="008441A6" w:rsidRPr="003A58CF">
        <w:t>,</w:t>
      </w:r>
      <w:r w:rsidRPr="003A58CF">
        <w:t xml:space="preserve"> especially </w:t>
      </w:r>
      <w:r w:rsidR="002D2356" w:rsidRPr="003A58CF">
        <w:t>bushfire</w:t>
      </w:r>
      <w:r w:rsidRPr="003A58CF">
        <w:t xml:space="preserve"> and </w:t>
      </w:r>
      <w:r w:rsidR="008607C8" w:rsidRPr="003A58CF">
        <w:t>flood</w:t>
      </w:r>
      <w:r w:rsidRPr="003A58CF">
        <w:t xml:space="preserve">. </w:t>
      </w:r>
    </w:p>
    <w:p w:rsidR="00DE58DB" w:rsidRPr="003A58CF" w:rsidRDefault="00DE58DB" w:rsidP="00854F5E">
      <w:pPr>
        <w:pStyle w:val="bt"/>
      </w:pPr>
      <w:r w:rsidRPr="003A58CF">
        <w:t>More information is needed on the likely impacts of climate change on specific industries across the region, and the opportunities that may arise from these changes</w:t>
      </w:r>
      <w:r w:rsidR="00E14DF7" w:rsidRPr="003A58CF">
        <w:t>, for example,</w:t>
      </w:r>
      <w:r w:rsidRPr="003A58CF">
        <w:t xml:space="preserve"> new industries</w:t>
      </w:r>
      <w:r w:rsidR="006E47A6" w:rsidRPr="003A58CF">
        <w:t xml:space="preserve"> and expanded commodities. An improved understanding of these impacts will</w:t>
      </w:r>
      <w:r w:rsidRPr="003A58CF">
        <w:t xml:space="preserve"> assist with strategic land use planning, including consideration of any potential increase in </w:t>
      </w:r>
      <w:r w:rsidR="006E47A6" w:rsidRPr="003A58CF">
        <w:t>natural hazards</w:t>
      </w:r>
      <w:r w:rsidRPr="003A58CF">
        <w:t>.</w:t>
      </w:r>
      <w:r w:rsidR="005B33F7" w:rsidRPr="003A58CF">
        <w:t xml:space="preserve"> </w:t>
      </w:r>
      <w:r w:rsidR="001F16ED" w:rsidRPr="003A58CF">
        <w:t>Opportunities may include growth of new crops, new innovative manufacturing industry opportunities</w:t>
      </w:r>
      <w:r w:rsidR="00BC11AB" w:rsidRPr="003A58CF">
        <w:t>, for example,</w:t>
      </w:r>
      <w:r w:rsidR="001F16ED" w:rsidRPr="003A58CF">
        <w:t xml:space="preserve"> </w:t>
      </w:r>
      <w:r w:rsidR="008441A6" w:rsidRPr="003A58CF">
        <w:t>climate-</w:t>
      </w:r>
      <w:r w:rsidR="001F16ED" w:rsidRPr="003A58CF">
        <w:t>resilient building products</w:t>
      </w:r>
      <w:r w:rsidR="00BC11AB" w:rsidRPr="003A58CF">
        <w:t xml:space="preserve">, </w:t>
      </w:r>
      <w:r w:rsidR="001F16ED" w:rsidRPr="003A58CF">
        <w:t xml:space="preserve">and </w:t>
      </w:r>
      <w:r w:rsidR="00BC11AB" w:rsidRPr="003A58CF">
        <w:t xml:space="preserve">initiatives that support national and global action to reduce greenhouse gas emissions, such as </w:t>
      </w:r>
      <w:r w:rsidR="001F16ED" w:rsidRPr="003A58CF">
        <w:t>carbon market</w:t>
      </w:r>
      <w:r w:rsidR="00BC11AB" w:rsidRPr="003A58CF">
        <w:t>s</w:t>
      </w:r>
      <w:r w:rsidR="001F16ED" w:rsidRPr="003A58CF">
        <w:t xml:space="preserve"> and programs such as the Carbon Farming Initiative.</w:t>
      </w:r>
    </w:p>
    <w:p w:rsidR="00DE58DB" w:rsidRPr="003A58CF" w:rsidRDefault="00DE58DB" w:rsidP="00854F5E">
      <w:pPr>
        <w:pStyle w:val="bt"/>
      </w:pPr>
      <w:r w:rsidRPr="003A58CF">
        <w:t>Other agencies, such as the</w:t>
      </w:r>
      <w:r w:rsidR="006A42FC" w:rsidRPr="003A58CF">
        <w:t xml:space="preserve"> catchment management authorities</w:t>
      </w:r>
      <w:r w:rsidRPr="003A58CF">
        <w:t xml:space="preserve">, have proposed </w:t>
      </w:r>
      <w:r w:rsidR="00E24E4F" w:rsidRPr="003A58CF">
        <w:t xml:space="preserve">development of </w:t>
      </w:r>
      <w:r w:rsidRPr="003A58CF">
        <w:t xml:space="preserve">climate change adaptation plans and carbon action plans. The </w:t>
      </w:r>
      <w:r w:rsidR="00E24E4F" w:rsidRPr="003A58CF">
        <w:t xml:space="preserve">Strategic Plan 2010 </w:t>
      </w:r>
      <w:r w:rsidRPr="003A58CF">
        <w:t xml:space="preserve">also contains key initiatives to assess risks to the region’s natural environment and agricultural systems from climate change to identify priorities to maintain or build resilience of natural and rural environments, ecosystems and </w:t>
      </w:r>
      <w:r w:rsidR="007E5DCA" w:rsidRPr="003A58CF">
        <w:t>dry land</w:t>
      </w:r>
      <w:r w:rsidRPr="003A58CF">
        <w:t xml:space="preserve"> and irrigated farming systems. Each of these investigations and planning exercises should be integrated with strategic land use planning and economic development planning to best enable the region to adapt as a whole.</w:t>
      </w:r>
    </w:p>
    <w:p w:rsidR="00DE58DB" w:rsidRPr="003A58CF" w:rsidRDefault="00DE58DB" w:rsidP="00854F5E">
      <w:pPr>
        <w:pStyle w:val="bt"/>
      </w:pPr>
      <w:r w:rsidRPr="003A58CF">
        <w:t xml:space="preserve">The </w:t>
      </w:r>
      <w:r w:rsidR="00E24E4F" w:rsidRPr="003A58CF">
        <w:t>‘</w:t>
      </w:r>
      <w:r w:rsidRPr="003A58CF">
        <w:t>Creating a climate resilient Southern Loddon Mallee project</w:t>
      </w:r>
      <w:r w:rsidR="00E24E4F" w:rsidRPr="003A58CF">
        <w:t>’</w:t>
      </w:r>
      <w:r w:rsidRPr="003A58CF">
        <w:t xml:space="preserve"> has recently commenced</w:t>
      </w:r>
      <w:r w:rsidR="009867A4" w:rsidRPr="003A58CF">
        <w:t>,</w:t>
      </w:r>
      <w:r w:rsidRPr="003A58CF">
        <w:t xml:space="preserve"> </w:t>
      </w:r>
      <w:r w:rsidR="003913A1" w:rsidRPr="003A58CF">
        <w:t>supported by the Victorian Government’s Adaptation and Sustainability Partnership</w:t>
      </w:r>
      <w:r w:rsidR="009867A4" w:rsidRPr="003A58CF">
        <w:t>,</w:t>
      </w:r>
      <w:r w:rsidR="003913A1" w:rsidRPr="003A58CF">
        <w:t xml:space="preserve"> </w:t>
      </w:r>
      <w:r w:rsidRPr="003A58CF">
        <w:t xml:space="preserve">and will </w:t>
      </w:r>
      <w:r w:rsidR="00E24E4F" w:rsidRPr="003A58CF">
        <w:t xml:space="preserve">analyse </w:t>
      </w:r>
      <w:r w:rsidRPr="003A58CF">
        <w:t>current and future climate</w:t>
      </w:r>
      <w:r w:rsidR="00E24E4F" w:rsidRPr="003A58CF">
        <w:t>-</w:t>
      </w:r>
      <w:r w:rsidRPr="003A58CF">
        <w:t>related vulnerability of the region</w:t>
      </w:r>
      <w:r w:rsidR="00E24E4F" w:rsidRPr="003A58CF">
        <w:t xml:space="preserve">al </w:t>
      </w:r>
      <w:r w:rsidRPr="003A58CF">
        <w:t xml:space="preserve">economy and </w:t>
      </w:r>
      <w:r w:rsidR="00E24E4F" w:rsidRPr="003A58CF">
        <w:t xml:space="preserve">its </w:t>
      </w:r>
      <w:r w:rsidRPr="003A58CF">
        <w:t>communities in order to inform</w:t>
      </w:r>
      <w:r w:rsidR="00E24E4F" w:rsidRPr="003A58CF">
        <w:t xml:space="preserve"> future</w:t>
      </w:r>
      <w:r w:rsidRPr="003A58CF">
        <w:t xml:space="preserve"> opportunities and approaches</w:t>
      </w:r>
      <w:r w:rsidR="00E24E4F" w:rsidRPr="003A58CF">
        <w:t xml:space="preserve">. </w:t>
      </w:r>
      <w:r w:rsidR="003913A1" w:rsidRPr="003A58CF">
        <w:t xml:space="preserve">Catchment </w:t>
      </w:r>
      <w:r w:rsidR="009867A4" w:rsidRPr="003A58CF">
        <w:t>m</w:t>
      </w:r>
      <w:r w:rsidR="003913A1" w:rsidRPr="003A58CF">
        <w:t xml:space="preserve">anagement </w:t>
      </w:r>
      <w:r w:rsidR="009867A4" w:rsidRPr="003A58CF">
        <w:t>a</w:t>
      </w:r>
      <w:r w:rsidR="003913A1" w:rsidRPr="003A58CF">
        <w:t>uthorities have recently received confirmation of funding to develop Carbon Action Plans</w:t>
      </w:r>
      <w:r w:rsidR="00322BBF" w:rsidRPr="003A58CF">
        <w:t>,</w:t>
      </w:r>
      <w:r w:rsidR="003913A1" w:rsidRPr="003A58CF">
        <w:t xml:space="preserve"> which will be developed in the next </w:t>
      </w:r>
      <w:r w:rsidR="00322BBF" w:rsidRPr="003A58CF">
        <w:t>one to two</w:t>
      </w:r>
      <w:r w:rsidR="003913A1" w:rsidRPr="003A58CF">
        <w:t xml:space="preserve"> years.</w:t>
      </w:r>
    </w:p>
    <w:p w:rsidR="00DE58DB" w:rsidRPr="003A58CF" w:rsidRDefault="00DE58DB" w:rsidP="008E5B8A">
      <w:pPr>
        <w:pStyle w:val="Heading2"/>
      </w:pPr>
      <w:bookmarkStart w:id="152" w:name="_Toc377026340"/>
      <w:r w:rsidRPr="003A58CF">
        <w:t>Approach to our settlement planning and environmental management</w:t>
      </w:r>
      <w:bookmarkEnd w:id="152"/>
    </w:p>
    <w:p w:rsidR="00DE58DB" w:rsidRPr="003A58CF" w:rsidRDefault="00DE58DB" w:rsidP="00854F5E">
      <w:pPr>
        <w:pStyle w:val="bt"/>
      </w:pPr>
      <w:bookmarkStart w:id="153" w:name="OLE_LINK78"/>
      <w:bookmarkStart w:id="154" w:name="OLE_LINK79"/>
      <w:r w:rsidRPr="003A58CF">
        <w:t>Settlement growth and development will occur in sympathy with environmental and heritage assets</w:t>
      </w:r>
      <w:r w:rsidR="004735E4" w:rsidRPr="003A58CF">
        <w:t>,</w:t>
      </w:r>
      <w:r w:rsidRPr="003A58CF">
        <w:t xml:space="preserve"> </w:t>
      </w:r>
      <w:r w:rsidR="00F64284" w:rsidRPr="003A58CF">
        <w:t xml:space="preserve">including </w:t>
      </w:r>
      <w:r w:rsidR="006F1F37" w:rsidRPr="003A58CF">
        <w:t xml:space="preserve">natural </w:t>
      </w:r>
      <w:r w:rsidRPr="003A58CF">
        <w:t>habitat, waterways, wetlands, soil, water and Aboriginal</w:t>
      </w:r>
      <w:r w:rsidR="004735E4" w:rsidRPr="003A58CF">
        <w:t xml:space="preserve"> cultural heritage</w:t>
      </w:r>
      <w:r w:rsidRPr="003A58CF">
        <w:t xml:space="preserve"> and </w:t>
      </w:r>
      <w:r w:rsidR="00F64284" w:rsidRPr="003A58CF">
        <w:t xml:space="preserve">historic </w:t>
      </w:r>
      <w:r w:rsidRPr="003A58CF">
        <w:t xml:space="preserve">heritage, </w:t>
      </w:r>
      <w:bookmarkEnd w:id="153"/>
      <w:bookmarkEnd w:id="154"/>
      <w:r w:rsidRPr="003A58CF">
        <w:t xml:space="preserve">including assets identified in </w:t>
      </w:r>
      <w:r w:rsidR="004735E4" w:rsidRPr="003A58CF">
        <w:t>regional catchment strategies</w:t>
      </w:r>
      <w:r w:rsidR="00E24E4F" w:rsidRPr="003A58CF">
        <w:t>. This growth will also</w:t>
      </w:r>
      <w:r w:rsidR="00B360B4" w:rsidRPr="003A58CF">
        <w:t xml:space="preserve"> be mindful of </w:t>
      </w:r>
      <w:r w:rsidRPr="003A58CF">
        <w:t>natural hazards</w:t>
      </w:r>
      <w:r w:rsidR="004735E4" w:rsidRPr="003A58CF">
        <w:t xml:space="preserve">, </w:t>
      </w:r>
      <w:r w:rsidR="00F64284" w:rsidRPr="003A58CF">
        <w:t xml:space="preserve">including </w:t>
      </w:r>
      <w:r w:rsidR="002D2356" w:rsidRPr="003A58CF">
        <w:t>flood</w:t>
      </w:r>
      <w:r w:rsidRPr="003A58CF">
        <w:t xml:space="preserve">, </w:t>
      </w:r>
      <w:r w:rsidR="002D2356" w:rsidRPr="003A58CF">
        <w:t>bushfire</w:t>
      </w:r>
      <w:r w:rsidRPr="003A58CF">
        <w:t>, climate change, salinity and potentially contaminated land</w:t>
      </w:r>
      <w:r w:rsidR="004735E4" w:rsidRPr="003A58CF">
        <w:t>,</w:t>
      </w:r>
      <w:r w:rsidRPr="003A58CF">
        <w:t xml:space="preserve"> to enable protection of significant environment and heritage assets and appropriate risk mitigation.</w:t>
      </w:r>
    </w:p>
    <w:p w:rsidR="00135CA1" w:rsidRPr="003A58CF" w:rsidRDefault="00DE58DB" w:rsidP="00854F5E">
      <w:pPr>
        <w:pStyle w:val="bt"/>
      </w:pPr>
      <w:r w:rsidRPr="003A58CF">
        <w:t xml:space="preserve">A precautionary approach </w:t>
      </w:r>
      <w:r w:rsidR="00B360B4" w:rsidRPr="003A58CF">
        <w:t xml:space="preserve">will </w:t>
      </w:r>
      <w:r w:rsidRPr="003A58CF">
        <w:t>be taken to manag</w:t>
      </w:r>
      <w:r w:rsidR="00B360B4" w:rsidRPr="003A58CF">
        <w:t xml:space="preserve">e </w:t>
      </w:r>
      <w:r w:rsidRPr="003A58CF">
        <w:t xml:space="preserve">settlement growth to avoid areas of </w:t>
      </w:r>
      <w:r w:rsidR="006F1F37" w:rsidRPr="003A58CF">
        <w:t xml:space="preserve">high </w:t>
      </w:r>
      <w:r w:rsidRPr="003A58CF">
        <w:t xml:space="preserve">risk from </w:t>
      </w:r>
      <w:r w:rsidR="002D2356" w:rsidRPr="003A58CF">
        <w:t>bushfire</w:t>
      </w:r>
      <w:r w:rsidRPr="003A58CF">
        <w:t xml:space="preserve"> and </w:t>
      </w:r>
      <w:r w:rsidR="002D2356" w:rsidRPr="003A58CF">
        <w:t>flood</w:t>
      </w:r>
      <w:r w:rsidR="00B360B4" w:rsidRPr="003A58CF">
        <w:t xml:space="preserve">. </w:t>
      </w:r>
      <w:r w:rsidR="00F64284" w:rsidRPr="003A58CF">
        <w:t>F</w:t>
      </w:r>
      <w:r w:rsidRPr="003A58CF">
        <w:t>uture studies</w:t>
      </w:r>
      <w:r w:rsidR="00F64284" w:rsidRPr="003A58CF">
        <w:t xml:space="preserve"> will inform</w:t>
      </w:r>
      <w:r w:rsidRPr="003A58CF">
        <w:t xml:space="preserve"> settlement structure planning and form. </w:t>
      </w:r>
    </w:p>
    <w:p w:rsidR="00135CA1" w:rsidRPr="003A58CF" w:rsidRDefault="00DE58DB" w:rsidP="00854F5E">
      <w:pPr>
        <w:pStyle w:val="bt"/>
      </w:pPr>
      <w:r w:rsidRPr="003A58CF">
        <w:t xml:space="preserve">Collaboration between land use planning and natural resource management agencies </w:t>
      </w:r>
      <w:r w:rsidR="0044500A" w:rsidRPr="003A58CF">
        <w:t>should</w:t>
      </w:r>
      <w:r w:rsidR="006F1F37" w:rsidRPr="003A58CF">
        <w:t xml:space="preserve"> facilitate initiatives to increase</w:t>
      </w:r>
      <w:r w:rsidR="006E47A6" w:rsidRPr="003A58CF">
        <w:t xml:space="preserve"> vegetation</w:t>
      </w:r>
      <w:r w:rsidR="006F1F37" w:rsidRPr="003A58CF">
        <w:t xml:space="preserve"> connectivity and strategically link areas of remnant habitat and ecological value</w:t>
      </w:r>
      <w:r w:rsidR="00C220CC" w:rsidRPr="003A58CF">
        <w:t xml:space="preserve">, </w:t>
      </w:r>
      <w:r w:rsidR="00F64284" w:rsidRPr="003A58CF">
        <w:t xml:space="preserve">while considering implications for land use planning such as potential change in landscape bushfire and </w:t>
      </w:r>
      <w:r w:rsidR="008607C8" w:rsidRPr="003A58CF">
        <w:t>flood</w:t>
      </w:r>
      <w:r w:rsidR="00F64284" w:rsidRPr="003A58CF">
        <w:t xml:space="preserve"> risks.</w:t>
      </w:r>
    </w:p>
    <w:p w:rsidR="00135CA1" w:rsidRPr="003A58CF" w:rsidRDefault="00DE58DB" w:rsidP="00854F5E">
      <w:pPr>
        <w:pStyle w:val="bt"/>
      </w:pPr>
      <w:r w:rsidRPr="003A58CF">
        <w:t xml:space="preserve">These agencies can encourage projects that improve the management and use of water resources, </w:t>
      </w:r>
      <w:r w:rsidR="00230305">
        <w:t xml:space="preserve">so as to </w:t>
      </w:r>
      <w:r w:rsidRPr="003A58CF">
        <w:t>minimise risks to the environment</w:t>
      </w:r>
      <w:r w:rsidR="00E14DF7" w:rsidRPr="003A58CF">
        <w:t xml:space="preserve">, </w:t>
      </w:r>
      <w:r w:rsidRPr="003A58CF">
        <w:t>including risks to surface and groundwater supply</w:t>
      </w:r>
      <w:r w:rsidR="00E14DF7" w:rsidRPr="003A58CF">
        <w:t>,</w:t>
      </w:r>
      <w:r w:rsidRPr="003A58CF">
        <w:t xml:space="preserve"> and provide for potential growth and liveability. This includes encouraging projects to investigate appropriate management of small domestic and stock dams in rural living areas.</w:t>
      </w:r>
    </w:p>
    <w:p w:rsidR="00135CA1" w:rsidRPr="003A58CF" w:rsidRDefault="00DE58DB" w:rsidP="00854F5E">
      <w:pPr>
        <w:pStyle w:val="bt"/>
      </w:pPr>
      <w:r w:rsidRPr="003A58CF">
        <w:t>Integrated</w:t>
      </w:r>
      <w:r w:rsidR="00B360B4" w:rsidRPr="003A58CF">
        <w:t>,</w:t>
      </w:r>
      <w:r w:rsidRPr="003A58CF">
        <w:t xml:space="preserve"> strategic land use planning will be adaptable to land use changes that result from challenges for growth such as climate change, and enable related economic diversification.  </w:t>
      </w:r>
    </w:p>
    <w:p w:rsidR="00C220CC" w:rsidRPr="008E5B8A" w:rsidRDefault="0043085B" w:rsidP="008E5B8A">
      <w:pPr>
        <w:pStyle w:val="Heading4"/>
        <w:rPr>
          <w:rStyle w:val="Strong"/>
          <w:b/>
          <w:bCs/>
        </w:rPr>
      </w:pPr>
      <w:r w:rsidRPr="008E5B8A">
        <w:rPr>
          <w:rStyle w:val="Strong"/>
          <w:b/>
          <w:bCs/>
        </w:rPr>
        <w:t>Future environment land use actions</w:t>
      </w:r>
    </w:p>
    <w:p w:rsidR="002D2356" w:rsidRPr="003A58CF" w:rsidRDefault="00DE58DB" w:rsidP="00025EF8">
      <w:pPr>
        <w:pStyle w:val="btbullet"/>
      </w:pPr>
      <w:r w:rsidRPr="003A58CF">
        <w:lastRenderedPageBreak/>
        <w:t>Direct settlement growth and development:</w:t>
      </w:r>
    </w:p>
    <w:p w:rsidR="00135CA1" w:rsidRPr="008E5B8A" w:rsidRDefault="00DE58DB" w:rsidP="00025EF8">
      <w:pPr>
        <w:pStyle w:val="btbullet"/>
        <w:numPr>
          <w:ilvl w:val="1"/>
          <w:numId w:val="10"/>
        </w:numPr>
      </w:pPr>
      <w:r w:rsidRPr="008E5B8A">
        <w:t xml:space="preserve">to areas where it will avoid impacting on high value environmental assets. If impacts are unavoidable, every effort will be made to minimise them  </w:t>
      </w:r>
    </w:p>
    <w:p w:rsidR="00135CA1" w:rsidRPr="008E5B8A" w:rsidRDefault="00DE58DB" w:rsidP="00025EF8">
      <w:pPr>
        <w:pStyle w:val="btbullet"/>
        <w:numPr>
          <w:ilvl w:val="1"/>
          <w:numId w:val="10"/>
        </w:numPr>
      </w:pPr>
      <w:r w:rsidRPr="008E5B8A">
        <w:t xml:space="preserve">to areas of low flood risk, and managed through relevant planning overlays. Where development in flood risk areas is unavoidable, suitable building and infrastructure controls will be implemented to protect life and property while considering environmental assets </w:t>
      </w:r>
    </w:p>
    <w:p w:rsidR="00EF37A2" w:rsidRDefault="00EF37A2" w:rsidP="00025EF8">
      <w:pPr>
        <w:pStyle w:val="btbullet"/>
      </w:pPr>
      <w:r w:rsidRPr="003A58CF">
        <w:t>Settlement planning decisions should prioritise protection of human life and respond to the following principles with regard to bushfire risk management:</w:t>
      </w:r>
    </w:p>
    <w:p w:rsidR="006958D5" w:rsidRPr="006958D5" w:rsidRDefault="006958D5" w:rsidP="00025EF8">
      <w:pPr>
        <w:pStyle w:val="btbullet"/>
        <w:numPr>
          <w:ilvl w:val="1"/>
          <w:numId w:val="10"/>
        </w:numPr>
      </w:pPr>
      <w:r>
        <w:t>d</w:t>
      </w:r>
      <w:r w:rsidRPr="006958D5">
        <w:t>irect development to locations of lower bushfire risk</w:t>
      </w:r>
    </w:p>
    <w:p w:rsidR="006958D5" w:rsidRPr="006958D5" w:rsidRDefault="006958D5" w:rsidP="00025EF8">
      <w:pPr>
        <w:pStyle w:val="btbullet"/>
        <w:numPr>
          <w:ilvl w:val="1"/>
          <w:numId w:val="10"/>
        </w:numPr>
      </w:pPr>
      <w:r>
        <w:t>c</w:t>
      </w:r>
      <w:r w:rsidRPr="006958D5">
        <w:t>arefully consider development in locations where there is significant bushfire risk that cannot be avoided</w:t>
      </w:r>
    </w:p>
    <w:p w:rsidR="006958D5" w:rsidRPr="006958D5" w:rsidRDefault="006958D5" w:rsidP="00025EF8">
      <w:pPr>
        <w:pStyle w:val="btbullet"/>
        <w:numPr>
          <w:ilvl w:val="1"/>
          <w:numId w:val="10"/>
        </w:numPr>
      </w:pPr>
      <w:r>
        <w:t>a</w:t>
      </w:r>
      <w:r w:rsidRPr="006958D5">
        <w:t>void development in locations of extreme bushfire risk</w:t>
      </w:r>
    </w:p>
    <w:p w:rsidR="006958D5" w:rsidRPr="006958D5" w:rsidRDefault="006958D5" w:rsidP="00025EF8">
      <w:pPr>
        <w:pStyle w:val="btbullet"/>
        <w:numPr>
          <w:ilvl w:val="1"/>
          <w:numId w:val="10"/>
        </w:numPr>
      </w:pPr>
      <w:r>
        <w:t>a</w:t>
      </w:r>
      <w:r w:rsidRPr="006958D5">
        <w:t>void development in areas where planned bushfire protection measures may be incompatible with other environmental objectives</w:t>
      </w:r>
    </w:p>
    <w:p w:rsidR="00135CA1" w:rsidRPr="003A58CF" w:rsidRDefault="00DE58DB" w:rsidP="00025EF8">
      <w:pPr>
        <w:pStyle w:val="btbullet"/>
      </w:pPr>
      <w:r w:rsidRPr="003A58CF">
        <w:t xml:space="preserve">Monitor, assess and act on the potential impacts and opportunities of climate change across the region and collaborate with other climate change adaptation planning activities, such as the </w:t>
      </w:r>
      <w:r w:rsidR="00B360B4" w:rsidRPr="003A58CF">
        <w:t>‘</w:t>
      </w:r>
      <w:r w:rsidRPr="003A58CF">
        <w:t>Creating a climate resilient Southern Loddon Mallee project</w:t>
      </w:r>
      <w:r w:rsidR="00B360B4" w:rsidRPr="003A58CF">
        <w:t>’</w:t>
      </w:r>
      <w:r w:rsidRPr="003A58CF">
        <w:t>, to inform future land use planning decisions</w:t>
      </w:r>
    </w:p>
    <w:p w:rsidR="00135CA1" w:rsidRPr="003A58CF" w:rsidRDefault="0063085A" w:rsidP="00025EF8">
      <w:pPr>
        <w:pStyle w:val="btbullet"/>
      </w:pPr>
      <w:r w:rsidRPr="003A58CF">
        <w:t xml:space="preserve">Support the implementation of the </w:t>
      </w:r>
      <w:r w:rsidR="004735E4" w:rsidRPr="003A58CF">
        <w:t>regional catchment strategies</w:t>
      </w:r>
    </w:p>
    <w:p w:rsidR="00135CA1" w:rsidRPr="003A58CF" w:rsidRDefault="00633EE8" w:rsidP="00025EF8">
      <w:pPr>
        <w:pStyle w:val="btbullet"/>
      </w:pPr>
      <w:r w:rsidRPr="003A58CF">
        <w:t xml:space="preserve">Undertake </w:t>
      </w:r>
      <w:r w:rsidR="00DF18D6" w:rsidRPr="003A58CF">
        <w:t>a</w:t>
      </w:r>
      <w:r w:rsidR="00DE58DB" w:rsidRPr="003A58CF">
        <w:t xml:space="preserve"> </w:t>
      </w:r>
      <w:r w:rsidR="00DF18D6" w:rsidRPr="003A58CF">
        <w:t xml:space="preserve">domestic wastewater management </w:t>
      </w:r>
      <w:r w:rsidR="00B360B4" w:rsidRPr="003A58CF">
        <w:t xml:space="preserve">pilot </w:t>
      </w:r>
      <w:r w:rsidR="00DE58DB" w:rsidRPr="003A58CF">
        <w:t>study regarding the impact of activity and development on open potable water supplies</w:t>
      </w:r>
    </w:p>
    <w:p w:rsidR="00135CA1" w:rsidRPr="003A58CF" w:rsidRDefault="004E19E8" w:rsidP="00025EF8">
      <w:pPr>
        <w:pStyle w:val="btbullet"/>
      </w:pPr>
      <w:r w:rsidRPr="003A58CF">
        <w:t>Use</w:t>
      </w:r>
      <w:r w:rsidR="0063085A" w:rsidRPr="003A58CF">
        <w:t xml:space="preserve"> existing networks and strategies </w:t>
      </w:r>
      <w:r w:rsidR="00DF18D6" w:rsidRPr="003A58CF">
        <w:t xml:space="preserve">to </w:t>
      </w:r>
      <w:r w:rsidR="0063085A" w:rsidRPr="003A58CF">
        <w:t>s</w:t>
      </w:r>
      <w:r w:rsidR="00DE58DB" w:rsidRPr="003A58CF">
        <w:t>upport local government to undertake detailed bushfire analysis and behaviour studies to inform settlement planning</w:t>
      </w:r>
    </w:p>
    <w:p w:rsidR="00135CA1" w:rsidRPr="003A58CF" w:rsidRDefault="00DE58DB" w:rsidP="00025EF8">
      <w:pPr>
        <w:pStyle w:val="btbullet"/>
      </w:pPr>
      <w:r w:rsidRPr="003A58CF">
        <w:t>Encourage tourism opportunities</w:t>
      </w:r>
      <w:r w:rsidR="005D4B46" w:rsidRPr="003A58CF">
        <w:t>,</w:t>
      </w:r>
      <w:r w:rsidRPr="003A58CF">
        <w:t xml:space="preserve"> </w:t>
      </w:r>
      <w:r w:rsidR="005D4B46" w:rsidRPr="003A58CF">
        <w:t xml:space="preserve">in </w:t>
      </w:r>
      <w:r w:rsidRPr="003A58CF">
        <w:t>appropriate</w:t>
      </w:r>
      <w:r w:rsidR="005D4B46" w:rsidRPr="003A58CF">
        <w:t xml:space="preserve"> locations</w:t>
      </w:r>
      <w:r w:rsidRPr="003A58CF">
        <w:t>, around cultural heritage and natural environments</w:t>
      </w:r>
    </w:p>
    <w:p w:rsidR="00135CA1" w:rsidRPr="003A58CF" w:rsidRDefault="00DE58DB" w:rsidP="00025EF8">
      <w:pPr>
        <w:pStyle w:val="btbullet"/>
      </w:pPr>
      <w:r w:rsidRPr="003A58CF">
        <w:t>Consistently apply planning tools to recognise the values of waterways and wetlands across the region</w:t>
      </w:r>
    </w:p>
    <w:p w:rsidR="00694846" w:rsidRPr="003A58CF" w:rsidRDefault="0051336F" w:rsidP="00025EF8">
      <w:pPr>
        <w:pStyle w:val="btbullet"/>
      </w:pPr>
      <w:r w:rsidRPr="003A58CF">
        <w:t xml:space="preserve">Encourage the implementation of planning policies and initiatives to manage and reduce the impacts of dams on water yield and the health of the Campaspe and Loddon </w:t>
      </w:r>
      <w:r w:rsidR="00C220CC" w:rsidRPr="003A58CF">
        <w:t xml:space="preserve">river </w:t>
      </w:r>
      <w:r w:rsidRPr="003A58CF">
        <w:t>systems</w:t>
      </w:r>
    </w:p>
    <w:p w:rsidR="00DE58DB" w:rsidRPr="003A58CF" w:rsidRDefault="00DE58DB" w:rsidP="00827D8E">
      <w:pPr>
        <w:pStyle w:val="Heading11"/>
      </w:pPr>
      <w:bookmarkStart w:id="155" w:name="_Toc377026341"/>
      <w:r w:rsidRPr="003A58CF">
        <w:t xml:space="preserve">Living in the </w:t>
      </w:r>
      <w:r w:rsidR="00B12B6D" w:rsidRPr="003A58CF">
        <w:t>r</w:t>
      </w:r>
      <w:r w:rsidRPr="003A58CF">
        <w:t>egion</w:t>
      </w:r>
      <w:bookmarkEnd w:id="155"/>
    </w:p>
    <w:p w:rsidR="00777746" w:rsidRPr="008E5B8A" w:rsidRDefault="00777746" w:rsidP="00777746">
      <w:pPr>
        <w:pStyle w:val="Heading4"/>
        <w:rPr>
          <w:rStyle w:val="Strong"/>
          <w:b/>
          <w:bCs/>
        </w:rPr>
      </w:pPr>
      <w:r w:rsidRPr="008E5B8A">
        <w:rPr>
          <w:rStyle w:val="Strong"/>
          <w:b/>
          <w:bCs/>
        </w:rPr>
        <w:t xml:space="preserve">Future directions </w:t>
      </w:r>
    </w:p>
    <w:p w:rsidR="0043085B" w:rsidRPr="003A58CF" w:rsidRDefault="004735E4" w:rsidP="00025EF8">
      <w:pPr>
        <w:pStyle w:val="btbullet"/>
      </w:pPr>
      <w:bookmarkStart w:id="156" w:name="OLE_LINK68"/>
      <w:bookmarkStart w:id="157" w:name="OLE_LINK69"/>
      <w:bookmarkStart w:id="158" w:name="OLE_LINK101"/>
      <w:r w:rsidRPr="003A58CF">
        <w:t xml:space="preserve">Focus </w:t>
      </w:r>
      <w:r w:rsidR="0043085B" w:rsidRPr="003A58CF">
        <w:t xml:space="preserve">growth to </w:t>
      </w:r>
      <w:r w:rsidRPr="003A58CF">
        <w:t xml:space="preserve">the region’s </w:t>
      </w:r>
      <w:r w:rsidR="0043085B" w:rsidRPr="003A58CF">
        <w:t>existing settlements with capacity for growth</w:t>
      </w:r>
    </w:p>
    <w:p w:rsidR="0043085B" w:rsidRPr="003A58CF" w:rsidRDefault="0043085B" w:rsidP="00025EF8">
      <w:pPr>
        <w:pStyle w:val="btbullet"/>
      </w:pPr>
      <w:r w:rsidRPr="003A58CF">
        <w:t>Reinforce the role of Bendigo as the regional city, offering a range of employment and services as an alternative to Melbourne</w:t>
      </w:r>
    </w:p>
    <w:p w:rsidR="0043085B" w:rsidRPr="003A58CF" w:rsidRDefault="0043085B" w:rsidP="00025EF8">
      <w:pPr>
        <w:pStyle w:val="btbullet"/>
      </w:pPr>
      <w:r w:rsidRPr="003A58CF">
        <w:t>Target new growth to settlements including Bendigo, Maryborough, Castlemaine, Gisborne and Kyneton</w:t>
      </w:r>
    </w:p>
    <w:p w:rsidR="0043085B" w:rsidRPr="003A58CF" w:rsidRDefault="0043085B" w:rsidP="00025EF8">
      <w:pPr>
        <w:pStyle w:val="btbullet"/>
      </w:pPr>
      <w:bookmarkStart w:id="159" w:name="OLE_LINK120"/>
      <w:bookmarkStart w:id="160" w:name="OLE_LINK123"/>
      <w:r w:rsidRPr="003A58CF">
        <w:t xml:space="preserve">Plan for settlement growth that avoids areas of high risk from natural hazards such as </w:t>
      </w:r>
      <w:r w:rsidR="002D2356" w:rsidRPr="003A58CF">
        <w:t>bushfire</w:t>
      </w:r>
      <w:r w:rsidRPr="003A58CF">
        <w:t xml:space="preserve"> and flood</w:t>
      </w:r>
    </w:p>
    <w:p w:rsidR="0043085B" w:rsidRPr="003A58CF" w:rsidRDefault="0043085B" w:rsidP="00025EF8">
      <w:pPr>
        <w:pStyle w:val="btbullet"/>
      </w:pPr>
      <w:r w:rsidRPr="003A58CF">
        <w:t>Manage settlement growth to limit the impact on agricultural productivity, natural resources and ecological values</w:t>
      </w:r>
    </w:p>
    <w:bookmarkEnd w:id="159"/>
    <w:bookmarkEnd w:id="160"/>
    <w:p w:rsidR="0043085B" w:rsidRPr="003A58CF" w:rsidRDefault="0043085B" w:rsidP="00025EF8">
      <w:pPr>
        <w:pStyle w:val="btbullet"/>
      </w:pPr>
      <w:r w:rsidRPr="003A58CF">
        <w:t>Value the region’s unique and connected communities</w:t>
      </w:r>
    </w:p>
    <w:p w:rsidR="0043085B" w:rsidRPr="003A58CF" w:rsidRDefault="0043085B" w:rsidP="00025EF8">
      <w:pPr>
        <w:pStyle w:val="btbullet"/>
      </w:pPr>
      <w:r w:rsidRPr="003A58CF">
        <w:t xml:space="preserve">Support the ongoing role of </w:t>
      </w:r>
      <w:r w:rsidR="00E21B22" w:rsidRPr="003A58CF">
        <w:t xml:space="preserve">the region’s </w:t>
      </w:r>
      <w:r w:rsidRPr="003A58CF">
        <w:t>small towns and settlements</w:t>
      </w:r>
    </w:p>
    <w:p w:rsidR="0043085B" w:rsidRPr="003A58CF" w:rsidRDefault="0043085B" w:rsidP="00025EF8">
      <w:pPr>
        <w:pStyle w:val="btbullet"/>
      </w:pPr>
      <w:r w:rsidRPr="003A58CF">
        <w:t>Acknowledge the non-urban population</w:t>
      </w:r>
      <w:r w:rsidR="001943CD" w:rsidRPr="003A58CF">
        <w:t>’s</w:t>
      </w:r>
      <w:r w:rsidRPr="003A58CF">
        <w:t xml:space="preserve"> contribution to the region</w:t>
      </w:r>
      <w:bookmarkEnd w:id="156"/>
      <w:bookmarkEnd w:id="157"/>
      <w:bookmarkEnd w:id="158"/>
    </w:p>
    <w:p w:rsidR="00135CA1" w:rsidRPr="003A58CF" w:rsidRDefault="00DE58DB" w:rsidP="00827D8E">
      <w:pPr>
        <w:pStyle w:val="Heading2"/>
      </w:pPr>
      <w:bookmarkStart w:id="161" w:name="_Toc319660697"/>
      <w:bookmarkStart w:id="162" w:name="_Toc333305815"/>
      <w:bookmarkStart w:id="163" w:name="_Toc339962632"/>
      <w:bookmarkStart w:id="164" w:name="_Toc377026342"/>
      <w:r w:rsidRPr="003A58CF">
        <w:lastRenderedPageBreak/>
        <w:t xml:space="preserve">Loddon Mallee </w:t>
      </w:r>
      <w:r w:rsidR="000D6F35" w:rsidRPr="003A58CF">
        <w:t xml:space="preserve">South </w:t>
      </w:r>
      <w:r w:rsidRPr="003A58CF">
        <w:t>urban settlement</w:t>
      </w:r>
      <w:bookmarkEnd w:id="161"/>
      <w:bookmarkEnd w:id="162"/>
      <w:bookmarkEnd w:id="163"/>
      <w:bookmarkEnd w:id="164"/>
    </w:p>
    <w:p w:rsidR="00135CA1" w:rsidRPr="00827D8E" w:rsidRDefault="0018666D" w:rsidP="00827D8E">
      <w:pPr>
        <w:pStyle w:val="Heading4"/>
        <w:rPr>
          <w:rStyle w:val="Strong"/>
          <w:b/>
          <w:bCs/>
        </w:rPr>
      </w:pPr>
      <w:bookmarkStart w:id="165" w:name="_Toc351459119"/>
      <w:r w:rsidRPr="00827D8E">
        <w:rPr>
          <w:rStyle w:val="Strong"/>
          <w:b/>
          <w:bCs/>
        </w:rPr>
        <w:t>Overview</w:t>
      </w:r>
      <w:bookmarkEnd w:id="165"/>
    </w:p>
    <w:p w:rsidR="00135CA1" w:rsidRPr="003A58CF" w:rsidRDefault="00DE58DB" w:rsidP="00854F5E">
      <w:pPr>
        <w:pStyle w:val="bt"/>
      </w:pPr>
      <w:r w:rsidRPr="003A58CF">
        <w:t xml:space="preserve">The </w:t>
      </w:r>
      <w:r w:rsidR="00A618B5" w:rsidRPr="003A58CF">
        <w:t xml:space="preserve">Loddon Mallee South </w:t>
      </w:r>
      <w:r w:rsidRPr="003A58CF">
        <w:t xml:space="preserve">region currently accommodates a population </w:t>
      </w:r>
      <w:r w:rsidR="005B31F5" w:rsidRPr="003A58CF">
        <w:t>of 188,000</w:t>
      </w:r>
      <w:r w:rsidR="00EA1B00" w:rsidRPr="003A58CF">
        <w:t xml:space="preserve"> people (</w:t>
      </w:r>
      <w:r w:rsidR="000E1A43" w:rsidRPr="003A58CF">
        <w:t xml:space="preserve">Victoria in Future </w:t>
      </w:r>
      <w:r w:rsidR="00EA1B00" w:rsidRPr="003A58CF">
        <w:t>2012)</w:t>
      </w:r>
      <w:r w:rsidRPr="003A58CF">
        <w:t xml:space="preserve">, </w:t>
      </w:r>
      <w:r w:rsidR="005D4B46" w:rsidRPr="003A58CF">
        <w:t xml:space="preserve">nearly </w:t>
      </w:r>
      <w:r w:rsidRPr="003A58CF">
        <w:t xml:space="preserve">half of </w:t>
      </w:r>
      <w:r w:rsidR="005D4B46" w:rsidRPr="003A58CF">
        <w:t>whom reside</w:t>
      </w:r>
      <w:r w:rsidRPr="003A58CF">
        <w:t xml:space="preserve"> in the regional city of Bendigo</w:t>
      </w:r>
      <w:r w:rsidR="005D4B46" w:rsidRPr="003A58CF">
        <w:rPr>
          <w:rStyle w:val="Style"/>
          <w:rFonts w:asciiTheme="minorHAnsi" w:hAnsiTheme="minorHAnsi" w:cstheme="minorHAnsi"/>
          <w:sz w:val="22"/>
          <w:szCs w:val="22"/>
        </w:rPr>
        <w:footnoteReference w:id="14"/>
      </w:r>
      <w:r w:rsidRPr="003A58CF">
        <w:t xml:space="preserve">. </w:t>
      </w:r>
      <w:r w:rsidR="00636994" w:rsidRPr="003A58CF">
        <w:t xml:space="preserve">This </w:t>
      </w:r>
      <w:r w:rsidR="003F429B" w:rsidRPr="003A58CF">
        <w:t>plan</w:t>
      </w:r>
      <w:r w:rsidR="00636994" w:rsidRPr="003A58CF">
        <w:t xml:space="preserve"> considers the implications of </w:t>
      </w:r>
      <w:r w:rsidR="00D34B5E" w:rsidRPr="003A58CF">
        <w:t xml:space="preserve">the region’s population </w:t>
      </w:r>
      <w:r w:rsidR="00636994" w:rsidRPr="003A58CF">
        <w:t xml:space="preserve">growing to </w:t>
      </w:r>
      <w:r w:rsidRPr="003A58CF">
        <w:t xml:space="preserve">300,000 </w:t>
      </w:r>
      <w:r w:rsidR="00A618B5" w:rsidRPr="003A58CF">
        <w:t xml:space="preserve">by </w:t>
      </w:r>
      <w:r w:rsidRPr="003A58CF">
        <w:t>2041, with 150</w:t>
      </w:r>
      <w:r w:rsidR="00C220CC" w:rsidRPr="003A58CF">
        <w:t xml:space="preserve">,000 to </w:t>
      </w:r>
      <w:r w:rsidRPr="003A58CF">
        <w:t>200,000 people residing in Bendigo.</w:t>
      </w:r>
    </w:p>
    <w:p w:rsidR="00135CA1" w:rsidRPr="003A58CF" w:rsidRDefault="00DE58DB" w:rsidP="00854F5E">
      <w:pPr>
        <w:pStyle w:val="bt"/>
      </w:pPr>
      <w:r w:rsidRPr="003A58CF">
        <w:t xml:space="preserve">The demand for growth in individual settlements varies across the region with some locations, such as areas closer to Melbourne, experiencing high demand and other locations </w:t>
      </w:r>
      <w:r w:rsidR="00A618B5" w:rsidRPr="003A58CF">
        <w:t xml:space="preserve">experiencing </w:t>
      </w:r>
      <w:r w:rsidRPr="003A58CF">
        <w:t>more modest growth. Bendigo is likely to continue</w:t>
      </w:r>
      <w:r w:rsidR="0017290C" w:rsidRPr="003A58CF">
        <w:t xml:space="preserve"> to experience</w:t>
      </w:r>
      <w:r w:rsidRPr="003A58CF">
        <w:t xml:space="preserve"> a strong growth rate. Settlement patterns have been strongly influenced by </w:t>
      </w:r>
      <w:r w:rsidR="00D34B5E" w:rsidRPr="003A58CF">
        <w:t xml:space="preserve">the accessibility provided by </w:t>
      </w:r>
      <w:r w:rsidRPr="003A58CF">
        <w:t xml:space="preserve">transport corridors. </w:t>
      </w:r>
      <w:r w:rsidR="00DF1A55" w:rsidRPr="003A58CF">
        <w:t xml:space="preserve">Future growth </w:t>
      </w:r>
      <w:r w:rsidR="0017290C" w:rsidRPr="003A58CF">
        <w:t xml:space="preserve">will be </w:t>
      </w:r>
      <w:r w:rsidR="00DF1A55" w:rsidRPr="003A58CF">
        <w:t>promoted in locations that are well</w:t>
      </w:r>
      <w:r w:rsidR="00A618B5" w:rsidRPr="003A58CF">
        <w:t xml:space="preserve"> </w:t>
      </w:r>
      <w:r w:rsidR="00DF1A55" w:rsidRPr="003A58CF">
        <w:t>supported by the existing transport network and in particular locations with capacity for transport enhancements</w:t>
      </w:r>
      <w:r w:rsidR="00636994" w:rsidRPr="003A58CF">
        <w:t>, whil</w:t>
      </w:r>
      <w:r w:rsidR="00D34B5E" w:rsidRPr="003A58CF">
        <w:t>e</w:t>
      </w:r>
      <w:r w:rsidR="00636994" w:rsidRPr="003A58CF">
        <w:t xml:space="preserve"> protecting the role, function and character of these towns.</w:t>
      </w:r>
      <w:r w:rsidR="00DF1A55" w:rsidRPr="003A58CF">
        <w:t xml:space="preserve"> </w:t>
      </w:r>
    </w:p>
    <w:p w:rsidR="00636994" w:rsidRPr="003A58CF" w:rsidRDefault="00DE58DB" w:rsidP="00854F5E">
      <w:pPr>
        <w:pStyle w:val="bt"/>
      </w:pPr>
      <w:r w:rsidRPr="003A58CF">
        <w:t xml:space="preserve">This </w:t>
      </w:r>
      <w:r w:rsidR="003F429B" w:rsidRPr="003A58CF">
        <w:t>plan</w:t>
      </w:r>
      <w:r w:rsidRPr="003A58CF">
        <w:t xml:space="preserve"> identifies key settlements where growth is to be directed. This growth </w:t>
      </w:r>
      <w:r w:rsidR="0017290C" w:rsidRPr="003A58CF">
        <w:t xml:space="preserve">will </w:t>
      </w:r>
      <w:r w:rsidRPr="003A58CF">
        <w:t xml:space="preserve">avoid </w:t>
      </w:r>
      <w:r w:rsidR="00636994" w:rsidRPr="003A58CF">
        <w:t xml:space="preserve">sites </w:t>
      </w:r>
      <w:r w:rsidRPr="003A58CF">
        <w:t xml:space="preserve">of </w:t>
      </w:r>
      <w:r w:rsidR="00350B11" w:rsidRPr="003A58CF">
        <w:t xml:space="preserve">high </w:t>
      </w:r>
      <w:r w:rsidRPr="003A58CF">
        <w:t xml:space="preserve">natural </w:t>
      </w:r>
      <w:r w:rsidR="00350B11" w:rsidRPr="003A58CF">
        <w:t xml:space="preserve">hazard </w:t>
      </w:r>
      <w:r w:rsidRPr="003A58CF">
        <w:t xml:space="preserve">such as </w:t>
      </w:r>
      <w:r w:rsidR="002D2356" w:rsidRPr="003A58CF">
        <w:t>bushfire</w:t>
      </w:r>
      <w:r w:rsidRPr="003A58CF">
        <w:t xml:space="preserve"> and </w:t>
      </w:r>
      <w:r w:rsidR="002D2356" w:rsidRPr="003A58CF">
        <w:t>flood</w:t>
      </w:r>
      <w:r w:rsidRPr="003A58CF">
        <w:t xml:space="preserve">, and protect </w:t>
      </w:r>
      <w:r w:rsidR="00350B11" w:rsidRPr="003A58CF">
        <w:t xml:space="preserve">environmental </w:t>
      </w:r>
      <w:r w:rsidRPr="003A58CF">
        <w:t xml:space="preserve">assets. </w:t>
      </w:r>
      <w:r w:rsidR="00A618B5" w:rsidRPr="003A58CF">
        <w:t xml:space="preserve">Growth will be directed to </w:t>
      </w:r>
      <w:r w:rsidRPr="003A58CF">
        <w:t xml:space="preserve">locations with existing and future links to </w:t>
      </w:r>
      <w:r w:rsidR="00A618B5" w:rsidRPr="003A58CF">
        <w:t>Bendigo</w:t>
      </w:r>
      <w:r w:rsidR="00230305">
        <w:t>, Melbourne</w:t>
      </w:r>
      <w:r w:rsidR="00A618B5" w:rsidRPr="003A58CF">
        <w:t xml:space="preserve"> </w:t>
      </w:r>
      <w:r w:rsidRPr="003A58CF">
        <w:t xml:space="preserve">and other settlements to provide access to employment and services. </w:t>
      </w:r>
    </w:p>
    <w:p w:rsidR="00DE58DB" w:rsidRPr="003A58CF" w:rsidRDefault="00DE58DB" w:rsidP="00854F5E">
      <w:pPr>
        <w:pStyle w:val="bt"/>
      </w:pPr>
      <w:r w:rsidRPr="003A58CF">
        <w:t>The existing network of settlements will be strengthened through the provision of access to employment and services within the region</w:t>
      </w:r>
      <w:r w:rsidR="00636994" w:rsidRPr="003A58CF">
        <w:t>, delivered through the Strategic Plan 2010 and other regional initiatives.</w:t>
      </w:r>
    </w:p>
    <w:p w:rsidR="00DE58DB" w:rsidRPr="003A58CF" w:rsidRDefault="00DE58DB" w:rsidP="00854F5E">
      <w:pPr>
        <w:pStyle w:val="bt"/>
      </w:pPr>
      <w:r w:rsidRPr="003A58CF">
        <w:t xml:space="preserve">The </w:t>
      </w:r>
      <w:r w:rsidR="00A618B5" w:rsidRPr="003A58CF">
        <w:t xml:space="preserve">Loddon Mallee South </w:t>
      </w:r>
      <w:r w:rsidRPr="003A58CF">
        <w:t>region is characterised by settlements nestled within the forest or surrounded by agricultural and farming land. The non</w:t>
      </w:r>
      <w:r w:rsidR="00A618B5" w:rsidRPr="003A58CF">
        <w:t>-</w:t>
      </w:r>
      <w:r w:rsidRPr="003A58CF">
        <w:t xml:space="preserve">urban breaks between settlements and their valued natural environment are to be preserved and protected as </w:t>
      </w:r>
      <w:r w:rsidR="00636994" w:rsidRPr="003A58CF">
        <w:t xml:space="preserve">a </w:t>
      </w:r>
      <w:r w:rsidRPr="003A58CF">
        <w:t>means of maintaining the character and identity of these settlements. The surrounding forest also brings bushfire risk</w:t>
      </w:r>
      <w:r w:rsidR="00C220CC" w:rsidRPr="003A58CF">
        <w:t>,</w:t>
      </w:r>
      <w:r w:rsidRPr="003A58CF">
        <w:t xml:space="preserve"> which needs to be managed through considered </w:t>
      </w:r>
      <w:r w:rsidR="00DD085A">
        <w:t>siting</w:t>
      </w:r>
      <w:r w:rsidRPr="003A58CF">
        <w:t xml:space="preserve"> of any new greenfield growth areas for </w:t>
      </w:r>
      <w:r w:rsidR="00A618B5" w:rsidRPr="003A58CF">
        <w:t xml:space="preserve">Bendigo </w:t>
      </w:r>
      <w:r w:rsidRPr="003A58CF">
        <w:t xml:space="preserve">and </w:t>
      </w:r>
      <w:r w:rsidR="00A618B5" w:rsidRPr="003A58CF">
        <w:t xml:space="preserve">other </w:t>
      </w:r>
      <w:r w:rsidRPr="003A58CF">
        <w:t xml:space="preserve">towns.  </w:t>
      </w:r>
    </w:p>
    <w:p w:rsidR="00DE58DB" w:rsidRPr="003A58CF" w:rsidRDefault="00DE58DB" w:rsidP="00854F5E">
      <w:pPr>
        <w:pStyle w:val="bt"/>
      </w:pPr>
      <w:r w:rsidRPr="003A58CF">
        <w:t xml:space="preserve">The majority of growth in the region will be accommodated in </w:t>
      </w:r>
      <w:r w:rsidR="0017290C" w:rsidRPr="003A58CF">
        <w:t xml:space="preserve">the regional city of </w:t>
      </w:r>
      <w:r w:rsidRPr="003A58CF">
        <w:t>Bendigo, maximising the yield of accessible and well</w:t>
      </w:r>
      <w:r w:rsidR="00C220CC" w:rsidRPr="003A58CF">
        <w:t xml:space="preserve"> </w:t>
      </w:r>
      <w:r w:rsidRPr="003A58CF">
        <w:t xml:space="preserve">connected development within the existing urban growth boundary, prior to further greenfield land release. </w:t>
      </w:r>
    </w:p>
    <w:p w:rsidR="00DE58DB" w:rsidRPr="003A58CF" w:rsidRDefault="00AF5CE9" w:rsidP="00854F5E">
      <w:pPr>
        <w:pStyle w:val="bt"/>
      </w:pPr>
      <w:r w:rsidRPr="003A58CF">
        <w:t xml:space="preserve">Beyond </w:t>
      </w:r>
      <w:r w:rsidR="00DE58DB" w:rsidRPr="003A58CF">
        <w:t xml:space="preserve">the forest surrounding </w:t>
      </w:r>
      <w:r w:rsidRPr="003A58CF">
        <w:t>Bendigo</w:t>
      </w:r>
      <w:r w:rsidR="00DE58DB" w:rsidRPr="003A58CF">
        <w:t xml:space="preserve">, the hinterland towns of Bridgewater, Inglewood and Harcourt have the infrastructure and opportunity to grow, offering an alternative country town lifestyle accessible to the regional city. The growth of these smaller towns also has benefits for outlying agricultural areas and communities. </w:t>
      </w:r>
    </w:p>
    <w:p w:rsidR="00DE58DB" w:rsidRPr="003A58CF" w:rsidRDefault="00DE58DB" w:rsidP="00854F5E">
      <w:pPr>
        <w:pStyle w:val="bt"/>
      </w:pPr>
      <w:r w:rsidRPr="003A58CF">
        <w:t xml:space="preserve">Growth </w:t>
      </w:r>
      <w:r w:rsidR="00D34B5E" w:rsidRPr="003A58CF">
        <w:t xml:space="preserve">will </w:t>
      </w:r>
      <w:r w:rsidR="007E5DCA" w:rsidRPr="003A58CF">
        <w:t xml:space="preserve">also </w:t>
      </w:r>
      <w:r w:rsidR="00643E86" w:rsidRPr="003A58CF">
        <w:t xml:space="preserve">be </w:t>
      </w:r>
      <w:r w:rsidR="007E5DCA" w:rsidRPr="003A58CF">
        <w:t>managed</w:t>
      </w:r>
      <w:r w:rsidR="00643E86" w:rsidRPr="003A58CF">
        <w:t xml:space="preserve"> and supported</w:t>
      </w:r>
      <w:r w:rsidRPr="003A58CF">
        <w:t xml:space="preserve"> in the regional towns of Gisborne, Kyneton, Castlemaine and Maryborough, each playing an important role in providing sub-regional services to surrounding communities with opportunities for social and economic participation. It is anticipated that </w:t>
      </w:r>
      <w:r w:rsidR="00D34B5E" w:rsidRPr="003A58CF">
        <w:t xml:space="preserve">other </w:t>
      </w:r>
      <w:r w:rsidRPr="003A58CF">
        <w:t>settlements</w:t>
      </w:r>
      <w:r w:rsidR="00D34B5E" w:rsidRPr="003A58CF">
        <w:t>, particularly in areas between Melbourne and Bendigo,</w:t>
      </w:r>
      <w:r w:rsidRPr="003A58CF">
        <w:t xml:space="preserve"> </w:t>
      </w:r>
      <w:r w:rsidR="00D34B5E" w:rsidRPr="003A58CF">
        <w:t>will</w:t>
      </w:r>
      <w:r w:rsidRPr="003A58CF">
        <w:t xml:space="preserve"> experience some increase in population</w:t>
      </w:r>
      <w:r w:rsidR="00D34B5E" w:rsidRPr="003A58CF">
        <w:t>,</w:t>
      </w:r>
      <w:r w:rsidRPr="003A58CF">
        <w:t xml:space="preserve"> </w:t>
      </w:r>
      <w:r w:rsidR="00D34B5E" w:rsidRPr="003A58CF">
        <w:t>expanding</w:t>
      </w:r>
      <w:r w:rsidRPr="003A58CF">
        <w:t xml:space="preserve"> within the</w:t>
      </w:r>
      <w:r w:rsidR="00D34B5E" w:rsidRPr="003A58CF">
        <w:t>ir</w:t>
      </w:r>
      <w:r w:rsidRPr="003A58CF">
        <w:t xml:space="preserve"> existing settlement boundaries. </w:t>
      </w:r>
      <w:bookmarkStart w:id="166" w:name="OLE_LINK82"/>
      <w:bookmarkStart w:id="167" w:name="OLE_LINK83"/>
      <w:r w:rsidRPr="003A58CF">
        <w:t>Small towns and villages play an essential role in the function and character of the region. Many small towns have significant historic or landscape value and offer an alternative lifestyle from the more urbanised and larger centres.</w:t>
      </w:r>
      <w:bookmarkEnd w:id="166"/>
      <w:bookmarkEnd w:id="167"/>
      <w:r w:rsidRPr="003A58CF">
        <w:t xml:space="preserve"> Growth is limited in some settlements based on sound strategic planning</w:t>
      </w:r>
      <w:r w:rsidR="0017290C" w:rsidRPr="003A58CF">
        <w:rPr>
          <w:rStyle w:val="Style"/>
          <w:rFonts w:asciiTheme="minorHAnsi" w:hAnsiTheme="minorHAnsi" w:cstheme="minorHAnsi"/>
          <w:sz w:val="22"/>
          <w:szCs w:val="22"/>
        </w:rPr>
        <w:footnoteReference w:id="15"/>
      </w:r>
      <w:r w:rsidR="004C1F90" w:rsidRPr="003A58CF">
        <w:t>,</w:t>
      </w:r>
      <w:r w:rsidRPr="003A58CF">
        <w:t xml:space="preserve"> </w:t>
      </w:r>
      <w:r w:rsidR="0017290C" w:rsidRPr="003A58CF">
        <w:t>availability</w:t>
      </w:r>
      <w:r w:rsidR="00E76F01" w:rsidRPr="003A58CF">
        <w:t xml:space="preserve"> </w:t>
      </w:r>
      <w:r w:rsidR="0017290C" w:rsidRPr="003A58CF">
        <w:t>of</w:t>
      </w:r>
      <w:r w:rsidRPr="003A58CF">
        <w:t xml:space="preserve"> infrastructure</w:t>
      </w:r>
      <w:r w:rsidR="00D34B5E" w:rsidRPr="003A58CF">
        <w:t>, for example,</w:t>
      </w:r>
      <w:r w:rsidRPr="003A58CF">
        <w:t xml:space="preserve"> water or sewer provision</w:t>
      </w:r>
      <w:r w:rsidR="00350B11" w:rsidRPr="003A58CF">
        <w:t>, natural hazards</w:t>
      </w:r>
      <w:r w:rsidRPr="003A58CF">
        <w:t xml:space="preserve"> and environmental </w:t>
      </w:r>
      <w:r w:rsidR="00350B11" w:rsidRPr="003A58CF">
        <w:t>considerations</w:t>
      </w:r>
      <w:r w:rsidRPr="003A58CF">
        <w:t>.</w:t>
      </w:r>
    </w:p>
    <w:p w:rsidR="00DE58DB" w:rsidRPr="003A58CF" w:rsidRDefault="00DE58DB" w:rsidP="00854F5E">
      <w:pPr>
        <w:pStyle w:val="bt"/>
      </w:pPr>
      <w:r w:rsidRPr="003A58CF">
        <w:lastRenderedPageBreak/>
        <w:t>Townships in the north of the region such as Wedderburn, Boort and Pyramid Hill provide local services for their communities and the broader outlying farming and agricultural areas. Their sustainability is important and any opportunities for growth</w:t>
      </w:r>
      <w:r w:rsidR="004C1F90" w:rsidRPr="003A58CF">
        <w:t xml:space="preserve"> are supported, </w:t>
      </w:r>
      <w:r w:rsidRPr="003A58CF">
        <w:t xml:space="preserve">leveraged </w:t>
      </w:r>
      <w:r w:rsidR="004C1F90" w:rsidRPr="003A58CF">
        <w:t>by</w:t>
      </w:r>
      <w:r w:rsidRPr="003A58CF">
        <w:t xml:space="preserve"> new investment or employment.</w:t>
      </w:r>
    </w:p>
    <w:p w:rsidR="00DE58DB" w:rsidRPr="003A58CF" w:rsidRDefault="00DE58DB" w:rsidP="00854F5E">
      <w:pPr>
        <w:pStyle w:val="bt"/>
      </w:pPr>
      <w:r w:rsidRPr="003A58CF">
        <w:t xml:space="preserve">Further information on land supply, planned and future growth of settlements is contained in </w:t>
      </w:r>
      <w:r w:rsidR="00FC0946" w:rsidRPr="003A58CF">
        <w:t xml:space="preserve">the </w:t>
      </w:r>
      <w:r w:rsidR="00E76F01" w:rsidRPr="003A58CF">
        <w:t>background report</w:t>
      </w:r>
      <w:r w:rsidR="00FC0946" w:rsidRPr="003A58CF">
        <w:t>.</w:t>
      </w:r>
      <w:r w:rsidR="00D34B5E" w:rsidRPr="003A58CF">
        <w:t xml:space="preserve"> The term ‘planned growth’ means the growth that can be accommodated by existing zoned land and land identified </w:t>
      </w:r>
      <w:r w:rsidR="00E76F01" w:rsidRPr="003A58CF">
        <w:t>for future urban purposes in a planning scheme, including under an approved structure plan, outline development plan or settlement strategy.</w:t>
      </w:r>
    </w:p>
    <w:p w:rsidR="00135CA1" w:rsidRPr="00827D8E" w:rsidRDefault="0018666D" w:rsidP="00827D8E">
      <w:pPr>
        <w:pStyle w:val="Heading4"/>
        <w:rPr>
          <w:rStyle w:val="Strong"/>
          <w:b/>
          <w:bCs/>
        </w:rPr>
      </w:pPr>
      <w:bookmarkStart w:id="168" w:name="_Toc333305816"/>
      <w:bookmarkStart w:id="169" w:name="_Toc339962633"/>
      <w:bookmarkStart w:id="170" w:name="_Toc351459120"/>
      <w:bookmarkStart w:id="171" w:name="_Toc339962637"/>
      <w:r w:rsidRPr="00827D8E">
        <w:rPr>
          <w:rStyle w:val="Strong"/>
          <w:b/>
          <w:bCs/>
        </w:rPr>
        <w:t>Future population profile</w:t>
      </w:r>
      <w:bookmarkEnd w:id="168"/>
      <w:bookmarkEnd w:id="169"/>
      <w:bookmarkEnd w:id="170"/>
    </w:p>
    <w:p w:rsidR="00DE58DB" w:rsidRPr="003A58CF" w:rsidRDefault="002E182D" w:rsidP="00854F5E">
      <w:pPr>
        <w:pStyle w:val="bt"/>
      </w:pPr>
      <w:r w:rsidRPr="003A58CF">
        <w:t xml:space="preserve">Along with much of Victoria </w:t>
      </w:r>
      <w:r w:rsidR="00DE58DB" w:rsidRPr="003A58CF">
        <w:t>the Loddon Mallee</w:t>
      </w:r>
      <w:r w:rsidR="0017290C" w:rsidRPr="003A58CF">
        <w:t xml:space="preserve"> South</w:t>
      </w:r>
      <w:r w:rsidR="00DE58DB" w:rsidRPr="003A58CF">
        <w:t xml:space="preserve"> region has an ageing population. This will have an impact on service provision such as medical and aged care provision. It </w:t>
      </w:r>
      <w:r w:rsidRPr="003A58CF">
        <w:t xml:space="preserve">also </w:t>
      </w:r>
      <w:r w:rsidR="00DE58DB" w:rsidRPr="003A58CF">
        <w:t xml:space="preserve">has the potential to impact on employment and the economy. </w:t>
      </w:r>
    </w:p>
    <w:p w:rsidR="00DE58DB" w:rsidRPr="003A58CF" w:rsidRDefault="00DE58DB" w:rsidP="00854F5E">
      <w:pPr>
        <w:pStyle w:val="bt"/>
      </w:pPr>
      <w:r w:rsidRPr="003A58CF">
        <w:t xml:space="preserve">Attracting and maintaining younger age groups for education and </w:t>
      </w:r>
      <w:r w:rsidR="002E182D" w:rsidRPr="003A58CF">
        <w:t xml:space="preserve">then </w:t>
      </w:r>
      <w:r w:rsidRPr="003A58CF">
        <w:t>employment</w:t>
      </w:r>
      <w:r w:rsidR="002E182D" w:rsidRPr="003A58CF">
        <w:t>,</w:t>
      </w:r>
      <w:r w:rsidRPr="003A58CF">
        <w:t xml:space="preserve"> will be critical to maintaining </w:t>
      </w:r>
      <w:r w:rsidR="002E182D" w:rsidRPr="003A58CF">
        <w:t xml:space="preserve">a diverse </w:t>
      </w:r>
      <w:r w:rsidRPr="003A58CF">
        <w:t>community and a vital economy. The desire for the regional city and settlements to grow and sustain viable populations also relies on attracting families to the region, which in turn relies on offering a range of employment opportunities and appropriate access to social infrastructure.</w:t>
      </w:r>
    </w:p>
    <w:p w:rsidR="0076055B" w:rsidRPr="003A58CF" w:rsidRDefault="00DE58DB" w:rsidP="00854F5E">
      <w:pPr>
        <w:pStyle w:val="bt"/>
      </w:pPr>
      <w:r w:rsidRPr="003A58CF">
        <w:t xml:space="preserve">A key </w:t>
      </w:r>
      <w:r w:rsidR="0017290C" w:rsidRPr="003A58CF">
        <w:t xml:space="preserve">aim </w:t>
      </w:r>
      <w:r w:rsidRPr="003A58CF">
        <w:t xml:space="preserve">of </w:t>
      </w:r>
      <w:r w:rsidR="0017290C" w:rsidRPr="003A58CF">
        <w:t xml:space="preserve">this </w:t>
      </w:r>
      <w:r w:rsidR="003F429B" w:rsidRPr="003A58CF">
        <w:t>plan</w:t>
      </w:r>
      <w:r w:rsidRPr="003A58CF">
        <w:t xml:space="preserve"> is to attract a diverse population to the region, particularly people of working age. This </w:t>
      </w:r>
      <w:r w:rsidR="002E182D" w:rsidRPr="003A58CF">
        <w:t xml:space="preserve">will </w:t>
      </w:r>
      <w:r w:rsidRPr="003A58CF">
        <w:t xml:space="preserve">be achieved </w:t>
      </w:r>
      <w:r w:rsidR="0026628A" w:rsidRPr="003A58CF">
        <w:t xml:space="preserve">by </w:t>
      </w:r>
      <w:r w:rsidRPr="003A58CF">
        <w:t xml:space="preserve">improving tertiary education and providing housing </w:t>
      </w:r>
      <w:r w:rsidR="00F0729B" w:rsidRPr="003A58CF">
        <w:t xml:space="preserve">diversity </w:t>
      </w:r>
      <w:r w:rsidRPr="003A58CF">
        <w:t xml:space="preserve">and lifestyle options in the region. </w:t>
      </w:r>
    </w:p>
    <w:p w:rsidR="00135CA1" w:rsidRPr="00827D8E" w:rsidRDefault="0018666D" w:rsidP="00827D8E">
      <w:pPr>
        <w:pStyle w:val="Heading4"/>
        <w:rPr>
          <w:rStyle w:val="Strong"/>
          <w:b/>
          <w:bCs/>
        </w:rPr>
      </w:pPr>
      <w:bookmarkStart w:id="172" w:name="_Toc333305817"/>
      <w:bookmarkStart w:id="173" w:name="_Toc339962634"/>
      <w:bookmarkStart w:id="174" w:name="_Toc351459121"/>
      <w:r w:rsidRPr="00827D8E">
        <w:rPr>
          <w:rStyle w:val="Strong"/>
          <w:b/>
          <w:bCs/>
        </w:rPr>
        <w:t>Urban and housing form</w:t>
      </w:r>
      <w:bookmarkEnd w:id="172"/>
      <w:bookmarkEnd w:id="173"/>
      <w:bookmarkEnd w:id="174"/>
      <w:r w:rsidRPr="00827D8E">
        <w:rPr>
          <w:rStyle w:val="Strong"/>
          <w:b/>
          <w:bCs/>
        </w:rPr>
        <w:t xml:space="preserve"> </w:t>
      </w:r>
    </w:p>
    <w:p w:rsidR="00DE58DB" w:rsidRPr="003A58CF" w:rsidRDefault="0026628A" w:rsidP="00854F5E">
      <w:pPr>
        <w:pStyle w:val="bt"/>
      </w:pPr>
      <w:r w:rsidRPr="003A58CF">
        <w:t xml:space="preserve">Each of the region’s </w:t>
      </w:r>
      <w:r w:rsidR="00DE58DB" w:rsidRPr="003A58CF">
        <w:t xml:space="preserve">settlements </w:t>
      </w:r>
      <w:r w:rsidRPr="003A58CF">
        <w:t xml:space="preserve">has </w:t>
      </w:r>
      <w:r w:rsidR="00DE58DB" w:rsidRPr="003A58CF">
        <w:t xml:space="preserve">a unique character, influenced by </w:t>
      </w:r>
      <w:r w:rsidRPr="003A58CF">
        <w:t xml:space="preserve">its </w:t>
      </w:r>
      <w:r w:rsidR="00DE58DB" w:rsidRPr="003A58CF">
        <w:t>built form</w:t>
      </w:r>
      <w:r w:rsidRPr="003A58CF">
        <w:t>,</w:t>
      </w:r>
      <w:r w:rsidR="00DE58DB" w:rsidRPr="003A58CF">
        <w:t xml:space="preserve"> heritage and </w:t>
      </w:r>
      <w:r w:rsidRPr="003A58CF">
        <w:t xml:space="preserve">the </w:t>
      </w:r>
      <w:r w:rsidR="00DE58DB" w:rsidRPr="003A58CF">
        <w:t xml:space="preserve">natural landscape within which </w:t>
      </w:r>
      <w:r w:rsidRPr="003A58CF">
        <w:t>it</w:t>
      </w:r>
      <w:r w:rsidR="00DE58DB" w:rsidRPr="003A58CF">
        <w:t xml:space="preserve"> sit</w:t>
      </w:r>
      <w:r w:rsidRPr="003A58CF">
        <w:t>s</w:t>
      </w:r>
      <w:r w:rsidR="00DE58DB" w:rsidRPr="003A58CF">
        <w:t xml:space="preserve">. </w:t>
      </w:r>
      <w:r w:rsidRPr="003A58CF">
        <w:t>To</w:t>
      </w:r>
      <w:r w:rsidR="00DE58DB" w:rsidRPr="003A58CF">
        <w:t xml:space="preserve"> accommodat</w:t>
      </w:r>
      <w:r w:rsidRPr="003A58CF">
        <w:t>e</w:t>
      </w:r>
      <w:r w:rsidR="00DE58DB" w:rsidRPr="003A58CF">
        <w:t xml:space="preserve"> growth and change across the region, urban design principles</w:t>
      </w:r>
      <w:r w:rsidRPr="003A58CF">
        <w:t xml:space="preserve"> that are </w:t>
      </w:r>
      <w:r w:rsidR="00DE58DB" w:rsidRPr="003A58CF">
        <w:t xml:space="preserve">appropriate for regional areas need to be taken into consideration.  </w:t>
      </w:r>
    </w:p>
    <w:p w:rsidR="00DE58DB" w:rsidRPr="003A58CF" w:rsidRDefault="00DE58DB" w:rsidP="00854F5E">
      <w:pPr>
        <w:pStyle w:val="bt"/>
      </w:pPr>
      <w:r w:rsidRPr="003A58CF">
        <w:t xml:space="preserve">Change in the demographic profile </w:t>
      </w:r>
      <w:r w:rsidR="0026628A" w:rsidRPr="003A58CF">
        <w:t xml:space="preserve">of the region </w:t>
      </w:r>
      <w:r w:rsidRPr="003A58CF">
        <w:t xml:space="preserve">indicates </w:t>
      </w:r>
      <w:r w:rsidR="0017290C" w:rsidRPr="003A58CF">
        <w:t>the number</w:t>
      </w:r>
      <w:r w:rsidRPr="003A58CF">
        <w:t xml:space="preserve"> of single person households</w:t>
      </w:r>
      <w:r w:rsidR="0017290C" w:rsidRPr="003A58CF">
        <w:t xml:space="preserve"> will continue to increase</w:t>
      </w:r>
      <w:r w:rsidRPr="003A58CF">
        <w:t xml:space="preserve">. Settlement planning and provision for growth need to focus on providing housing </w:t>
      </w:r>
      <w:r w:rsidR="00F0729B" w:rsidRPr="003A58CF">
        <w:t>diversity</w:t>
      </w:r>
      <w:r w:rsidRPr="003A58CF">
        <w:t>, including higher density development in cities and centres, whil</w:t>
      </w:r>
      <w:r w:rsidR="00E75F70" w:rsidRPr="003A58CF">
        <w:t>e</w:t>
      </w:r>
      <w:r w:rsidRPr="003A58CF">
        <w:t xml:space="preserve"> respecting the regional and heritage character of towns.  </w:t>
      </w:r>
    </w:p>
    <w:p w:rsidR="00A8222C" w:rsidRPr="003A58CF" w:rsidRDefault="00DE58DB" w:rsidP="00854F5E">
      <w:pPr>
        <w:pStyle w:val="bt"/>
      </w:pPr>
      <w:r w:rsidRPr="003A58CF">
        <w:t>Alternative forms of housing (beyond the traditional greenfield development) need to be explored, such as shop</w:t>
      </w:r>
      <w:r w:rsidR="0026628A" w:rsidRPr="003A58CF">
        <w:t>-</w:t>
      </w:r>
      <w:r w:rsidRPr="003A58CF">
        <w:t xml:space="preserve">top housing and multi-unit developments. The provision of housing for </w:t>
      </w:r>
      <w:r w:rsidR="0026628A" w:rsidRPr="003A58CF">
        <w:t xml:space="preserve">older people </w:t>
      </w:r>
      <w:r w:rsidRPr="003A58CF">
        <w:t>needs to be considered across the region</w:t>
      </w:r>
      <w:r w:rsidR="00A8222C" w:rsidRPr="003A58CF">
        <w:t>.</w:t>
      </w:r>
    </w:p>
    <w:p w:rsidR="002D2356" w:rsidRPr="001514AA" w:rsidRDefault="00977C9A" w:rsidP="001514AA">
      <w:pPr>
        <w:pStyle w:val="bt"/>
      </w:pPr>
      <w:bookmarkStart w:id="175" w:name="_Ref352070037"/>
      <w:bookmarkStart w:id="176" w:name="_Ref352069944"/>
      <w:bookmarkStart w:id="177" w:name="_Toc373757229"/>
      <w:r w:rsidRPr="001514AA">
        <w:t xml:space="preserve">Map </w:t>
      </w:r>
      <w:bookmarkEnd w:id="175"/>
      <w:r w:rsidR="00993A78">
        <w:t xml:space="preserve">9 </w:t>
      </w:r>
      <w:r w:rsidR="001514AA" w:rsidRPr="001514AA">
        <w:t xml:space="preserve">is located here in the document and it shows - </w:t>
      </w:r>
      <w:r w:rsidRPr="001514AA">
        <w:t>Future settlement growth directions</w:t>
      </w:r>
      <w:bookmarkEnd w:id="176"/>
      <w:bookmarkEnd w:id="177"/>
    </w:p>
    <w:p w:rsidR="002D2356" w:rsidRPr="003A58CF" w:rsidRDefault="00DE58DB" w:rsidP="00827D8E">
      <w:pPr>
        <w:pStyle w:val="Heading2"/>
      </w:pPr>
      <w:bookmarkStart w:id="178" w:name="_Toc377026343"/>
      <w:r w:rsidRPr="003A58CF">
        <w:t>Bendigo – the regional city</w:t>
      </w:r>
      <w:bookmarkEnd w:id="171"/>
      <w:bookmarkEnd w:id="178"/>
    </w:p>
    <w:p w:rsidR="00DE58DB" w:rsidRPr="003A58CF" w:rsidRDefault="00DE58DB" w:rsidP="00854F5E">
      <w:pPr>
        <w:pStyle w:val="bt"/>
      </w:pPr>
      <w:r w:rsidRPr="003A58CF">
        <w:t xml:space="preserve">Bendigo will accommodate the majority of growth in the </w:t>
      </w:r>
      <w:r w:rsidR="00A436AE" w:rsidRPr="003A58CF">
        <w:t xml:space="preserve">Loddon Mallee South </w:t>
      </w:r>
      <w:r w:rsidRPr="003A58CF">
        <w:t xml:space="preserve">region over the next 30 years. The </w:t>
      </w:r>
      <w:r w:rsidR="00807204" w:rsidRPr="003A58CF">
        <w:t>City of Greater Bendigo</w:t>
      </w:r>
      <w:r w:rsidRPr="003A58CF">
        <w:t xml:space="preserve"> is expected to continue to experience strong and steady population growth to 2041, with a projected population of 150</w:t>
      </w:r>
      <w:r w:rsidR="00A436AE" w:rsidRPr="003A58CF">
        <w:t>,</w:t>
      </w:r>
      <w:r w:rsidRPr="003A58CF">
        <w:t>000</w:t>
      </w:r>
      <w:r w:rsidR="00807204" w:rsidRPr="003A58CF">
        <w:t xml:space="preserve"> (an additional 44,400 people compared to 2011)</w:t>
      </w:r>
      <w:r w:rsidRPr="003A58CF">
        <w:t xml:space="preserve">. This </w:t>
      </w:r>
      <w:r w:rsidR="003F429B" w:rsidRPr="003A58CF">
        <w:t>plan</w:t>
      </w:r>
      <w:r w:rsidRPr="003A58CF">
        <w:t xml:space="preserve"> </w:t>
      </w:r>
      <w:r w:rsidR="00E76F01" w:rsidRPr="003A58CF">
        <w:t>considers the implications for</w:t>
      </w:r>
      <w:r w:rsidR="00807204" w:rsidRPr="003A58CF">
        <w:t xml:space="preserve"> the City of Greater</w:t>
      </w:r>
      <w:r w:rsidR="00A436AE" w:rsidRPr="003A58CF">
        <w:t xml:space="preserve"> Bendigo </w:t>
      </w:r>
      <w:r w:rsidR="00E76F01" w:rsidRPr="003A58CF">
        <w:t xml:space="preserve">of a population growing beyond 150,000 and </w:t>
      </w:r>
      <w:r w:rsidR="00633EE8" w:rsidRPr="003A58CF">
        <w:t>close</w:t>
      </w:r>
      <w:r w:rsidR="00E76F01" w:rsidRPr="003A58CF">
        <w:t>r</w:t>
      </w:r>
      <w:r w:rsidR="00633EE8" w:rsidRPr="003A58CF">
        <w:t xml:space="preserve"> to</w:t>
      </w:r>
      <w:r w:rsidR="00A436AE" w:rsidRPr="003A58CF">
        <w:t xml:space="preserve"> </w:t>
      </w:r>
      <w:r w:rsidRPr="003A58CF">
        <w:t>200</w:t>
      </w:r>
      <w:r w:rsidR="00A436AE" w:rsidRPr="003A58CF">
        <w:t>,</w:t>
      </w:r>
      <w:r w:rsidRPr="003A58CF">
        <w:t>000</w:t>
      </w:r>
      <w:r w:rsidR="00807204" w:rsidRPr="003A58CF">
        <w:t xml:space="preserve"> (an additional 94,400 people compared to 2011)</w:t>
      </w:r>
      <w:r w:rsidR="00E76F01" w:rsidRPr="003A58CF">
        <w:t xml:space="preserve">. Growth of this scale at Bendigo will </w:t>
      </w:r>
      <w:r w:rsidR="00A436AE" w:rsidRPr="003A58CF">
        <w:t xml:space="preserve">help </w:t>
      </w:r>
      <w:r w:rsidRPr="003A58CF">
        <w:t>driv</w:t>
      </w:r>
      <w:r w:rsidR="00A436AE" w:rsidRPr="003A58CF">
        <w:t>e</w:t>
      </w:r>
      <w:r w:rsidRPr="003A58CF">
        <w:t xml:space="preserve"> investment and economic growth in the region.  </w:t>
      </w:r>
    </w:p>
    <w:p w:rsidR="00DE58DB" w:rsidRPr="003A58CF" w:rsidRDefault="0020321F" w:rsidP="00854F5E">
      <w:pPr>
        <w:pStyle w:val="bt"/>
      </w:pPr>
      <w:r w:rsidRPr="003A58CF">
        <w:t xml:space="preserve">Based on current data, the </w:t>
      </w:r>
      <w:r w:rsidR="00DE58DB" w:rsidRPr="003A58CF">
        <w:t xml:space="preserve">city has planned </w:t>
      </w:r>
      <w:r w:rsidRPr="003A58CF">
        <w:t xml:space="preserve">for </w:t>
      </w:r>
      <w:r w:rsidR="00DE58DB" w:rsidRPr="003A58CF">
        <w:t xml:space="preserve">growth </w:t>
      </w:r>
      <w:r w:rsidRPr="003A58CF">
        <w:t xml:space="preserve">to </w:t>
      </w:r>
      <w:r w:rsidR="0017290C" w:rsidRPr="003A58CF">
        <w:t>accommodate an additional</w:t>
      </w:r>
      <w:r w:rsidR="00DE58DB" w:rsidRPr="003A58CF">
        <w:t xml:space="preserve"> 38,000 people including infill potential for a population of 10,200</w:t>
      </w:r>
      <w:r w:rsidRPr="003A58CF">
        <w:t xml:space="preserve"> people</w:t>
      </w:r>
      <w:r w:rsidR="00DE58DB" w:rsidRPr="003A58CF">
        <w:t xml:space="preserve">. There are </w:t>
      </w:r>
      <w:r w:rsidRPr="003A58CF">
        <w:t xml:space="preserve">further </w:t>
      </w:r>
      <w:r w:rsidR="00DE58DB" w:rsidRPr="003A58CF">
        <w:t>opportunities for growth</w:t>
      </w:r>
      <w:r w:rsidRPr="003A58CF">
        <w:t xml:space="preserve"> within the existing </w:t>
      </w:r>
      <w:r w:rsidRPr="003A58CF">
        <w:lastRenderedPageBreak/>
        <w:t>urban growth boundary</w:t>
      </w:r>
      <w:r w:rsidR="00DE58DB" w:rsidRPr="003A58CF">
        <w:t xml:space="preserve">, </w:t>
      </w:r>
      <w:r w:rsidRPr="003A58CF">
        <w:t xml:space="preserve">including </w:t>
      </w:r>
      <w:r w:rsidR="00DE58DB" w:rsidRPr="003A58CF">
        <w:t xml:space="preserve">the potential to provide for greater housing choice, types and tenure to meet the needs of </w:t>
      </w:r>
      <w:r w:rsidRPr="003A58CF">
        <w:t xml:space="preserve">the </w:t>
      </w:r>
      <w:r w:rsidR="00DE58DB" w:rsidRPr="003A58CF">
        <w:t xml:space="preserve">existing and future population. </w:t>
      </w:r>
    </w:p>
    <w:p w:rsidR="00DE58DB" w:rsidRPr="003A58CF" w:rsidRDefault="00DE58DB" w:rsidP="00854F5E">
      <w:pPr>
        <w:pStyle w:val="bt"/>
      </w:pPr>
      <w:r w:rsidRPr="003A58CF">
        <w:t xml:space="preserve">The focus </w:t>
      </w:r>
      <w:r w:rsidR="0020321F" w:rsidRPr="003A58CF">
        <w:t xml:space="preserve">of </w:t>
      </w:r>
      <w:r w:rsidRPr="003A58CF">
        <w:t xml:space="preserve">growth </w:t>
      </w:r>
      <w:r w:rsidR="0020321F" w:rsidRPr="003A58CF">
        <w:t xml:space="preserve">in </w:t>
      </w:r>
      <w:r w:rsidRPr="003A58CF">
        <w:t>Bendigo will be on infill</w:t>
      </w:r>
      <w:r w:rsidR="0020321F" w:rsidRPr="003A58CF">
        <w:t xml:space="preserve"> development</w:t>
      </w:r>
      <w:r w:rsidRPr="003A58CF">
        <w:t>. This is in response to both the need to provide for higher density development within the city’s boundaries and new urban design approaches to create a stronger urban edge in locations adjacent to forest</w:t>
      </w:r>
      <w:r w:rsidR="00C22E96" w:rsidRPr="003A58CF">
        <w:t xml:space="preserve"> presenting </w:t>
      </w:r>
      <w:r w:rsidR="00350B11" w:rsidRPr="003A58CF">
        <w:t>bush</w:t>
      </w:r>
      <w:r w:rsidRPr="003A58CF">
        <w:t>fire risk. Some of this will be achieved through the review of lot size controls on zoned</w:t>
      </w:r>
      <w:r w:rsidR="0020321F" w:rsidRPr="003A58CF">
        <w:t xml:space="preserve"> yet</w:t>
      </w:r>
      <w:r w:rsidRPr="003A58CF">
        <w:t xml:space="preserve"> undeveloped land. Areas previously planned for large lot development</w:t>
      </w:r>
      <w:r w:rsidR="00B8022E" w:rsidRPr="003A58CF">
        <w:t>, for example,</w:t>
      </w:r>
      <w:r w:rsidRPr="003A58CF">
        <w:t xml:space="preserve"> minimum lot sizes of 1200</w:t>
      </w:r>
      <w:r w:rsidR="0020321F" w:rsidRPr="003A58CF">
        <w:t xml:space="preserve"> square metres</w:t>
      </w:r>
      <w:r w:rsidRPr="003A58CF">
        <w:t xml:space="preserve"> in Maiden Gully</w:t>
      </w:r>
      <w:r w:rsidR="00B8022E" w:rsidRPr="003A58CF">
        <w:t>,</w:t>
      </w:r>
      <w:r w:rsidRPr="003A58CF">
        <w:t xml:space="preserve"> will be revisited with a view to revise planning controls to encourage higher densities. </w:t>
      </w:r>
    </w:p>
    <w:p w:rsidR="00DE58DB" w:rsidRPr="003A58CF" w:rsidRDefault="00DE58DB" w:rsidP="00854F5E">
      <w:pPr>
        <w:pStyle w:val="bt"/>
      </w:pPr>
      <w:r w:rsidRPr="003A58CF">
        <w:t xml:space="preserve">Other infill </w:t>
      </w:r>
      <w:r w:rsidR="0020321F" w:rsidRPr="003A58CF">
        <w:t xml:space="preserve">opportunities </w:t>
      </w:r>
      <w:r w:rsidRPr="003A58CF">
        <w:t xml:space="preserve">to be investigated include disused </w:t>
      </w:r>
      <w:r w:rsidR="00CE14B1" w:rsidRPr="003A58CF">
        <w:t xml:space="preserve">Crown </w:t>
      </w:r>
      <w:r w:rsidRPr="003A58CF">
        <w:t xml:space="preserve">land, surplus golf courses and redundant mine sites. </w:t>
      </w:r>
      <w:r w:rsidR="00350B11" w:rsidRPr="003A58CF">
        <w:t>Planning considerations, such as potentially contaminated land, would need to be taken into account with these opportunities.</w:t>
      </w:r>
    </w:p>
    <w:p w:rsidR="00DE58DB" w:rsidRPr="003A58CF" w:rsidRDefault="00E76F01" w:rsidP="00854F5E">
      <w:pPr>
        <w:pStyle w:val="bt"/>
      </w:pPr>
      <w:r w:rsidRPr="003A58CF">
        <w:t xml:space="preserve">While </w:t>
      </w:r>
      <w:r w:rsidR="00DE58DB" w:rsidRPr="003A58CF">
        <w:t xml:space="preserve">medium density housing and infill development has had some success in Bendigo, stimulus for mixed use and higher density development in key locations needs to occur to overcome market barriers, such as a perceived lack of demand. There is also a need to provide student housing to support the growing universities in the city. </w:t>
      </w:r>
      <w:r w:rsidR="001F16ED" w:rsidRPr="003A58CF">
        <w:t>The Bendigo Residential Development Strategy</w:t>
      </w:r>
      <w:r w:rsidR="00EA37C0" w:rsidRPr="003A58CF">
        <w:t xml:space="preserve"> (2004)</w:t>
      </w:r>
      <w:r w:rsidR="001F16ED" w:rsidRPr="003A58CF">
        <w:t xml:space="preserve"> is currently under review and</w:t>
      </w:r>
      <w:r w:rsidR="00EA37C0" w:rsidRPr="003A58CF">
        <w:t xml:space="preserve"> will</w:t>
      </w:r>
      <w:r w:rsidR="001F16ED" w:rsidRPr="003A58CF">
        <w:t xml:space="preserve"> </w:t>
      </w:r>
      <w:r w:rsidR="00EA37C0" w:rsidRPr="003A58CF">
        <w:t>deliver</w:t>
      </w:r>
      <w:r w:rsidR="001F16ED" w:rsidRPr="003A58CF">
        <w:t xml:space="preserve"> some of this planning work for future land supply to manage the </w:t>
      </w:r>
      <w:r w:rsidR="00CE14B1" w:rsidRPr="003A58CF">
        <w:t xml:space="preserve">city’s </w:t>
      </w:r>
      <w:r w:rsidR="001F16ED" w:rsidRPr="003A58CF">
        <w:t>projected and aspired growth.</w:t>
      </w:r>
    </w:p>
    <w:p w:rsidR="00DE58DB" w:rsidRPr="003A58CF" w:rsidRDefault="00DE58DB" w:rsidP="00854F5E">
      <w:pPr>
        <w:pStyle w:val="bt"/>
      </w:pPr>
      <w:r w:rsidRPr="003A58CF">
        <w:t>Bendigo’s growth is constrained by surrounding forests</w:t>
      </w:r>
      <w:r w:rsidR="00CE14B1" w:rsidRPr="003A58CF">
        <w:t>,</w:t>
      </w:r>
      <w:r w:rsidR="00EA37C0" w:rsidRPr="003A58CF">
        <w:t xml:space="preserve"> but</w:t>
      </w:r>
      <w:r w:rsidRPr="003A58CF">
        <w:t xml:space="preserve"> nearby Marong provides an opportunity for a population of 1300 to 8000 </w:t>
      </w:r>
      <w:r w:rsidR="0020321F" w:rsidRPr="003A58CF">
        <w:t xml:space="preserve">people </w:t>
      </w:r>
      <w:r w:rsidRPr="003A58CF">
        <w:t>depending on future planning for the area. Other investigation</w:t>
      </w:r>
      <w:r w:rsidR="00EA37C0" w:rsidRPr="003A58CF">
        <w:t xml:space="preserve"> </w:t>
      </w:r>
      <w:r w:rsidRPr="003A58CF">
        <w:t xml:space="preserve">areas outside the existing urban </w:t>
      </w:r>
      <w:r w:rsidR="0020321F" w:rsidRPr="003A58CF">
        <w:t xml:space="preserve">growth </w:t>
      </w:r>
      <w:r w:rsidRPr="003A58CF">
        <w:t xml:space="preserve">boundary may also have potential and </w:t>
      </w:r>
      <w:r w:rsidR="00117BB6" w:rsidRPr="003A58CF">
        <w:t xml:space="preserve">will </w:t>
      </w:r>
      <w:r w:rsidR="0017290C" w:rsidRPr="003A58CF">
        <w:t xml:space="preserve">be </w:t>
      </w:r>
      <w:r w:rsidRPr="003A58CF">
        <w:t xml:space="preserve">identified as part of </w:t>
      </w:r>
      <w:r w:rsidR="00230305">
        <w:t>the</w:t>
      </w:r>
      <w:r w:rsidR="00117BB6" w:rsidRPr="003A58CF">
        <w:t xml:space="preserve"> review of </w:t>
      </w:r>
      <w:r w:rsidRPr="003A58CF">
        <w:t xml:space="preserve">the Bendigo Residential </w:t>
      </w:r>
      <w:r w:rsidR="00B743C4" w:rsidRPr="003A58CF">
        <w:t xml:space="preserve">Development </w:t>
      </w:r>
      <w:r w:rsidRPr="003A58CF">
        <w:t>Strategy</w:t>
      </w:r>
      <w:r w:rsidR="00C63F8D" w:rsidRPr="003A58CF">
        <w:t xml:space="preserve"> (2004)</w:t>
      </w:r>
      <w:r w:rsidRPr="003A58CF">
        <w:t xml:space="preserve">. </w:t>
      </w:r>
    </w:p>
    <w:p w:rsidR="00DE58DB" w:rsidRPr="003A58CF" w:rsidRDefault="00DF1A55" w:rsidP="00854F5E">
      <w:pPr>
        <w:pStyle w:val="bt"/>
      </w:pPr>
      <w:r w:rsidRPr="003A58CF">
        <w:t xml:space="preserve">Locations for population growth in Bendigo </w:t>
      </w:r>
      <w:r w:rsidR="00117BB6" w:rsidRPr="003A58CF">
        <w:t xml:space="preserve">will </w:t>
      </w:r>
      <w:r w:rsidRPr="003A58CF">
        <w:t xml:space="preserve">build on existing strengths to ensure that infrastructure and services are used efficiently. New housing, employment and education areas </w:t>
      </w:r>
      <w:r w:rsidR="00117BB6" w:rsidRPr="003A58CF">
        <w:t xml:space="preserve">will be </w:t>
      </w:r>
      <w:r w:rsidR="0017290C" w:rsidRPr="003A58CF">
        <w:t xml:space="preserve">located </w:t>
      </w:r>
      <w:r w:rsidRPr="003A58CF">
        <w:t xml:space="preserve">to maximise opportunities for increased use of public </w:t>
      </w:r>
      <w:r w:rsidR="00FD633C" w:rsidRPr="003A58CF">
        <w:t>transport, walking and cycling.</w:t>
      </w:r>
    </w:p>
    <w:p w:rsidR="00383748" w:rsidRPr="003A58CF" w:rsidRDefault="00383748" w:rsidP="00854F5E">
      <w:pPr>
        <w:pStyle w:val="bt"/>
      </w:pPr>
      <w:r w:rsidRPr="003A58CF">
        <w:t>Planned growth for Bendigo and Marong is adequate to accommodate projected growth until 2031.</w:t>
      </w:r>
      <w:r w:rsidR="00EA37C0" w:rsidRPr="003A58CF">
        <w:t xml:space="preserve"> Further information on the regional city’s planned growth is in the background report.</w:t>
      </w:r>
    </w:p>
    <w:p w:rsidR="00135CA1" w:rsidRPr="00827D8E" w:rsidRDefault="0018666D" w:rsidP="00827D8E">
      <w:pPr>
        <w:pStyle w:val="Heading4"/>
        <w:rPr>
          <w:rStyle w:val="Strong"/>
          <w:b/>
          <w:bCs/>
        </w:rPr>
      </w:pPr>
      <w:bookmarkStart w:id="179" w:name="_Toc351459123"/>
      <w:r w:rsidRPr="00827D8E">
        <w:rPr>
          <w:rStyle w:val="Strong"/>
          <w:b/>
          <w:bCs/>
        </w:rPr>
        <w:t>The economy</w:t>
      </w:r>
      <w:bookmarkEnd w:id="179"/>
    </w:p>
    <w:p w:rsidR="00DE58DB" w:rsidRPr="003A58CF" w:rsidRDefault="00DE58DB" w:rsidP="00854F5E">
      <w:pPr>
        <w:pStyle w:val="bt"/>
      </w:pPr>
      <w:r w:rsidRPr="003A58CF">
        <w:t xml:space="preserve">Bendigo’s role as a key regional city in </w:t>
      </w:r>
      <w:r w:rsidR="00117BB6" w:rsidRPr="003A58CF">
        <w:t xml:space="preserve">Victoria </w:t>
      </w:r>
      <w:r w:rsidRPr="003A58CF">
        <w:t xml:space="preserve">has </w:t>
      </w:r>
      <w:r w:rsidR="00117BB6" w:rsidRPr="003A58CF">
        <w:t xml:space="preserve">helped it maintain </w:t>
      </w:r>
      <w:r w:rsidRPr="003A58CF">
        <w:t xml:space="preserve">a strong and diverse economy. The </w:t>
      </w:r>
      <w:r w:rsidR="0017290C" w:rsidRPr="003A58CF">
        <w:t xml:space="preserve">city’s </w:t>
      </w:r>
      <w:r w:rsidRPr="003A58CF">
        <w:t xml:space="preserve">performance against innovation and agglomeration measures clearly demonstrates </w:t>
      </w:r>
      <w:r w:rsidR="0017290C" w:rsidRPr="003A58CF">
        <w:t>its</w:t>
      </w:r>
      <w:r w:rsidRPr="003A58CF">
        <w:t xml:space="preserve"> role as the engine of economic growth in the region (</w:t>
      </w:r>
      <w:r w:rsidR="00EA37C0" w:rsidRPr="003A58CF">
        <w:t xml:space="preserve">Regional Development Victoria, </w:t>
      </w:r>
      <w:r w:rsidRPr="003A58CF">
        <w:t>2012)</w:t>
      </w:r>
      <w:r w:rsidR="00117BB6" w:rsidRPr="003A58CF">
        <w:t>.</w:t>
      </w:r>
    </w:p>
    <w:p w:rsidR="00DE58DB" w:rsidRPr="003A58CF" w:rsidRDefault="00DE58DB" w:rsidP="00854F5E">
      <w:pPr>
        <w:pStyle w:val="bt"/>
      </w:pPr>
      <w:r w:rsidRPr="003A58CF">
        <w:t xml:space="preserve">As well as planning for </w:t>
      </w:r>
      <w:r w:rsidR="00230305">
        <w:t>Bendigo’s</w:t>
      </w:r>
      <w:r w:rsidR="00230305" w:rsidRPr="003A58CF">
        <w:t xml:space="preserve"> </w:t>
      </w:r>
      <w:r w:rsidRPr="003A58CF">
        <w:t xml:space="preserve">residential growth, proactive planning for employment growth needs to occur. </w:t>
      </w:r>
    </w:p>
    <w:p w:rsidR="00DE58DB" w:rsidRPr="003A58CF" w:rsidRDefault="00DE58DB" w:rsidP="00854F5E">
      <w:pPr>
        <w:pStyle w:val="bt"/>
      </w:pPr>
      <w:bookmarkStart w:id="180" w:name="OLE_LINK56"/>
      <w:bookmarkStart w:id="181" w:name="OLE_LINK57"/>
      <w:r w:rsidRPr="003A58CF">
        <w:t xml:space="preserve">The growth and wellbeing of the region as a whole is </w:t>
      </w:r>
      <w:r w:rsidR="00C155D1" w:rsidRPr="003A58CF">
        <w:t>heavily dependent</w:t>
      </w:r>
      <w:r w:rsidRPr="003A58CF">
        <w:t xml:space="preserve"> on </w:t>
      </w:r>
      <w:r w:rsidR="00117BB6" w:rsidRPr="003A58CF">
        <w:t xml:space="preserve">Bendigo’s </w:t>
      </w:r>
      <w:r w:rsidRPr="003A58CF">
        <w:t xml:space="preserve">success. A prosperous Bendigo </w:t>
      </w:r>
      <w:r w:rsidR="00117BB6" w:rsidRPr="003A58CF">
        <w:t xml:space="preserve">means </w:t>
      </w:r>
      <w:r w:rsidRPr="003A58CF">
        <w:t>continue</w:t>
      </w:r>
      <w:r w:rsidR="00117BB6" w:rsidRPr="003A58CF">
        <w:t>d</w:t>
      </w:r>
      <w:r w:rsidRPr="003A58CF">
        <w:t xml:space="preserve"> economic strength and services that are </w:t>
      </w:r>
      <w:r w:rsidR="00871135" w:rsidRPr="003A58CF">
        <w:t>an attractive</w:t>
      </w:r>
      <w:r w:rsidR="00044FE4" w:rsidRPr="003A58CF">
        <w:t xml:space="preserve"> </w:t>
      </w:r>
      <w:r w:rsidRPr="003A58CF">
        <w:t>alternative to Melbourne</w:t>
      </w:r>
      <w:r w:rsidR="00044FE4" w:rsidRPr="003A58CF">
        <w:t xml:space="preserve"> and other regions</w:t>
      </w:r>
      <w:r w:rsidRPr="003A58CF">
        <w:t xml:space="preserve">.  </w:t>
      </w:r>
    </w:p>
    <w:bookmarkEnd w:id="180"/>
    <w:bookmarkEnd w:id="181"/>
    <w:p w:rsidR="00DE58DB" w:rsidRPr="003A58CF" w:rsidRDefault="00DE58DB" w:rsidP="00854F5E">
      <w:pPr>
        <w:pStyle w:val="bt"/>
      </w:pPr>
      <w:r w:rsidRPr="003A58CF">
        <w:t xml:space="preserve">Over the past decade, the region has outpaced the rest of regional Victoria in economic growth. Bendigo has driven much of </w:t>
      </w:r>
      <w:r w:rsidR="00117BB6" w:rsidRPr="003A58CF">
        <w:t xml:space="preserve">this </w:t>
      </w:r>
      <w:r w:rsidRPr="003A58CF">
        <w:t xml:space="preserve">growth through its function as the </w:t>
      </w:r>
      <w:r w:rsidR="007E5DCA" w:rsidRPr="003A58CF">
        <w:t>regional city</w:t>
      </w:r>
      <w:r w:rsidRPr="003A58CF">
        <w:t xml:space="preserve">. Bendigo had the highest annual average growth rate </w:t>
      </w:r>
      <w:r w:rsidR="00C155D1" w:rsidRPr="003A58CF">
        <w:t xml:space="preserve">in </w:t>
      </w:r>
      <w:r w:rsidR="00C63F8D" w:rsidRPr="003A58CF">
        <w:t xml:space="preserve">Gross Regional Product </w:t>
      </w:r>
      <w:r w:rsidRPr="003A58CF">
        <w:t>among regional cities (2001 to 2011).</w:t>
      </w:r>
    </w:p>
    <w:p w:rsidR="00DE58DB" w:rsidRPr="003A58CF" w:rsidRDefault="00DE58DB" w:rsidP="00854F5E">
      <w:pPr>
        <w:pStyle w:val="bt"/>
      </w:pPr>
      <w:r w:rsidRPr="003A58CF">
        <w:t>The city’s economy has outperformed the rest of the state in several key sectors such as knowledge-intensive services with additional strengths in mining, transport, and tourism</w:t>
      </w:r>
      <w:r w:rsidR="00117BB6" w:rsidRPr="003A58CF">
        <w:t>-</w:t>
      </w:r>
      <w:r w:rsidRPr="003A58CF">
        <w:t xml:space="preserve">related sub-sectors. </w:t>
      </w:r>
    </w:p>
    <w:p w:rsidR="00135CA1" w:rsidRPr="00827D8E" w:rsidRDefault="0018666D" w:rsidP="00827D8E">
      <w:pPr>
        <w:pStyle w:val="Heading4"/>
        <w:rPr>
          <w:rStyle w:val="Strong"/>
          <w:b/>
          <w:bCs/>
        </w:rPr>
      </w:pPr>
      <w:bookmarkStart w:id="182" w:name="_Toc319660703"/>
      <w:bookmarkStart w:id="183" w:name="_Toc333305822"/>
      <w:bookmarkStart w:id="184" w:name="_Toc351459124"/>
      <w:r w:rsidRPr="00827D8E">
        <w:rPr>
          <w:rStyle w:val="Strong"/>
          <w:b/>
          <w:bCs/>
        </w:rPr>
        <w:t>Employment</w:t>
      </w:r>
      <w:bookmarkEnd w:id="182"/>
      <w:r w:rsidRPr="00827D8E">
        <w:rPr>
          <w:rStyle w:val="Strong"/>
          <w:b/>
          <w:bCs/>
        </w:rPr>
        <w:t xml:space="preserve"> growth</w:t>
      </w:r>
      <w:bookmarkEnd w:id="183"/>
      <w:bookmarkEnd w:id="184"/>
    </w:p>
    <w:p w:rsidR="00DE58DB" w:rsidRPr="003A58CF" w:rsidRDefault="00117BB6" w:rsidP="00854F5E">
      <w:pPr>
        <w:pStyle w:val="bt"/>
      </w:pPr>
      <w:r w:rsidRPr="003A58CF">
        <w:lastRenderedPageBreak/>
        <w:t xml:space="preserve">Bendigo’s population </w:t>
      </w:r>
      <w:r w:rsidR="00DE58DB" w:rsidRPr="003A58CF">
        <w:t>growth will require provision of around 25</w:t>
      </w:r>
      <w:r w:rsidR="00C155D1" w:rsidRPr="003A58CF">
        <w:t>,</w:t>
      </w:r>
      <w:r w:rsidR="00DE58DB" w:rsidRPr="003A58CF">
        <w:t xml:space="preserve">000 </w:t>
      </w:r>
      <w:r w:rsidRPr="003A58CF">
        <w:t>to</w:t>
      </w:r>
      <w:r w:rsidR="00DE58DB" w:rsidRPr="003A58CF">
        <w:t xml:space="preserve"> 40</w:t>
      </w:r>
      <w:r w:rsidR="00C155D1" w:rsidRPr="003A58CF">
        <w:t>,</w:t>
      </w:r>
      <w:r w:rsidR="00DE58DB" w:rsidRPr="003A58CF">
        <w:t>000 new jobs. A critical success factor for Bendigo and the region will be to attract and maintain a population of working age.</w:t>
      </w:r>
    </w:p>
    <w:p w:rsidR="00DE58DB" w:rsidRPr="003A58CF" w:rsidRDefault="00DE58DB" w:rsidP="00854F5E">
      <w:pPr>
        <w:pStyle w:val="bt"/>
      </w:pPr>
      <w:r w:rsidRPr="003A58CF">
        <w:t>Much of the regional economy is concentrated in the city</w:t>
      </w:r>
      <w:r w:rsidR="00117BB6" w:rsidRPr="003A58CF">
        <w:t>. In</w:t>
      </w:r>
      <w:r w:rsidRPr="003A58CF">
        <w:t xml:space="preserve"> 2011, </w:t>
      </w:r>
      <w:r w:rsidR="00117BB6" w:rsidRPr="003A58CF">
        <w:t xml:space="preserve">Bendigo </w:t>
      </w:r>
      <w:r w:rsidRPr="003A58CF">
        <w:t>accounted for 64</w:t>
      </w:r>
      <w:r w:rsidR="00117BB6" w:rsidRPr="003A58CF">
        <w:t xml:space="preserve"> per cent </w:t>
      </w:r>
      <w:r w:rsidRPr="003A58CF">
        <w:t xml:space="preserve">of the </w:t>
      </w:r>
      <w:r w:rsidR="00F421D7" w:rsidRPr="003A58CF">
        <w:t xml:space="preserve">Gross Regional Product </w:t>
      </w:r>
      <w:r w:rsidRPr="003A58CF">
        <w:t>and 56</w:t>
      </w:r>
      <w:r w:rsidR="00117BB6" w:rsidRPr="003A58CF">
        <w:t xml:space="preserve"> per cent </w:t>
      </w:r>
      <w:r w:rsidRPr="003A58CF">
        <w:t>of the regional population. In 2009, around 50</w:t>
      </w:r>
      <w:r w:rsidR="00117BB6" w:rsidRPr="003A58CF">
        <w:t xml:space="preserve"> per cent</w:t>
      </w:r>
      <w:r w:rsidRPr="003A58CF">
        <w:t xml:space="preserve"> of the region’s employing businesses were based in the city.</w:t>
      </w:r>
    </w:p>
    <w:p w:rsidR="00DE58DB" w:rsidRPr="003A58CF" w:rsidRDefault="00875AB4" w:rsidP="00854F5E">
      <w:pPr>
        <w:pStyle w:val="bt"/>
      </w:pPr>
      <w:r w:rsidRPr="003A58CF">
        <w:t xml:space="preserve">Bendigo </w:t>
      </w:r>
      <w:r w:rsidR="00DE58DB" w:rsidRPr="003A58CF">
        <w:t>will not only provide employment and services for its increasing population</w:t>
      </w:r>
      <w:r w:rsidR="00F421D7" w:rsidRPr="003A58CF">
        <w:t>,</w:t>
      </w:r>
      <w:r w:rsidR="00DE58DB" w:rsidRPr="003A58CF">
        <w:t xml:space="preserve"> but </w:t>
      </w:r>
      <w:r w:rsidR="00F421D7" w:rsidRPr="003A58CF">
        <w:t xml:space="preserve">also </w:t>
      </w:r>
      <w:r w:rsidR="00DE58DB" w:rsidRPr="003A58CF">
        <w:t xml:space="preserve">continue to grow its role as the service and employment centre for </w:t>
      </w:r>
      <w:r w:rsidRPr="003A58CF">
        <w:t xml:space="preserve">the Loddon Mallee South </w:t>
      </w:r>
      <w:r w:rsidR="00DE58DB" w:rsidRPr="003A58CF">
        <w:t xml:space="preserve">region and </w:t>
      </w:r>
      <w:r w:rsidR="00EA37C0" w:rsidRPr="003A58CF">
        <w:t xml:space="preserve">adjoining </w:t>
      </w:r>
      <w:r w:rsidR="00DE58DB" w:rsidRPr="003A58CF">
        <w:t xml:space="preserve">regions. </w:t>
      </w:r>
    </w:p>
    <w:p w:rsidR="00DE58DB" w:rsidRPr="003A58CF" w:rsidRDefault="00DE58DB" w:rsidP="00854F5E">
      <w:pPr>
        <w:pStyle w:val="bt"/>
      </w:pPr>
      <w:r w:rsidRPr="003A58CF">
        <w:t xml:space="preserve">Key regional industries </w:t>
      </w:r>
      <w:r w:rsidR="00875AB4" w:rsidRPr="003A58CF">
        <w:t xml:space="preserve">that could be </w:t>
      </w:r>
      <w:r w:rsidR="00EA37C0" w:rsidRPr="003A58CF">
        <w:t>expanded</w:t>
      </w:r>
      <w:r w:rsidRPr="003A58CF">
        <w:t xml:space="preserve"> include the finance, health and education sectors</w:t>
      </w:r>
      <w:r w:rsidR="00875AB4" w:rsidRPr="003A58CF">
        <w:t>,</w:t>
      </w:r>
      <w:r w:rsidRPr="003A58CF">
        <w:t xml:space="preserve"> and the links between them, public administration and safety, as well as manufacturing. These sectors need</w:t>
      </w:r>
      <w:r w:rsidR="00EA37C0" w:rsidRPr="003A58CF">
        <w:t xml:space="preserve"> to</w:t>
      </w:r>
      <w:r w:rsidRPr="003A58CF">
        <w:t xml:space="preserve"> </w:t>
      </w:r>
      <w:r w:rsidR="00EA37C0" w:rsidRPr="003A58CF">
        <w:t>grow</w:t>
      </w:r>
      <w:r w:rsidRPr="003A58CF">
        <w:t xml:space="preserve"> </w:t>
      </w:r>
      <w:r w:rsidR="00EA37C0" w:rsidRPr="003A58CF">
        <w:t xml:space="preserve">and </w:t>
      </w:r>
      <w:r w:rsidRPr="003A58CF">
        <w:t>attract and develop new employment opportunities. There is adequate zoned l</w:t>
      </w:r>
      <w:r w:rsidR="00756847" w:rsidRPr="003A58CF">
        <w:t>and for employment in Bendigo.</w:t>
      </w:r>
    </w:p>
    <w:p w:rsidR="00135CA1" w:rsidRPr="00827D8E" w:rsidRDefault="0018666D" w:rsidP="00827D8E">
      <w:pPr>
        <w:pStyle w:val="Heading4"/>
        <w:rPr>
          <w:rStyle w:val="Strong"/>
          <w:b/>
          <w:bCs/>
        </w:rPr>
      </w:pPr>
      <w:bookmarkStart w:id="185" w:name="_Toc319660704"/>
      <w:bookmarkStart w:id="186" w:name="_Toc333305827"/>
      <w:bookmarkStart w:id="187" w:name="_Toc351459125"/>
      <w:r w:rsidRPr="00827D8E">
        <w:rPr>
          <w:rStyle w:val="Strong"/>
          <w:b/>
          <w:bCs/>
        </w:rPr>
        <w:t>Transport</w:t>
      </w:r>
      <w:bookmarkEnd w:id="185"/>
      <w:bookmarkEnd w:id="186"/>
      <w:bookmarkEnd w:id="187"/>
      <w:r w:rsidRPr="00827D8E">
        <w:rPr>
          <w:rStyle w:val="Strong"/>
          <w:b/>
          <w:bCs/>
        </w:rPr>
        <w:t xml:space="preserve"> </w:t>
      </w:r>
    </w:p>
    <w:p w:rsidR="00DE58DB" w:rsidRPr="003A58CF" w:rsidRDefault="00875AB4" w:rsidP="00854F5E">
      <w:pPr>
        <w:pStyle w:val="bt"/>
      </w:pPr>
      <w:r w:rsidRPr="003A58CF">
        <w:t>E</w:t>
      </w:r>
      <w:r w:rsidR="00DE58DB" w:rsidRPr="003A58CF">
        <w:t xml:space="preserve">xisting road and rail links </w:t>
      </w:r>
      <w:r w:rsidRPr="003A58CF">
        <w:t xml:space="preserve">that </w:t>
      </w:r>
      <w:r w:rsidR="00DE58DB" w:rsidRPr="003A58CF">
        <w:t>provid</w:t>
      </w:r>
      <w:r w:rsidRPr="003A58CF">
        <w:t>e</w:t>
      </w:r>
      <w:r w:rsidR="00DE58DB" w:rsidRPr="003A58CF">
        <w:t xml:space="preserve"> easy access</w:t>
      </w:r>
      <w:r w:rsidR="00C155D1" w:rsidRPr="003A58CF">
        <w:t xml:space="preserve"> from Bendigo</w:t>
      </w:r>
      <w:r w:rsidR="00DE58DB" w:rsidRPr="003A58CF">
        <w:t xml:space="preserve"> to Melbourne and other settlements within the region are a competitive advantage. </w:t>
      </w:r>
      <w:r w:rsidR="00565FBA" w:rsidRPr="003A58CF">
        <w:t xml:space="preserve">The </w:t>
      </w:r>
      <w:r w:rsidR="003D3C2D" w:rsidRPr="003A58CF">
        <w:t>completion</w:t>
      </w:r>
      <w:r w:rsidR="00565FBA" w:rsidRPr="003A58CF">
        <w:t xml:space="preserve"> of the Calder Freeway and c</w:t>
      </w:r>
      <w:r w:rsidR="00DE58DB" w:rsidRPr="003A58CF">
        <w:t>apitalising</w:t>
      </w:r>
      <w:r w:rsidR="00EA37C0" w:rsidRPr="003A58CF">
        <w:t xml:space="preserve"> </w:t>
      </w:r>
      <w:r w:rsidR="00DE58DB" w:rsidRPr="003A58CF">
        <w:t xml:space="preserve">on the new $4 billion Regional Rail Link will improve reliability </w:t>
      </w:r>
      <w:r w:rsidR="00565FBA" w:rsidRPr="003A58CF">
        <w:t xml:space="preserve">to and </w:t>
      </w:r>
      <w:r w:rsidR="003D3C2D" w:rsidRPr="003A58CF">
        <w:t>from</w:t>
      </w:r>
      <w:r w:rsidR="00565FBA" w:rsidRPr="003A58CF">
        <w:t xml:space="preserve"> </w:t>
      </w:r>
      <w:r w:rsidR="00DE58DB" w:rsidRPr="003A58CF">
        <w:t xml:space="preserve">Bendigo </w:t>
      </w:r>
      <w:r w:rsidR="00565FBA" w:rsidRPr="003A58CF">
        <w:t>for both road and rail users</w:t>
      </w:r>
      <w:r w:rsidR="00DE58DB" w:rsidRPr="003A58CF">
        <w:t xml:space="preserve">. Bendigo </w:t>
      </w:r>
      <w:r w:rsidR="00F421D7" w:rsidRPr="003A58CF">
        <w:t xml:space="preserve">railway station </w:t>
      </w:r>
      <w:r w:rsidR="00DE58DB" w:rsidRPr="003A58CF">
        <w:t>acts as a hub for broader regional public transport</w:t>
      </w:r>
      <w:r w:rsidRPr="003A58CF">
        <w:t>,</w:t>
      </w:r>
      <w:r w:rsidR="00DE58DB" w:rsidRPr="003A58CF">
        <w:t xml:space="preserve"> with bus and rail links to Swan Hill, Echuca, Mildura and Adelaide. </w:t>
      </w:r>
    </w:p>
    <w:p w:rsidR="00DE58DB" w:rsidRPr="003A58CF" w:rsidRDefault="00350B11" w:rsidP="00854F5E">
      <w:pPr>
        <w:pStyle w:val="bt"/>
      </w:pPr>
      <w:r w:rsidRPr="003A58CF">
        <w:t>Improvements to Bendigo’s intra-city public transport network are needed, including i</w:t>
      </w:r>
      <w:r w:rsidR="00DE58DB" w:rsidRPr="003A58CF">
        <w:t xml:space="preserve">nvestigation of the extension of train services to Eaglehawk and Epsom </w:t>
      </w:r>
      <w:r w:rsidRPr="003A58CF">
        <w:t xml:space="preserve">with associated </w:t>
      </w:r>
      <w:r w:rsidR="00DE58DB" w:rsidRPr="003A58CF">
        <w:t>station upgrades</w:t>
      </w:r>
      <w:r w:rsidRPr="003A58CF">
        <w:t>.</w:t>
      </w:r>
      <w:r w:rsidR="00DE58DB" w:rsidRPr="003A58CF">
        <w:t xml:space="preserve"> The City of Greater Bendigo is preparing </w:t>
      </w:r>
      <w:r w:rsidR="00F15E20" w:rsidRPr="003A58CF">
        <w:t>the Bendigo</w:t>
      </w:r>
      <w:r w:rsidR="00DE58DB" w:rsidRPr="003A58CF">
        <w:t xml:space="preserve"> Integrated Transport and Land Use Strategy to provide future directions for road upgrades and movement </w:t>
      </w:r>
      <w:r w:rsidR="00875AB4" w:rsidRPr="003A58CF">
        <w:t xml:space="preserve">of </w:t>
      </w:r>
      <w:r w:rsidR="00DE58DB" w:rsidRPr="003A58CF">
        <w:t xml:space="preserve">people and goods through, into and around the city and region. </w:t>
      </w:r>
    </w:p>
    <w:p w:rsidR="00DE58DB" w:rsidRPr="003A58CF" w:rsidRDefault="00DE58DB" w:rsidP="00854F5E">
      <w:pPr>
        <w:pStyle w:val="bt"/>
      </w:pPr>
      <w:r w:rsidRPr="003A58CF">
        <w:t xml:space="preserve">Further discussion on </w:t>
      </w:r>
      <w:r w:rsidR="00875AB4" w:rsidRPr="003A58CF">
        <w:t>t</w:t>
      </w:r>
      <w:r w:rsidRPr="003A58CF">
        <w:t xml:space="preserve">ransport </w:t>
      </w:r>
      <w:r w:rsidR="00875AB4" w:rsidRPr="003A58CF">
        <w:t>d</w:t>
      </w:r>
      <w:r w:rsidRPr="003A58CF">
        <w:t xml:space="preserve">irections for the </w:t>
      </w:r>
      <w:r w:rsidR="00875AB4" w:rsidRPr="003A58CF">
        <w:t>r</w:t>
      </w:r>
      <w:r w:rsidRPr="003A58CF">
        <w:t xml:space="preserve">egion is included in </w:t>
      </w:r>
      <w:r w:rsidR="000952D4" w:rsidRPr="003A58CF">
        <w:t>Section 14 Regional infrastructure</w:t>
      </w:r>
      <w:r w:rsidRPr="003A58CF">
        <w:t xml:space="preserve">. </w:t>
      </w:r>
    </w:p>
    <w:p w:rsidR="00135CA1" w:rsidRPr="00827D8E" w:rsidRDefault="0018666D" w:rsidP="00827D8E">
      <w:pPr>
        <w:pStyle w:val="Heading4"/>
        <w:rPr>
          <w:rStyle w:val="Strong"/>
          <w:b/>
          <w:bCs/>
        </w:rPr>
      </w:pPr>
      <w:bookmarkStart w:id="188" w:name="_Toc351459126"/>
      <w:r w:rsidRPr="00827D8E">
        <w:rPr>
          <w:rStyle w:val="Strong"/>
          <w:b/>
          <w:bCs/>
        </w:rPr>
        <w:t>Marong</w:t>
      </w:r>
      <w:bookmarkEnd w:id="188"/>
    </w:p>
    <w:p w:rsidR="007872E2" w:rsidRPr="003A58CF" w:rsidRDefault="007872E2" w:rsidP="00854F5E">
      <w:pPr>
        <w:pStyle w:val="bt"/>
        <w:rPr>
          <w:lang w:val="en-US" w:eastAsia="en-US"/>
        </w:rPr>
      </w:pPr>
      <w:r w:rsidRPr="003A58CF">
        <w:t xml:space="preserve">The Marong Plan envisages development of </w:t>
      </w:r>
      <w:r w:rsidR="00B87B6B" w:rsidRPr="003A58CF">
        <w:t xml:space="preserve">the </w:t>
      </w:r>
      <w:r w:rsidRPr="003A58CF">
        <w:t xml:space="preserve">rural town </w:t>
      </w:r>
      <w:r w:rsidR="00875AB4" w:rsidRPr="003A58CF">
        <w:t xml:space="preserve">into </w:t>
      </w:r>
      <w:r w:rsidRPr="003A58CF">
        <w:t xml:space="preserve">a settlement of </w:t>
      </w:r>
      <w:r w:rsidR="00875AB4" w:rsidRPr="003A58CF">
        <w:t xml:space="preserve">around </w:t>
      </w:r>
      <w:r w:rsidRPr="003A58CF">
        <w:t xml:space="preserve">8000 residents over the next 20 years. </w:t>
      </w:r>
    </w:p>
    <w:p w:rsidR="007872E2" w:rsidRPr="003A58CF" w:rsidRDefault="007872E2" w:rsidP="00854F5E">
      <w:pPr>
        <w:pStyle w:val="bt"/>
        <w:rPr>
          <w:lang w:val="en-US" w:eastAsia="en-US"/>
        </w:rPr>
      </w:pPr>
      <w:r w:rsidRPr="003A58CF">
        <w:rPr>
          <w:lang w:val="en-US" w:eastAsia="en-US"/>
        </w:rPr>
        <w:t xml:space="preserve">Plans </w:t>
      </w:r>
      <w:r w:rsidR="00875AB4" w:rsidRPr="003A58CF">
        <w:rPr>
          <w:lang w:val="en-US" w:eastAsia="en-US"/>
        </w:rPr>
        <w:t xml:space="preserve">are </w:t>
      </w:r>
      <w:r w:rsidR="00875AB4" w:rsidRPr="003A58CF">
        <w:t>also proposed</w:t>
      </w:r>
      <w:r w:rsidR="00875AB4" w:rsidRPr="003A58CF">
        <w:rPr>
          <w:lang w:val="en-US" w:eastAsia="en-US"/>
        </w:rPr>
        <w:t xml:space="preserve"> </w:t>
      </w:r>
      <w:r w:rsidRPr="003A58CF">
        <w:rPr>
          <w:lang w:val="en-US" w:eastAsia="en-US"/>
        </w:rPr>
        <w:t xml:space="preserve">for </w:t>
      </w:r>
      <w:r w:rsidRPr="003A58CF">
        <w:t xml:space="preserve">the future development of the Marong Business Park </w:t>
      </w:r>
      <w:r w:rsidR="005F6598" w:rsidRPr="003A58CF">
        <w:t xml:space="preserve">to </w:t>
      </w:r>
      <w:r w:rsidRPr="003A58CF">
        <w:t>integrate</w:t>
      </w:r>
      <w:r w:rsidR="005F6598" w:rsidRPr="003A58CF">
        <w:t xml:space="preserve"> it</w:t>
      </w:r>
      <w:r w:rsidRPr="003A58CF">
        <w:t xml:space="preserve"> with </w:t>
      </w:r>
      <w:r w:rsidR="005F6598" w:rsidRPr="003A58CF">
        <w:t xml:space="preserve">the </w:t>
      </w:r>
      <w:r w:rsidRPr="003A58CF">
        <w:t>Marong and Maiden Gully townships, and the Bendigo urban area. Th</w:t>
      </w:r>
      <w:r w:rsidR="00B87B6B" w:rsidRPr="003A58CF">
        <w:t xml:space="preserve">is </w:t>
      </w:r>
      <w:r w:rsidRPr="003A58CF">
        <w:t xml:space="preserve">plan envisages 300 </w:t>
      </w:r>
      <w:r w:rsidR="005F6598" w:rsidRPr="003A58CF">
        <w:t xml:space="preserve">hectares </w:t>
      </w:r>
      <w:r w:rsidRPr="003A58CF">
        <w:t xml:space="preserve">of industrial and business land. The City of Greater Bendigo </w:t>
      </w:r>
      <w:r w:rsidR="00305300" w:rsidRPr="003A58CF">
        <w:t>has</w:t>
      </w:r>
      <w:r w:rsidRPr="003A58CF">
        <w:t xml:space="preserve"> investigat</w:t>
      </w:r>
      <w:r w:rsidR="005F6598" w:rsidRPr="003A58CF">
        <w:t xml:space="preserve">ed the </w:t>
      </w:r>
      <w:r w:rsidRPr="003A58CF">
        <w:t xml:space="preserve">potential development of the </w:t>
      </w:r>
      <w:r w:rsidR="005F6598" w:rsidRPr="003A58CF">
        <w:t xml:space="preserve">Marong </w:t>
      </w:r>
      <w:r w:rsidRPr="003A58CF">
        <w:t xml:space="preserve">Business Park, </w:t>
      </w:r>
      <w:r w:rsidR="00B87B6B" w:rsidRPr="003A58CF">
        <w:t xml:space="preserve">although the </w:t>
      </w:r>
      <w:r w:rsidRPr="003A58CF">
        <w:t xml:space="preserve">timing for further work and implementation is unclear. The development of the </w:t>
      </w:r>
      <w:r w:rsidR="00B87B6B" w:rsidRPr="003A58CF">
        <w:t xml:space="preserve">Marong </w:t>
      </w:r>
      <w:r w:rsidRPr="003A58CF">
        <w:t>Business Park is a priority for the region as it provides significant employment opportunities and land for important economic sectors and supply chain links such as food processing and freight.</w:t>
      </w:r>
    </w:p>
    <w:p w:rsidR="00135CA1" w:rsidRPr="003A58CF" w:rsidRDefault="007872E2" w:rsidP="00854F5E">
      <w:pPr>
        <w:pStyle w:val="bt"/>
      </w:pPr>
      <w:r w:rsidRPr="003A58CF">
        <w:t xml:space="preserve">The Marong Plan </w:t>
      </w:r>
      <w:r w:rsidR="00B87B6B" w:rsidRPr="003A58CF">
        <w:t xml:space="preserve">also considers </w:t>
      </w:r>
      <w:r w:rsidRPr="003A58CF">
        <w:t xml:space="preserve">nearby districts and towns </w:t>
      </w:r>
      <w:r w:rsidR="00C155D1" w:rsidRPr="003A58CF">
        <w:t>in Loddon Shire</w:t>
      </w:r>
      <w:r w:rsidR="00230305">
        <w:t>,</w:t>
      </w:r>
      <w:r w:rsidR="00B87B6B" w:rsidRPr="003A58CF">
        <w:t xml:space="preserve"> </w:t>
      </w:r>
      <w:r w:rsidRPr="003A58CF">
        <w:t>such as Bridgewater and Newbridge</w:t>
      </w:r>
      <w:r w:rsidR="00230305">
        <w:t>,</w:t>
      </w:r>
      <w:r w:rsidRPr="003A58CF">
        <w:t xml:space="preserve"> in terms of access to employment and links to agricultural and freight processing and production. </w:t>
      </w:r>
    </w:p>
    <w:p w:rsidR="00135CA1" w:rsidRPr="006E6027" w:rsidRDefault="0043085B" w:rsidP="00827D8E">
      <w:pPr>
        <w:pStyle w:val="Heading4"/>
        <w:rPr>
          <w:rStyle w:val="Strong"/>
          <w:b/>
          <w:bCs/>
        </w:rPr>
      </w:pPr>
      <w:r w:rsidRPr="006E6027">
        <w:rPr>
          <w:rStyle w:val="Strong"/>
          <w:b/>
          <w:bCs/>
        </w:rPr>
        <w:t xml:space="preserve">Future Bendigo economic and settlement land use actions </w:t>
      </w:r>
    </w:p>
    <w:p w:rsidR="00135CA1" w:rsidRPr="003A58CF" w:rsidRDefault="00B87B6B" w:rsidP="00854F5E">
      <w:pPr>
        <w:pStyle w:val="bt"/>
        <w:rPr>
          <w:b/>
          <w:bCs/>
        </w:rPr>
      </w:pPr>
      <w:r w:rsidRPr="003A58CF">
        <w:t>A key priority</w:t>
      </w:r>
      <w:r w:rsidR="001E1893" w:rsidRPr="003A58CF">
        <w:t xml:space="preserve"> for Bendigo</w:t>
      </w:r>
      <w:r w:rsidRPr="003A58CF">
        <w:t xml:space="preserve"> is p</w:t>
      </w:r>
      <w:r w:rsidR="00DE58DB" w:rsidRPr="003A58CF">
        <w:t xml:space="preserve">recinct and structure planning to facilitate increased commercial and residential densities, mixed use development and revitalisation projects for underutilised sites and land. </w:t>
      </w:r>
      <w:r w:rsidRPr="003A58CF">
        <w:t>O</w:t>
      </w:r>
      <w:r w:rsidR="00DE58DB" w:rsidRPr="003A58CF">
        <w:t xml:space="preserve">pportunities to enhance economic activity </w:t>
      </w:r>
      <w:r w:rsidRPr="003A58CF">
        <w:t>exist in the following locations</w:t>
      </w:r>
      <w:r w:rsidR="00DE58DB" w:rsidRPr="003A58CF">
        <w:t xml:space="preserve">: </w:t>
      </w:r>
    </w:p>
    <w:p w:rsidR="00135CA1" w:rsidRPr="003A58CF" w:rsidRDefault="00DE58DB" w:rsidP="00025EF8">
      <w:pPr>
        <w:pStyle w:val="btbullet"/>
      </w:pPr>
      <w:r w:rsidRPr="003A58CF">
        <w:t xml:space="preserve">Bendigo </w:t>
      </w:r>
      <w:r w:rsidR="000E1A43" w:rsidRPr="003A58CF">
        <w:t>CBD</w:t>
      </w:r>
      <w:r w:rsidRPr="003A58CF">
        <w:t xml:space="preserve"> including the Gillies and Crystal Ice sites</w:t>
      </w:r>
    </w:p>
    <w:p w:rsidR="00135CA1" w:rsidRPr="003A58CF" w:rsidRDefault="00DE58DB" w:rsidP="00025EF8">
      <w:pPr>
        <w:pStyle w:val="btbullet"/>
      </w:pPr>
      <w:r w:rsidRPr="003A58CF">
        <w:t xml:space="preserve">Bendigo </w:t>
      </w:r>
      <w:r w:rsidR="00A747BC" w:rsidRPr="003A58CF">
        <w:t>r</w:t>
      </w:r>
      <w:r w:rsidRPr="003A58CF">
        <w:t xml:space="preserve">ailway </w:t>
      </w:r>
      <w:r w:rsidR="00A747BC" w:rsidRPr="003A58CF">
        <w:t>s</w:t>
      </w:r>
      <w:r w:rsidRPr="003A58CF">
        <w:t>tation precinct</w:t>
      </w:r>
    </w:p>
    <w:p w:rsidR="00135CA1" w:rsidRPr="003A58CF" w:rsidRDefault="00DE58DB" w:rsidP="00025EF8">
      <w:pPr>
        <w:pStyle w:val="btbullet"/>
      </w:pPr>
      <w:r w:rsidRPr="003A58CF">
        <w:lastRenderedPageBreak/>
        <w:t xml:space="preserve">Bendigo </w:t>
      </w:r>
      <w:r w:rsidR="00B87B6B" w:rsidRPr="003A58CF">
        <w:t>H</w:t>
      </w:r>
      <w:r w:rsidRPr="003A58CF">
        <w:t>ospital redevelopment and precinct planning</w:t>
      </w:r>
    </w:p>
    <w:p w:rsidR="00135CA1" w:rsidRPr="003A58CF" w:rsidRDefault="00DE58DB" w:rsidP="00025EF8">
      <w:pPr>
        <w:pStyle w:val="btbullet"/>
      </w:pPr>
      <w:r w:rsidRPr="003A58CF">
        <w:t>Latrobe University precinct</w:t>
      </w:r>
    </w:p>
    <w:p w:rsidR="00135CA1" w:rsidRDefault="00305300" w:rsidP="00025EF8">
      <w:pPr>
        <w:pStyle w:val="btbullet"/>
      </w:pPr>
      <w:r w:rsidRPr="003A58CF">
        <w:t xml:space="preserve">Bendigo </w:t>
      </w:r>
      <w:r w:rsidR="00DE58DB" w:rsidRPr="003A58CF">
        <w:t xml:space="preserve">Theatre precinct – tourism destinations </w:t>
      </w:r>
    </w:p>
    <w:p w:rsidR="00230305" w:rsidRPr="003A58CF" w:rsidRDefault="00230305" w:rsidP="0054704E">
      <w:pPr>
        <w:pStyle w:val="bt"/>
      </w:pPr>
      <w:r>
        <w:t>Some priority actions should include:</w:t>
      </w:r>
    </w:p>
    <w:p w:rsidR="00135CA1" w:rsidRPr="003A58CF" w:rsidRDefault="00DE58DB" w:rsidP="00025EF8">
      <w:pPr>
        <w:pStyle w:val="btbullet"/>
      </w:pPr>
      <w:r w:rsidRPr="003A58CF">
        <w:t xml:space="preserve">Facilitate the development of a Bendigo </w:t>
      </w:r>
      <w:r w:rsidR="00A747BC" w:rsidRPr="003A58CF">
        <w:t xml:space="preserve">railway station </w:t>
      </w:r>
      <w:r w:rsidRPr="003A58CF">
        <w:t>precinct plan for future revitalisation of land around the station in the short</w:t>
      </w:r>
      <w:r w:rsidR="00230305">
        <w:t>-</w:t>
      </w:r>
      <w:r w:rsidRPr="003A58CF">
        <w:t xml:space="preserve"> to medium</w:t>
      </w:r>
      <w:r w:rsidR="00230305">
        <w:t>-</w:t>
      </w:r>
      <w:r w:rsidRPr="003A58CF">
        <w:t>term</w:t>
      </w:r>
      <w:r w:rsidR="00C8331C" w:rsidRPr="003A58CF">
        <w:t xml:space="preserve"> and p</w:t>
      </w:r>
      <w:r w:rsidRPr="003A58CF">
        <w:t>lan for the long</w:t>
      </w:r>
      <w:r w:rsidR="00B87B6B" w:rsidRPr="003A58CF">
        <w:t>-</w:t>
      </w:r>
      <w:r w:rsidRPr="003A58CF">
        <w:t xml:space="preserve">term upgrade of Bendigo </w:t>
      </w:r>
      <w:r w:rsidR="00A747BC" w:rsidRPr="003A58CF">
        <w:t xml:space="preserve">railway station’s </w:t>
      </w:r>
      <w:r w:rsidRPr="003A58CF">
        <w:t>facilities</w:t>
      </w:r>
    </w:p>
    <w:p w:rsidR="00135CA1" w:rsidRPr="003A58CF" w:rsidRDefault="00DE58DB" w:rsidP="00025EF8">
      <w:pPr>
        <w:pStyle w:val="btbullet"/>
      </w:pPr>
      <w:r w:rsidRPr="003A58CF">
        <w:t xml:space="preserve">Support the development and expansion of tourism infrastructure in the city </w:t>
      </w:r>
    </w:p>
    <w:p w:rsidR="00135CA1" w:rsidRPr="003A58CF" w:rsidRDefault="007872E2" w:rsidP="00025EF8">
      <w:pPr>
        <w:pStyle w:val="btbullet"/>
      </w:pPr>
      <w:r w:rsidRPr="003A58CF">
        <w:t xml:space="preserve">Promote </w:t>
      </w:r>
      <w:r w:rsidR="00B87B6B" w:rsidRPr="003A58CF">
        <w:t xml:space="preserve">the </w:t>
      </w:r>
      <w:r w:rsidRPr="003A58CF">
        <w:t>growth of Bendigo as the regional city</w:t>
      </w:r>
    </w:p>
    <w:p w:rsidR="00135CA1" w:rsidRPr="003A58CF" w:rsidRDefault="007872E2" w:rsidP="00025EF8">
      <w:pPr>
        <w:pStyle w:val="btbullet"/>
      </w:pPr>
      <w:r w:rsidRPr="003A58CF">
        <w:t xml:space="preserve">Prioritise the implementation of the Marong Plan and </w:t>
      </w:r>
      <w:r w:rsidR="00B87B6B" w:rsidRPr="003A58CF">
        <w:t xml:space="preserve">Marong </w:t>
      </w:r>
      <w:r w:rsidRPr="003A58CF">
        <w:t xml:space="preserve">Business Park development </w:t>
      </w:r>
    </w:p>
    <w:p w:rsidR="00135CA1" w:rsidRPr="003A58CF" w:rsidRDefault="00DE58DB" w:rsidP="00025EF8">
      <w:pPr>
        <w:pStyle w:val="btbullet"/>
      </w:pPr>
      <w:r w:rsidRPr="003A58CF">
        <w:t>Support the development of the Bendigo Integrated Transport and Land Use Strategy and associated land use recommendations</w:t>
      </w:r>
    </w:p>
    <w:p w:rsidR="00135CA1" w:rsidRPr="003A58CF" w:rsidRDefault="00DE58DB" w:rsidP="00025EF8">
      <w:pPr>
        <w:pStyle w:val="btbullet"/>
      </w:pPr>
      <w:r w:rsidRPr="003A58CF">
        <w:t>Support the Bendigo Residential</w:t>
      </w:r>
      <w:r w:rsidR="00B743C4" w:rsidRPr="003A58CF">
        <w:t xml:space="preserve"> Development</w:t>
      </w:r>
      <w:r w:rsidRPr="003A58CF">
        <w:t xml:space="preserve"> Strategy</w:t>
      </w:r>
      <w:r w:rsidR="00C63F8D" w:rsidRPr="003A58CF">
        <w:t xml:space="preserve"> (2004)</w:t>
      </w:r>
      <w:r w:rsidRPr="003A58CF">
        <w:t xml:space="preserve"> review and resulting land use planning initiatives and changes</w:t>
      </w:r>
    </w:p>
    <w:p w:rsidR="00135CA1" w:rsidRPr="003A58CF" w:rsidRDefault="00DE58DB" w:rsidP="00025EF8">
      <w:pPr>
        <w:pStyle w:val="btbullet"/>
      </w:pPr>
      <w:r w:rsidRPr="003A58CF">
        <w:t>Support the Bendigo Hospital Precinct Planning Project and housing and mixed use planning and developments within the precinct</w:t>
      </w:r>
    </w:p>
    <w:p w:rsidR="00135CA1" w:rsidRPr="003A58CF" w:rsidRDefault="00DE58DB" w:rsidP="00025EF8">
      <w:pPr>
        <w:pStyle w:val="btbullet"/>
      </w:pPr>
      <w:r w:rsidRPr="003A58CF">
        <w:t>Facilitate a student accommodation demonstration project in the city</w:t>
      </w:r>
    </w:p>
    <w:p w:rsidR="00FD633C" w:rsidRPr="00DD7F56" w:rsidRDefault="00A90525" w:rsidP="00DD7F56">
      <w:pPr>
        <w:pStyle w:val="bt"/>
      </w:pPr>
      <w:bookmarkStart w:id="189" w:name="_Ref352070079"/>
      <w:bookmarkStart w:id="190" w:name="_Toc373757230"/>
      <w:bookmarkStart w:id="191" w:name="_Toc333305829"/>
      <w:bookmarkStart w:id="192" w:name="_Toc339962639"/>
      <w:r w:rsidRPr="00DD7F56">
        <w:t xml:space="preserve">Map </w:t>
      </w:r>
      <w:bookmarkEnd w:id="189"/>
      <w:r w:rsidR="00993A78">
        <w:t xml:space="preserve">10 </w:t>
      </w:r>
      <w:r w:rsidR="00DD7F56" w:rsidRPr="00DD7F56">
        <w:t xml:space="preserve">is located here in the document and it shows - </w:t>
      </w:r>
      <w:r w:rsidRPr="00DD7F56">
        <w:t>Bendigo City future land use directions</w:t>
      </w:r>
      <w:bookmarkEnd w:id="190"/>
    </w:p>
    <w:p w:rsidR="00EB26EF" w:rsidRPr="003A58CF" w:rsidRDefault="00EB26EF" w:rsidP="00827D8E">
      <w:pPr>
        <w:pStyle w:val="Heading2"/>
      </w:pPr>
      <w:bookmarkStart w:id="193" w:name="_Toc377026344"/>
      <w:r w:rsidRPr="003A58CF">
        <w:t>Growth of regional centres</w:t>
      </w:r>
      <w:r w:rsidR="00F15E20" w:rsidRPr="003A58CF">
        <w:t xml:space="preserve"> and </w:t>
      </w:r>
      <w:r w:rsidR="00DA4997" w:rsidRPr="003A58CF">
        <w:t>towns</w:t>
      </w:r>
      <w:bookmarkEnd w:id="193"/>
      <w:r w:rsidRPr="003A58CF">
        <w:t xml:space="preserve"> </w:t>
      </w:r>
    </w:p>
    <w:p w:rsidR="00EB26EF" w:rsidRDefault="00397399" w:rsidP="00854F5E">
      <w:pPr>
        <w:pStyle w:val="bt"/>
      </w:pPr>
      <w:r w:rsidRPr="003A58CF">
        <w:t>R</w:t>
      </w:r>
      <w:r w:rsidR="00EB26EF" w:rsidRPr="003A58CF">
        <w:t xml:space="preserve">egional </w:t>
      </w:r>
      <w:r w:rsidR="00C8331C" w:rsidRPr="003A58CF">
        <w:t>centres</w:t>
      </w:r>
      <w:r w:rsidR="00F15E20" w:rsidRPr="003A58CF">
        <w:t xml:space="preserve"> and </w:t>
      </w:r>
      <w:r w:rsidR="00C8331C" w:rsidRPr="003A58CF">
        <w:t>towns identified as having capacity for</w:t>
      </w:r>
      <w:r w:rsidR="00EB26EF" w:rsidRPr="003A58CF">
        <w:t xml:space="preserve"> growth </w:t>
      </w:r>
      <w:r w:rsidRPr="003A58CF">
        <w:t xml:space="preserve">in the Loddon Mallee South region </w:t>
      </w:r>
      <w:r w:rsidR="00EB26EF" w:rsidRPr="003A58CF">
        <w:t xml:space="preserve">are Maryborough, Gisborne, Castlemaine and Kyneton. These </w:t>
      </w:r>
      <w:r w:rsidR="00C8331C" w:rsidRPr="003A58CF">
        <w:t xml:space="preserve">centres and towns </w:t>
      </w:r>
      <w:r w:rsidR="00EB26EF" w:rsidRPr="003A58CF">
        <w:t>will be the focus of future population growth and act as sub-regional employment centres. The</w:t>
      </w:r>
      <w:r w:rsidRPr="003A58CF">
        <w:t xml:space="preserve">y will </w:t>
      </w:r>
      <w:r w:rsidR="00C33927" w:rsidRPr="003A58CF">
        <w:t xml:space="preserve">also </w:t>
      </w:r>
      <w:r w:rsidR="00EB26EF" w:rsidRPr="003A58CF">
        <w:t xml:space="preserve">act as a network for each other and surrounding smaller towns. </w:t>
      </w:r>
    </w:p>
    <w:p w:rsidR="00777746" w:rsidRPr="001406AE" w:rsidRDefault="00A702BF" w:rsidP="00854F5E">
      <w:pPr>
        <w:pStyle w:val="bt"/>
      </w:pPr>
      <w:r>
        <w:t xml:space="preserve">Direction 6.2 of </w:t>
      </w:r>
      <w:r w:rsidRPr="00A702BF">
        <w:rPr>
          <w:i/>
        </w:rPr>
        <w:t>Plan Melbourne</w:t>
      </w:r>
      <w:r>
        <w:t xml:space="preserve"> seeks to rebalance Victoria’s population growth from Melbourne to rural and regional Victoria over the life of the metropolitan planning strategy. Initiative 6.2.1 states:”In partnership with local government develop peri-urban town plans to increase the supply of land for housing and attract population growth out of Melbourne.”</w:t>
      </w:r>
      <w:r w:rsidR="001406AE">
        <w:t xml:space="preserve"> Gisborne is identified in </w:t>
      </w:r>
      <w:r w:rsidR="001406AE" w:rsidRPr="00C22A5B">
        <w:rPr>
          <w:i/>
        </w:rPr>
        <w:t>Plan Melbourne</w:t>
      </w:r>
      <w:r w:rsidR="001406AE">
        <w:rPr>
          <w:i/>
        </w:rPr>
        <w:t xml:space="preserve"> </w:t>
      </w:r>
      <w:r w:rsidR="001406AE">
        <w:t>as a potential town for growth.</w:t>
      </w:r>
    </w:p>
    <w:p w:rsidR="00135CA1" w:rsidRPr="00827D8E" w:rsidRDefault="0018666D" w:rsidP="00827D8E">
      <w:pPr>
        <w:pStyle w:val="Heading4"/>
        <w:rPr>
          <w:rStyle w:val="Strong"/>
          <w:b/>
          <w:bCs/>
        </w:rPr>
      </w:pPr>
      <w:bookmarkStart w:id="194" w:name="_Toc351459128"/>
      <w:r w:rsidRPr="00827D8E">
        <w:rPr>
          <w:rStyle w:val="Strong"/>
          <w:b/>
          <w:bCs/>
        </w:rPr>
        <w:t>Maryborough</w:t>
      </w:r>
      <w:bookmarkEnd w:id="194"/>
      <w:r w:rsidRPr="00827D8E">
        <w:rPr>
          <w:rStyle w:val="Strong"/>
          <w:b/>
          <w:bCs/>
        </w:rPr>
        <w:t xml:space="preserve"> </w:t>
      </w:r>
    </w:p>
    <w:p w:rsidR="00EB26EF" w:rsidRPr="003A58CF" w:rsidRDefault="00EB26EF" w:rsidP="00854F5E">
      <w:pPr>
        <w:pStyle w:val="bt"/>
      </w:pPr>
      <w:r w:rsidRPr="003A58CF">
        <w:t>Maryborough has the social</w:t>
      </w:r>
      <w:r w:rsidR="00230305">
        <w:t xml:space="preserve"> and </w:t>
      </w:r>
      <w:r w:rsidRPr="003A58CF">
        <w:t xml:space="preserve">service infrastructure and land supply to accommodate a significant increase </w:t>
      </w:r>
      <w:r w:rsidR="00C33927" w:rsidRPr="003A58CF">
        <w:t xml:space="preserve">in </w:t>
      </w:r>
      <w:r w:rsidRPr="003A58CF">
        <w:t xml:space="preserve">its current population of </w:t>
      </w:r>
      <w:r w:rsidR="00C33927" w:rsidRPr="003A58CF">
        <w:t xml:space="preserve">around </w:t>
      </w:r>
      <w:r w:rsidRPr="003A58CF">
        <w:t xml:space="preserve">8000 residents. The centre has extensive retail services </w:t>
      </w:r>
      <w:r w:rsidR="00CF30BE" w:rsidRPr="003A58CF">
        <w:t xml:space="preserve">that </w:t>
      </w:r>
      <w:r w:rsidRPr="003A58CF">
        <w:t>serve a wide population catchment. Growth in tourism and retail activity will continue. Major manufacturing businesses, such as True Foods</w:t>
      </w:r>
      <w:r w:rsidR="00CF30BE" w:rsidRPr="003A58CF">
        <w:t>,</w:t>
      </w:r>
      <w:r w:rsidRPr="003A58CF">
        <w:t xml:space="preserve"> provide employment. There is existing vacant industrial land suitable </w:t>
      </w:r>
      <w:r w:rsidR="00C33927" w:rsidRPr="003A58CF">
        <w:t xml:space="preserve">for </w:t>
      </w:r>
      <w:r w:rsidRPr="003A58CF">
        <w:t>attract</w:t>
      </w:r>
      <w:r w:rsidR="00C33927" w:rsidRPr="003A58CF">
        <w:t>ing</w:t>
      </w:r>
      <w:r w:rsidRPr="003A58CF">
        <w:t xml:space="preserve"> further large</w:t>
      </w:r>
      <w:r w:rsidR="00C33927" w:rsidRPr="003A58CF">
        <w:t>-</w:t>
      </w:r>
      <w:r w:rsidRPr="003A58CF">
        <w:t>scale manufacturing. Maryborough has strong links to both Bendigo and Ballarat and excellent transport links providing access to jobs, services and education facilities in the</w:t>
      </w:r>
      <w:r w:rsidR="00C8331C" w:rsidRPr="003A58CF">
        <w:t>se</w:t>
      </w:r>
      <w:r w:rsidRPr="003A58CF">
        <w:t xml:space="preserve"> regional cities. </w:t>
      </w:r>
    </w:p>
    <w:p w:rsidR="00EB26EF" w:rsidRPr="003A58CF" w:rsidRDefault="00EB26EF" w:rsidP="00854F5E">
      <w:pPr>
        <w:pStyle w:val="bt"/>
      </w:pPr>
      <w:r w:rsidRPr="003A58CF">
        <w:t>Current vacant residential land supply provides for an approximate</w:t>
      </w:r>
      <w:r w:rsidR="00C8331C" w:rsidRPr="003A58CF">
        <w:t xml:space="preserve"> total</w:t>
      </w:r>
      <w:r w:rsidRPr="003A58CF">
        <w:t xml:space="preserve"> population of 14</w:t>
      </w:r>
      <w:r w:rsidR="00BB678A" w:rsidRPr="003A58CF">
        <w:t>,</w:t>
      </w:r>
      <w:r w:rsidRPr="003A58CF">
        <w:t>000</w:t>
      </w:r>
      <w:r w:rsidR="00A67E6A" w:rsidRPr="003A58CF">
        <w:t>,</w:t>
      </w:r>
      <w:r w:rsidRPr="003A58CF">
        <w:t xml:space="preserve"> with future areas for investigation identified. </w:t>
      </w:r>
    </w:p>
    <w:p w:rsidR="00DD7F56" w:rsidRDefault="00EB26EF" w:rsidP="00DD7F56">
      <w:pPr>
        <w:pStyle w:val="bt"/>
      </w:pPr>
      <w:r w:rsidRPr="003A58CF">
        <w:t xml:space="preserve">Challenges for growth in Maryborough include </w:t>
      </w:r>
      <w:r w:rsidR="00A67E6A" w:rsidRPr="003A58CF">
        <w:t>its</w:t>
      </w:r>
      <w:r w:rsidRPr="003A58CF">
        <w:t xml:space="preserve"> historically low growth </w:t>
      </w:r>
      <w:r w:rsidR="00BB678A" w:rsidRPr="003A58CF">
        <w:t>rates</w:t>
      </w:r>
      <w:r w:rsidR="00C33927" w:rsidRPr="003A58CF">
        <w:t>. H</w:t>
      </w:r>
      <w:r w:rsidRPr="003A58CF">
        <w:t>owever</w:t>
      </w:r>
      <w:r w:rsidR="00CF30BE" w:rsidRPr="003A58CF">
        <w:t>,</w:t>
      </w:r>
      <w:r w:rsidRPr="003A58CF">
        <w:t xml:space="preserve"> programs to attract residents, combined with the managed growth of other settlements in the region, </w:t>
      </w:r>
      <w:r w:rsidR="00C33927" w:rsidRPr="003A58CF">
        <w:t xml:space="preserve">will </w:t>
      </w:r>
      <w:r w:rsidRPr="003A58CF">
        <w:t xml:space="preserve">seek to encourage </w:t>
      </w:r>
      <w:r w:rsidR="00C8331C" w:rsidRPr="003A58CF">
        <w:t xml:space="preserve">Maryborough’s </w:t>
      </w:r>
      <w:r w:rsidRPr="003A58CF">
        <w:t xml:space="preserve">growth. </w:t>
      </w:r>
      <w:r w:rsidR="00C8331C" w:rsidRPr="003A58CF">
        <w:t xml:space="preserve">Towns within the </w:t>
      </w:r>
      <w:r w:rsidRPr="003A58CF">
        <w:t>Ballarat</w:t>
      </w:r>
      <w:r w:rsidR="00CF30BE" w:rsidRPr="003A58CF">
        <w:t>-</w:t>
      </w:r>
      <w:r w:rsidRPr="003A58CF">
        <w:t xml:space="preserve">Maryborough corridor </w:t>
      </w:r>
      <w:r w:rsidR="00C8331C" w:rsidRPr="003A58CF">
        <w:t xml:space="preserve">also have </w:t>
      </w:r>
      <w:r w:rsidRPr="003A58CF">
        <w:t xml:space="preserve">potential to grow and </w:t>
      </w:r>
      <w:r w:rsidR="00C8331C" w:rsidRPr="003A58CF">
        <w:t xml:space="preserve">the corridor’s road and rail </w:t>
      </w:r>
      <w:r w:rsidR="00A67E6A" w:rsidRPr="003A58CF">
        <w:t xml:space="preserve">transport infrastructure </w:t>
      </w:r>
      <w:r w:rsidRPr="003A58CF">
        <w:t>provides a direct link from</w:t>
      </w:r>
      <w:r w:rsidR="00230305">
        <w:t xml:space="preserve"> the</w:t>
      </w:r>
      <w:r w:rsidRPr="003A58CF">
        <w:t xml:space="preserve"> Loddon Mallee</w:t>
      </w:r>
      <w:r w:rsidR="00A67E6A" w:rsidRPr="003A58CF">
        <w:t xml:space="preserve"> South</w:t>
      </w:r>
      <w:r w:rsidR="00230305">
        <w:t xml:space="preserve"> region</w:t>
      </w:r>
      <w:r w:rsidRPr="003A58CF">
        <w:t xml:space="preserve"> to </w:t>
      </w:r>
      <w:r w:rsidRPr="003A58CF">
        <w:lastRenderedPageBreak/>
        <w:t xml:space="preserve">other regions. Expansion beyond </w:t>
      </w:r>
      <w:r w:rsidR="00C8331C" w:rsidRPr="003A58CF">
        <w:t xml:space="preserve">Maryborough’s </w:t>
      </w:r>
      <w:r w:rsidRPr="003A58CF">
        <w:t xml:space="preserve">existing </w:t>
      </w:r>
      <w:r w:rsidR="00C8331C" w:rsidRPr="003A58CF">
        <w:t xml:space="preserve">urban </w:t>
      </w:r>
      <w:r w:rsidRPr="003A58CF">
        <w:t>boundar</w:t>
      </w:r>
      <w:r w:rsidR="00C8331C" w:rsidRPr="003A58CF">
        <w:t>y</w:t>
      </w:r>
      <w:r w:rsidRPr="003A58CF">
        <w:t xml:space="preserve"> will need to</w:t>
      </w:r>
      <w:r w:rsidR="00C8331C" w:rsidRPr="003A58CF">
        <w:t xml:space="preserve"> give careful</w:t>
      </w:r>
      <w:r w:rsidRPr="003A58CF">
        <w:t xml:space="preserve"> consider</w:t>
      </w:r>
      <w:r w:rsidR="00C8331C" w:rsidRPr="003A58CF">
        <w:t>ation to</w:t>
      </w:r>
      <w:r w:rsidRPr="003A58CF">
        <w:t xml:space="preserve"> </w:t>
      </w:r>
      <w:r w:rsidR="00EF7CBE" w:rsidRPr="003A58CF">
        <w:t>bush</w:t>
      </w:r>
      <w:r w:rsidRPr="003A58CF">
        <w:t>fire risk and bushfire planning provisions</w:t>
      </w:r>
      <w:r w:rsidR="00EF7CBE" w:rsidRPr="003A58CF">
        <w:t xml:space="preserve">, </w:t>
      </w:r>
      <w:r w:rsidR="008607C8" w:rsidRPr="003A58CF">
        <w:t>flood</w:t>
      </w:r>
      <w:r w:rsidR="00EF7CBE" w:rsidRPr="003A58CF">
        <w:t xml:space="preserve"> hazards and urban salinity risks</w:t>
      </w:r>
      <w:r w:rsidRPr="003A58CF">
        <w:t xml:space="preserve">. </w:t>
      </w:r>
      <w:r w:rsidR="00A07102" w:rsidRPr="003A58CF">
        <w:t xml:space="preserve"> </w:t>
      </w:r>
      <w:bookmarkStart w:id="195" w:name="_Toc373757231"/>
    </w:p>
    <w:p w:rsidR="001F16ED" w:rsidRPr="00DD7F56" w:rsidRDefault="00F2577D" w:rsidP="00DD7F56">
      <w:pPr>
        <w:pStyle w:val="bt"/>
      </w:pPr>
      <w:r w:rsidRPr="00DD7F56">
        <w:t xml:space="preserve">Map </w:t>
      </w:r>
      <w:r w:rsidR="00993A78">
        <w:t xml:space="preserve">11 </w:t>
      </w:r>
      <w:r w:rsidR="00DD7F56" w:rsidRPr="00DD7F56">
        <w:t xml:space="preserve">is located here in the document and it shows - </w:t>
      </w:r>
      <w:r w:rsidRPr="00DD7F56">
        <w:t>Maryborough future land use directions</w:t>
      </w:r>
      <w:bookmarkEnd w:id="195"/>
    </w:p>
    <w:p w:rsidR="00135CA1" w:rsidRPr="00827D8E" w:rsidRDefault="0018666D" w:rsidP="00827D8E">
      <w:pPr>
        <w:pStyle w:val="Heading4"/>
        <w:rPr>
          <w:rStyle w:val="Strong"/>
          <w:b/>
          <w:bCs/>
        </w:rPr>
      </w:pPr>
      <w:bookmarkStart w:id="196" w:name="_Toc351459129"/>
      <w:r w:rsidRPr="00827D8E">
        <w:rPr>
          <w:rStyle w:val="Strong"/>
          <w:b/>
          <w:bCs/>
        </w:rPr>
        <w:t>Gisborne</w:t>
      </w:r>
      <w:bookmarkEnd w:id="196"/>
      <w:r w:rsidRPr="00827D8E">
        <w:rPr>
          <w:rStyle w:val="Strong"/>
          <w:b/>
          <w:bCs/>
        </w:rPr>
        <w:t xml:space="preserve"> </w:t>
      </w:r>
    </w:p>
    <w:p w:rsidR="00C8331C" w:rsidRPr="003A58CF" w:rsidRDefault="00EB26EF" w:rsidP="00854F5E">
      <w:pPr>
        <w:pStyle w:val="bt"/>
      </w:pPr>
      <w:r w:rsidRPr="003A58CF">
        <w:t xml:space="preserve">Gisborne is experiencing strong </w:t>
      </w:r>
      <w:r w:rsidR="00C33927" w:rsidRPr="003A58CF">
        <w:t xml:space="preserve">population </w:t>
      </w:r>
      <w:r w:rsidRPr="003A58CF">
        <w:t xml:space="preserve">growth and recent strategic work has identified </w:t>
      </w:r>
      <w:r w:rsidR="00C33927" w:rsidRPr="003A58CF">
        <w:t xml:space="preserve">the potential </w:t>
      </w:r>
      <w:r w:rsidR="00C8331C" w:rsidRPr="003A58CF">
        <w:t xml:space="preserve">for this town </w:t>
      </w:r>
      <w:r w:rsidR="00C33927" w:rsidRPr="003A58CF">
        <w:t xml:space="preserve">to grow to </w:t>
      </w:r>
      <w:r w:rsidRPr="003A58CF">
        <w:t>around 15,000</w:t>
      </w:r>
      <w:r w:rsidR="00C33927" w:rsidRPr="003A58CF">
        <w:t xml:space="preserve"> residents</w:t>
      </w:r>
      <w:r w:rsidR="005A0CE1" w:rsidRPr="003A58CF">
        <w:t xml:space="preserve"> by 2036</w:t>
      </w:r>
      <w:r w:rsidRPr="003A58CF">
        <w:t xml:space="preserve">. Gisborne will develop its role as a sub-regional employment and service centre.  It provides a range of services for its community and surrounding smaller settlements. </w:t>
      </w:r>
      <w:r w:rsidR="00D26BF4" w:rsidRPr="003A58CF">
        <w:t>Gisborne attracts new residents</w:t>
      </w:r>
      <w:r w:rsidRPr="003A58CF">
        <w:t xml:space="preserve"> due to its proximity to Melbourne</w:t>
      </w:r>
      <w:r w:rsidR="00C33927" w:rsidRPr="003A58CF">
        <w:t xml:space="preserve">, its location on </w:t>
      </w:r>
      <w:r w:rsidRPr="003A58CF">
        <w:t xml:space="preserve">the Calder </w:t>
      </w:r>
      <w:r w:rsidR="00C33927" w:rsidRPr="003A58CF">
        <w:t xml:space="preserve">transport </w:t>
      </w:r>
      <w:r w:rsidRPr="003A58CF">
        <w:t>corridor</w:t>
      </w:r>
      <w:r w:rsidR="00C33927" w:rsidRPr="003A58CF">
        <w:t>,</w:t>
      </w:r>
      <w:r w:rsidRPr="003A58CF">
        <w:t xml:space="preserve"> </w:t>
      </w:r>
      <w:r w:rsidR="00D26BF4" w:rsidRPr="003A58CF">
        <w:t>affordable land and housing</w:t>
      </w:r>
      <w:r w:rsidR="00DA4997" w:rsidRPr="003A58CF">
        <w:t xml:space="preserve"> (relative to Melbourne)</w:t>
      </w:r>
      <w:r w:rsidR="00D26BF4" w:rsidRPr="003A58CF">
        <w:t xml:space="preserve">, </w:t>
      </w:r>
      <w:r w:rsidRPr="003A58CF">
        <w:t xml:space="preserve">and </w:t>
      </w:r>
      <w:r w:rsidR="00C33927" w:rsidRPr="003A58CF">
        <w:t xml:space="preserve">its </w:t>
      </w:r>
      <w:r w:rsidRPr="003A58CF">
        <w:t xml:space="preserve">existing and available infrastructure. </w:t>
      </w:r>
    </w:p>
    <w:p w:rsidR="00DD7F56" w:rsidRDefault="00C8331C" w:rsidP="00DD7F56">
      <w:pPr>
        <w:pStyle w:val="bt"/>
      </w:pPr>
      <w:r w:rsidRPr="003A58CF">
        <w:t>The region’s councils desire a</w:t>
      </w:r>
      <w:r w:rsidR="00EB26EF" w:rsidRPr="003A58CF">
        <w:t xml:space="preserve"> reduction in</w:t>
      </w:r>
      <w:r w:rsidRPr="003A58CF">
        <w:t xml:space="preserve"> dependence on</w:t>
      </w:r>
      <w:r w:rsidR="00EB26EF" w:rsidRPr="003A58CF">
        <w:t xml:space="preserve"> commuting to Melbourne for work through </w:t>
      </w:r>
      <w:r w:rsidR="00D26BF4" w:rsidRPr="003A58CF">
        <w:t>increased choice of</w:t>
      </w:r>
      <w:r w:rsidR="00EB26EF" w:rsidRPr="003A58CF">
        <w:t xml:space="preserve"> local and regional jobs and improved transport services to Bendigo. There is estimated existing land supply for approximately 17,000 people in the </w:t>
      </w:r>
      <w:r w:rsidR="00D26BF4" w:rsidRPr="003A58CF">
        <w:t>Gisborne</w:t>
      </w:r>
      <w:r w:rsidR="00A67E6A" w:rsidRPr="003A58CF">
        <w:rPr>
          <w:vertAlign w:val="superscript"/>
        </w:rPr>
        <w:footnoteReference w:id="16"/>
      </w:r>
      <w:r w:rsidR="00EB26EF" w:rsidRPr="003A58CF">
        <w:t xml:space="preserve">. </w:t>
      </w:r>
      <w:r w:rsidR="00EF7CBE" w:rsidRPr="003A58CF">
        <w:t>Planning for settlement growth will need to consider bushfire risk</w:t>
      </w:r>
      <w:r w:rsidR="00C33927" w:rsidRPr="003A58CF">
        <w:t xml:space="preserve">, </w:t>
      </w:r>
      <w:r w:rsidR="00EF7CBE" w:rsidRPr="003A58CF">
        <w:t xml:space="preserve">bushfire planning provisions and potential </w:t>
      </w:r>
      <w:r w:rsidR="008607C8" w:rsidRPr="003A58CF">
        <w:t>flood</w:t>
      </w:r>
      <w:r w:rsidR="00EF7CBE" w:rsidRPr="003A58CF">
        <w:t xml:space="preserve"> hazards.</w:t>
      </w:r>
      <w:r w:rsidR="00A07102" w:rsidRPr="003A58CF">
        <w:t xml:space="preserve"> </w:t>
      </w:r>
      <w:bookmarkStart w:id="197" w:name="_Toc373757232"/>
    </w:p>
    <w:p w:rsidR="001F16ED" w:rsidRPr="00DD7F56" w:rsidRDefault="00F2577D" w:rsidP="00DD7F56">
      <w:pPr>
        <w:pStyle w:val="bt"/>
      </w:pPr>
      <w:r w:rsidRPr="00DD7F56">
        <w:t xml:space="preserve">Map </w:t>
      </w:r>
      <w:r w:rsidR="00993A78">
        <w:t xml:space="preserve">12 </w:t>
      </w:r>
      <w:r w:rsidR="00DD7F56" w:rsidRPr="00DD7F56">
        <w:t xml:space="preserve">is located here in the document and it shows - </w:t>
      </w:r>
      <w:r w:rsidRPr="00DD7F56">
        <w:t>Gisborne future land use directions</w:t>
      </w:r>
      <w:bookmarkEnd w:id="197"/>
    </w:p>
    <w:p w:rsidR="00135CA1" w:rsidRPr="00827D8E" w:rsidRDefault="0018666D" w:rsidP="00827D8E">
      <w:pPr>
        <w:pStyle w:val="Heading4"/>
        <w:rPr>
          <w:rStyle w:val="Strong"/>
          <w:b/>
          <w:bCs/>
        </w:rPr>
      </w:pPr>
      <w:bookmarkStart w:id="198" w:name="_Toc351459130"/>
      <w:r w:rsidRPr="00827D8E">
        <w:rPr>
          <w:rStyle w:val="Strong"/>
          <w:b/>
          <w:bCs/>
        </w:rPr>
        <w:t>Castlemaine (including Campbells Creek)</w:t>
      </w:r>
      <w:bookmarkEnd w:id="198"/>
      <w:r w:rsidRPr="00827D8E">
        <w:rPr>
          <w:rStyle w:val="Strong"/>
          <w:b/>
          <w:bCs/>
        </w:rPr>
        <w:t xml:space="preserve"> </w:t>
      </w:r>
    </w:p>
    <w:p w:rsidR="00EB26EF" w:rsidRPr="003A58CF" w:rsidRDefault="00EB26EF" w:rsidP="00854F5E">
      <w:pPr>
        <w:pStyle w:val="bt"/>
      </w:pPr>
      <w:r w:rsidRPr="003A58CF">
        <w:t xml:space="preserve">With strong transport links to Melbourne and Bendigo and a central location in the region, Castlemaine is experiencing </w:t>
      </w:r>
      <w:r w:rsidR="00DA4997" w:rsidRPr="003A58CF">
        <w:t xml:space="preserve">moderate </w:t>
      </w:r>
      <w:r w:rsidRPr="003A58CF">
        <w:t xml:space="preserve">growth. It will </w:t>
      </w:r>
      <w:r w:rsidR="00230305">
        <w:t>increase its</w:t>
      </w:r>
      <w:r w:rsidRPr="003A58CF">
        <w:t xml:space="preserve"> role as a sub-regional employment centre in the future. </w:t>
      </w:r>
    </w:p>
    <w:p w:rsidR="00EB26EF" w:rsidRPr="003A58CF" w:rsidRDefault="00DA4997" w:rsidP="00854F5E">
      <w:pPr>
        <w:pStyle w:val="bt"/>
      </w:pPr>
      <w:r w:rsidRPr="003A58CF">
        <w:t>However, o</w:t>
      </w:r>
      <w:r w:rsidR="00A67E6A" w:rsidRPr="003A58CF">
        <w:t xml:space="preserve">pportunities for </w:t>
      </w:r>
      <w:r w:rsidR="00EB26EF" w:rsidRPr="003A58CF">
        <w:t xml:space="preserve">expansion of Castlemaine beyond the existing township boundaries </w:t>
      </w:r>
      <w:r w:rsidR="00A67E6A" w:rsidRPr="003A58CF">
        <w:t>are</w:t>
      </w:r>
      <w:r w:rsidR="00EB26EF" w:rsidRPr="003A58CF">
        <w:t xml:space="preserve"> limited due to bushfire risk. </w:t>
      </w:r>
      <w:r w:rsidR="008607C8" w:rsidRPr="003A58CF">
        <w:t>Flood</w:t>
      </w:r>
      <w:r w:rsidR="00EF7CBE" w:rsidRPr="003A58CF">
        <w:t xml:space="preserve"> hazard</w:t>
      </w:r>
      <w:r w:rsidR="00CF30BE" w:rsidRPr="003A58CF">
        <w:t>s</w:t>
      </w:r>
      <w:r w:rsidR="00EF7CBE" w:rsidRPr="003A58CF">
        <w:t xml:space="preserve"> </w:t>
      </w:r>
      <w:r w:rsidR="00CF30BE" w:rsidRPr="003A58CF">
        <w:t xml:space="preserve">are </w:t>
      </w:r>
      <w:r w:rsidR="00EF7CBE" w:rsidRPr="003A58CF">
        <w:t xml:space="preserve">also a </w:t>
      </w:r>
      <w:r w:rsidRPr="003A58CF">
        <w:t xml:space="preserve">significant planning </w:t>
      </w:r>
      <w:r w:rsidR="00EF7CBE" w:rsidRPr="003A58CF">
        <w:t xml:space="preserve">consideration. </w:t>
      </w:r>
      <w:r w:rsidR="00EB26EF" w:rsidRPr="003A58CF">
        <w:t xml:space="preserve">Future planned growth </w:t>
      </w:r>
      <w:r w:rsidRPr="003A58CF">
        <w:t xml:space="preserve">will be </w:t>
      </w:r>
      <w:r w:rsidR="00EB26EF" w:rsidRPr="003A58CF">
        <w:t>focused within the existing urban area</w:t>
      </w:r>
      <w:r w:rsidRPr="003A58CF">
        <w:t xml:space="preserve">, </w:t>
      </w:r>
      <w:r w:rsidR="00EB26EF" w:rsidRPr="003A58CF">
        <w:t>including Campbells Creek</w:t>
      </w:r>
      <w:r w:rsidR="003D2B28" w:rsidRPr="003A58CF">
        <w:t>,</w:t>
      </w:r>
      <w:r w:rsidR="00EB26EF" w:rsidRPr="003A58CF">
        <w:t xml:space="preserve"> with current vacant and planned residential zoned land supply for an additional 1500 people. Additional growth areas and land supply need to be investigated. </w:t>
      </w:r>
    </w:p>
    <w:p w:rsidR="00EB26EF" w:rsidRPr="003A58CF" w:rsidRDefault="00EB26EF" w:rsidP="00854F5E">
      <w:pPr>
        <w:pStyle w:val="bt"/>
      </w:pPr>
      <w:r w:rsidRPr="003A58CF">
        <w:t>Infill housing opportunities</w:t>
      </w:r>
      <w:r w:rsidR="00DA4997" w:rsidRPr="003A58CF">
        <w:t>,</w:t>
      </w:r>
      <w:r w:rsidRPr="003A58CF">
        <w:t xml:space="preserve"> such as shop</w:t>
      </w:r>
      <w:r w:rsidR="003D2B28" w:rsidRPr="003A58CF">
        <w:t>-</w:t>
      </w:r>
      <w:r w:rsidRPr="003A58CF">
        <w:t xml:space="preserve">top housing and some medium density in </w:t>
      </w:r>
      <w:r w:rsidR="00DA4997" w:rsidRPr="003A58CF">
        <w:t xml:space="preserve">Castlemaine’s </w:t>
      </w:r>
      <w:r w:rsidRPr="003A58CF">
        <w:t xml:space="preserve">inner urban area </w:t>
      </w:r>
      <w:r w:rsidR="003D2B28" w:rsidRPr="003A58CF">
        <w:t xml:space="preserve">will </w:t>
      </w:r>
      <w:r w:rsidRPr="003A58CF">
        <w:t>be explored</w:t>
      </w:r>
      <w:r w:rsidR="00871135" w:rsidRPr="003A58CF">
        <w:t>, whil</w:t>
      </w:r>
      <w:r w:rsidR="00DA4997" w:rsidRPr="003A58CF">
        <w:t>e</w:t>
      </w:r>
      <w:r w:rsidRPr="003A58CF">
        <w:t xml:space="preserve"> having regard </w:t>
      </w:r>
      <w:r w:rsidR="003D2B28" w:rsidRPr="003A58CF">
        <w:t xml:space="preserve">for </w:t>
      </w:r>
      <w:r w:rsidRPr="003A58CF">
        <w:t xml:space="preserve">the historic character of the town. </w:t>
      </w:r>
    </w:p>
    <w:p w:rsidR="00DD7F56" w:rsidRDefault="00DA4997" w:rsidP="00DD7F56">
      <w:pPr>
        <w:pStyle w:val="bt"/>
      </w:pPr>
      <w:r w:rsidRPr="003A58CF">
        <w:t>Managed g</w:t>
      </w:r>
      <w:r w:rsidR="00EB26EF" w:rsidRPr="003A58CF">
        <w:t>rowth in surrounding small towns</w:t>
      </w:r>
      <w:r w:rsidR="003D2B28" w:rsidRPr="003A58CF">
        <w:t>,</w:t>
      </w:r>
      <w:r w:rsidR="00EB26EF" w:rsidRPr="003A58CF">
        <w:t xml:space="preserve"> such as nearby Harcourt</w:t>
      </w:r>
      <w:r w:rsidR="003D2B28" w:rsidRPr="003A58CF">
        <w:t>,</w:t>
      </w:r>
      <w:r w:rsidR="00EB26EF" w:rsidRPr="003A58CF">
        <w:t xml:space="preserve"> is encouraged to accommodate demand from Castlemaine. </w:t>
      </w:r>
      <w:r w:rsidRPr="003A58CF">
        <w:t>The historic character and lifestyle of these small towns needs to be respected in planning for growth.</w:t>
      </w:r>
      <w:r w:rsidR="00A07102" w:rsidRPr="003A58CF">
        <w:t xml:space="preserve"> </w:t>
      </w:r>
      <w:bookmarkStart w:id="199" w:name="_Toc373757233"/>
    </w:p>
    <w:p w:rsidR="001F16ED" w:rsidRPr="00DD7F56" w:rsidRDefault="00F2577D" w:rsidP="00DD7F56">
      <w:pPr>
        <w:pStyle w:val="bt"/>
      </w:pPr>
      <w:r w:rsidRPr="00DD7F56">
        <w:t xml:space="preserve">Map </w:t>
      </w:r>
      <w:r w:rsidR="00993A78">
        <w:t xml:space="preserve">13 </w:t>
      </w:r>
      <w:r w:rsidR="00DD7F56" w:rsidRPr="001514AA">
        <w:t xml:space="preserve">is located here in the document and it shows - </w:t>
      </w:r>
      <w:r w:rsidRPr="00DD7F56">
        <w:t>Castlemaine future land use directions</w:t>
      </w:r>
      <w:bookmarkEnd w:id="199"/>
    </w:p>
    <w:p w:rsidR="00135CA1" w:rsidRPr="00827D8E" w:rsidRDefault="0018666D" w:rsidP="00827D8E">
      <w:pPr>
        <w:pStyle w:val="Heading4"/>
        <w:rPr>
          <w:rStyle w:val="Strong"/>
          <w:b/>
          <w:bCs/>
        </w:rPr>
      </w:pPr>
      <w:bookmarkStart w:id="200" w:name="_Toc351459131"/>
      <w:r w:rsidRPr="00827D8E">
        <w:rPr>
          <w:rStyle w:val="Strong"/>
          <w:b/>
          <w:bCs/>
        </w:rPr>
        <w:t>Kyneton</w:t>
      </w:r>
      <w:bookmarkEnd w:id="200"/>
      <w:r w:rsidRPr="00827D8E">
        <w:rPr>
          <w:rStyle w:val="Strong"/>
          <w:b/>
          <w:bCs/>
        </w:rPr>
        <w:t xml:space="preserve"> </w:t>
      </w:r>
    </w:p>
    <w:p w:rsidR="00EB26EF" w:rsidRPr="003A58CF" w:rsidRDefault="00EB26EF" w:rsidP="00854F5E">
      <w:pPr>
        <w:pStyle w:val="bt"/>
      </w:pPr>
      <w:r w:rsidRPr="003A58CF">
        <w:t xml:space="preserve">There is a large supply of existing residentially zoned land available in Kyneton. Supply estimates indicate there may be potential capacity for approximately 8600 people </w:t>
      </w:r>
      <w:r w:rsidR="00DA4997" w:rsidRPr="003A58CF">
        <w:t xml:space="preserve">to be accommodated </w:t>
      </w:r>
      <w:r w:rsidRPr="003A58CF">
        <w:t>on existing residentially zoned land</w:t>
      </w:r>
      <w:r w:rsidR="003D2B28" w:rsidRPr="003A58CF">
        <w:t>,</w:t>
      </w:r>
      <w:r w:rsidRPr="003A58CF">
        <w:t xml:space="preserve"> depending on the density of future development. </w:t>
      </w:r>
      <w:r w:rsidR="00EF7CBE" w:rsidRPr="003A58CF">
        <w:t>Planning for settlement growth will need to consider the bushfire risk</w:t>
      </w:r>
      <w:r w:rsidR="003D2B28" w:rsidRPr="003A58CF">
        <w:t>,</w:t>
      </w:r>
      <w:r w:rsidR="00EF7CBE" w:rsidRPr="003A58CF">
        <w:t xml:space="preserve"> bushfire planning provisions and potential </w:t>
      </w:r>
      <w:r w:rsidR="008607C8" w:rsidRPr="003A58CF">
        <w:t>flood</w:t>
      </w:r>
      <w:r w:rsidR="00EF7CBE" w:rsidRPr="003A58CF">
        <w:t xml:space="preserve"> hazards.</w:t>
      </w:r>
    </w:p>
    <w:p w:rsidR="0020480D" w:rsidRDefault="00EB26EF" w:rsidP="00DD7F56">
      <w:pPr>
        <w:pStyle w:val="bt"/>
      </w:pPr>
      <w:r w:rsidRPr="003A58CF">
        <w:lastRenderedPageBreak/>
        <w:t xml:space="preserve">The </w:t>
      </w:r>
      <w:r w:rsidR="00DA4997" w:rsidRPr="003A58CF">
        <w:t xml:space="preserve">town </w:t>
      </w:r>
      <w:r w:rsidRPr="003A58CF">
        <w:t xml:space="preserve">has significant infrastructure including the Kyneton Hospital, and is located on the Calder </w:t>
      </w:r>
      <w:r w:rsidR="00A67E6A" w:rsidRPr="003A58CF">
        <w:t xml:space="preserve">road and rail </w:t>
      </w:r>
      <w:r w:rsidRPr="003A58CF">
        <w:t>corridor providing ease of access to Bendigo and Melbourne</w:t>
      </w:r>
      <w:r w:rsidR="00377A02" w:rsidRPr="003A58CF">
        <w:rPr>
          <w:rStyle w:val="Style"/>
          <w:rFonts w:asciiTheme="minorHAnsi" w:hAnsiTheme="minorHAnsi" w:cstheme="minorHAnsi"/>
          <w:sz w:val="22"/>
          <w:szCs w:val="22"/>
        </w:rPr>
        <w:footnoteReference w:id="17"/>
      </w:r>
      <w:r w:rsidRPr="003A58CF">
        <w:t xml:space="preserve">. </w:t>
      </w:r>
      <w:r w:rsidR="00DA4997" w:rsidRPr="003A58CF">
        <w:t xml:space="preserve">The town has a rich legacy of heritage buildings and streetscapes </w:t>
      </w:r>
      <w:r w:rsidR="00377A02" w:rsidRPr="003A58CF">
        <w:t xml:space="preserve">that </w:t>
      </w:r>
      <w:r w:rsidR="00DA4997" w:rsidRPr="003A58CF">
        <w:t>need to be protected and enhanced.</w:t>
      </w:r>
      <w:r w:rsidR="00A07102" w:rsidRPr="003A58CF">
        <w:t xml:space="preserve"> </w:t>
      </w:r>
      <w:bookmarkStart w:id="201" w:name="_Toc373757234"/>
    </w:p>
    <w:p w:rsidR="00FA699A" w:rsidRPr="00DD7F56" w:rsidRDefault="00F2577D" w:rsidP="00DD7F56">
      <w:pPr>
        <w:pStyle w:val="bt"/>
      </w:pPr>
      <w:r w:rsidRPr="00DD7F56">
        <w:t xml:space="preserve">Map </w:t>
      </w:r>
      <w:r w:rsidR="00993A78">
        <w:t xml:space="preserve">14 </w:t>
      </w:r>
      <w:r w:rsidR="00DD7F56" w:rsidRPr="00DD7F56">
        <w:t xml:space="preserve">is located here in the document and it shows - </w:t>
      </w:r>
      <w:r w:rsidRPr="00DD7F56">
        <w:t>Kyneton future land use directions</w:t>
      </w:r>
      <w:bookmarkEnd w:id="201"/>
    </w:p>
    <w:p w:rsidR="00DA4997" w:rsidRPr="00511F47" w:rsidRDefault="00DA4997" w:rsidP="00511F47">
      <w:pPr>
        <w:pStyle w:val="Heading4"/>
        <w:rPr>
          <w:rStyle w:val="Strong"/>
          <w:rFonts w:ascii="Calibri" w:hAnsi="Calibri"/>
          <w:b/>
          <w:bCs/>
          <w:sz w:val="22"/>
        </w:rPr>
      </w:pPr>
      <w:bookmarkStart w:id="202" w:name="_Toc351459132"/>
      <w:r w:rsidRPr="00511F47">
        <w:rPr>
          <w:rStyle w:val="Strong"/>
          <w:rFonts w:ascii="Calibri" w:hAnsi="Calibri"/>
          <w:b/>
          <w:bCs/>
          <w:sz w:val="22"/>
        </w:rPr>
        <w:t xml:space="preserve">Other </w:t>
      </w:r>
      <w:r w:rsidR="004D1CEA" w:rsidRPr="00511F47">
        <w:rPr>
          <w:rStyle w:val="Strong"/>
          <w:rFonts w:ascii="Calibri" w:hAnsi="Calibri"/>
          <w:b/>
          <w:bCs/>
          <w:sz w:val="22"/>
        </w:rPr>
        <w:t>district towns</w:t>
      </w:r>
    </w:p>
    <w:p w:rsidR="001F16ED" w:rsidRPr="00A34F58" w:rsidRDefault="0018666D" w:rsidP="00827D8E">
      <w:pPr>
        <w:pStyle w:val="Heading4"/>
        <w:rPr>
          <w:rStyle w:val="Strong"/>
          <w:b/>
        </w:rPr>
      </w:pPr>
      <w:r w:rsidRPr="00A34F58">
        <w:rPr>
          <w:rStyle w:val="Strong"/>
          <w:b/>
        </w:rPr>
        <w:t>Riddells Creek</w:t>
      </w:r>
      <w:bookmarkEnd w:id="202"/>
    </w:p>
    <w:p w:rsidR="001E4062" w:rsidRPr="003A58CF" w:rsidRDefault="00EB26EF" w:rsidP="00854F5E">
      <w:pPr>
        <w:pStyle w:val="bt"/>
      </w:pPr>
      <w:r w:rsidRPr="003A58CF">
        <w:t xml:space="preserve">Riddells Creek </w:t>
      </w:r>
      <w:r w:rsidR="000472EB" w:rsidRPr="003A58CF">
        <w:t xml:space="preserve">is </w:t>
      </w:r>
      <w:r w:rsidR="004D1CEA" w:rsidRPr="003A58CF">
        <w:t>likely</w:t>
      </w:r>
      <w:r w:rsidR="00AF01EB" w:rsidRPr="003A58CF">
        <w:t xml:space="preserve"> to</w:t>
      </w:r>
      <w:r w:rsidR="004D1CEA" w:rsidRPr="003A58CF">
        <w:t xml:space="preserve"> continue to</w:t>
      </w:r>
      <w:r w:rsidR="00AF01EB" w:rsidRPr="003A58CF">
        <w:t xml:space="preserve"> </w:t>
      </w:r>
      <w:r w:rsidR="004D1CEA" w:rsidRPr="003A58CF">
        <w:t>grow at a moderate rate. Current population</w:t>
      </w:r>
      <w:r w:rsidR="00AF01EB" w:rsidRPr="003A58CF">
        <w:t xml:space="preserve"> projections indicat</w:t>
      </w:r>
      <w:r w:rsidR="004D1CEA" w:rsidRPr="003A58CF">
        <w:t>e</w:t>
      </w:r>
      <w:r w:rsidR="00AF01EB" w:rsidRPr="003A58CF">
        <w:t xml:space="preserve"> </w:t>
      </w:r>
      <w:r w:rsidR="004D1CEA" w:rsidRPr="003A58CF">
        <w:t>the town</w:t>
      </w:r>
      <w:r w:rsidR="00AF01EB" w:rsidRPr="003A58CF">
        <w:t xml:space="preserve"> could </w:t>
      </w:r>
      <w:r w:rsidR="004D1CEA" w:rsidRPr="003A58CF">
        <w:t>reach</w:t>
      </w:r>
      <w:r w:rsidRPr="003A58CF">
        <w:t xml:space="preserve"> a population of just over 6000 people</w:t>
      </w:r>
      <w:r w:rsidR="004D1CEA" w:rsidRPr="003A58CF">
        <w:t xml:space="preserve"> by 2041</w:t>
      </w:r>
      <w:r w:rsidRPr="003A58CF">
        <w:t xml:space="preserve">. Supply estimates indicate potential capacity for approximately 4900 </w:t>
      </w:r>
      <w:r w:rsidR="003D2B28" w:rsidRPr="003A58CF">
        <w:t xml:space="preserve">additional </w:t>
      </w:r>
      <w:r w:rsidRPr="003A58CF">
        <w:t xml:space="preserve">people on existing residentially zoned land. Further investigation is required to identify future areas for </w:t>
      </w:r>
      <w:r w:rsidR="004D1CEA" w:rsidRPr="003A58CF">
        <w:t>greenfield growth</w:t>
      </w:r>
      <w:r w:rsidRPr="003A58CF">
        <w:t xml:space="preserve"> </w:t>
      </w:r>
      <w:r w:rsidR="003D2B28" w:rsidRPr="003A58CF">
        <w:t xml:space="preserve">as well as </w:t>
      </w:r>
      <w:r w:rsidRPr="003A58CF">
        <w:t xml:space="preserve">opportunities for infill and medium density development within the township boundaries. </w:t>
      </w:r>
    </w:p>
    <w:p w:rsidR="001E4062" w:rsidRPr="003A58CF" w:rsidRDefault="00EB26EF" w:rsidP="00854F5E">
      <w:pPr>
        <w:pStyle w:val="bt"/>
      </w:pPr>
      <w:r w:rsidRPr="003A58CF">
        <w:t xml:space="preserve">Riddells Creek provides </w:t>
      </w:r>
      <w:r w:rsidR="003D2B28" w:rsidRPr="003A58CF">
        <w:t>a</w:t>
      </w:r>
      <w:r w:rsidRPr="003A58CF">
        <w:t xml:space="preserve"> rural township lifestyle option that Gisborne has traditionally delivered. It is well connected to existing railway infrastructure, services industries and businesses</w:t>
      </w:r>
      <w:r w:rsidR="00377A02" w:rsidRPr="003A58CF">
        <w:rPr>
          <w:rStyle w:val="Style"/>
          <w:rFonts w:asciiTheme="minorHAnsi" w:hAnsiTheme="minorHAnsi" w:cstheme="minorHAnsi"/>
          <w:sz w:val="22"/>
          <w:szCs w:val="22"/>
        </w:rPr>
        <w:footnoteReference w:id="18"/>
      </w:r>
      <w:r w:rsidRPr="003A58CF">
        <w:t xml:space="preserve">. </w:t>
      </w:r>
      <w:r w:rsidR="00EF7CBE" w:rsidRPr="003A58CF">
        <w:t>Planning for settlement growth will need to consider potential</w:t>
      </w:r>
      <w:r w:rsidR="00230305">
        <w:t xml:space="preserve"> bushfire and</w:t>
      </w:r>
      <w:r w:rsidR="00EF7CBE" w:rsidRPr="003A58CF">
        <w:t xml:space="preserve"> </w:t>
      </w:r>
      <w:r w:rsidR="008607C8" w:rsidRPr="003A58CF">
        <w:t>flood</w:t>
      </w:r>
      <w:r w:rsidR="00EF7CBE" w:rsidRPr="003A58CF">
        <w:t xml:space="preserve"> hazards.</w:t>
      </w:r>
    </w:p>
    <w:p w:rsidR="001F16ED" w:rsidRPr="009D4F50" w:rsidRDefault="0018666D" w:rsidP="00827D8E">
      <w:pPr>
        <w:pStyle w:val="Heading4"/>
        <w:rPr>
          <w:rStyle w:val="Strong"/>
          <w:b/>
          <w:bCs/>
        </w:rPr>
      </w:pPr>
      <w:bookmarkStart w:id="203" w:name="_Toc351459133"/>
      <w:r w:rsidRPr="009D4F50">
        <w:rPr>
          <w:rStyle w:val="Strong"/>
          <w:b/>
          <w:bCs/>
        </w:rPr>
        <w:t>Romsey</w:t>
      </w:r>
      <w:bookmarkEnd w:id="203"/>
      <w:r w:rsidRPr="009D4F50">
        <w:rPr>
          <w:rStyle w:val="Strong"/>
          <w:b/>
          <w:bCs/>
        </w:rPr>
        <w:t xml:space="preserve"> </w:t>
      </w:r>
    </w:p>
    <w:p w:rsidR="00EB26EF" w:rsidRPr="003A58CF" w:rsidRDefault="00EB26EF" w:rsidP="00854F5E">
      <w:pPr>
        <w:pStyle w:val="bt"/>
      </w:pPr>
      <w:r w:rsidRPr="003A58CF">
        <w:t xml:space="preserve">Romsey will continue </w:t>
      </w:r>
      <w:r w:rsidR="004D1CEA" w:rsidRPr="003A58CF">
        <w:t>its role</w:t>
      </w:r>
      <w:r w:rsidRPr="003A58CF">
        <w:t xml:space="preserve"> as a </w:t>
      </w:r>
      <w:r w:rsidR="000472EB" w:rsidRPr="003A58CF">
        <w:t xml:space="preserve">rural </w:t>
      </w:r>
      <w:r w:rsidRPr="003A58CF">
        <w:t xml:space="preserve">town. Supply estimates indicate potential capacity for approximately 6000 people on existing residentially zoned land. </w:t>
      </w:r>
      <w:r w:rsidR="003D2B28" w:rsidRPr="003A58CF">
        <w:t>However, t</w:t>
      </w:r>
      <w:r w:rsidRPr="003A58CF">
        <w:t xml:space="preserve">he town </w:t>
      </w:r>
      <w:r w:rsidR="003D2B28" w:rsidRPr="003A58CF">
        <w:t xml:space="preserve">has </w:t>
      </w:r>
      <w:r w:rsidRPr="003A58CF">
        <w:t>limited services and transport infrastructure. Future transport links would need to be provided to accommodate projected future growth. Whil</w:t>
      </w:r>
      <w:r w:rsidR="00DA4997" w:rsidRPr="003A58CF">
        <w:t>e</w:t>
      </w:r>
      <w:r w:rsidRPr="003A58CF">
        <w:t xml:space="preserve"> growth is to be accommodated, there is an opportunity to retain the unique village atmosphere </w:t>
      </w:r>
      <w:r w:rsidR="003D2B28" w:rsidRPr="003A58CF">
        <w:t xml:space="preserve">of the </w:t>
      </w:r>
      <w:r w:rsidRPr="003A58CF">
        <w:t>town</w:t>
      </w:r>
      <w:r w:rsidR="004D1CEA" w:rsidRPr="003A58CF">
        <w:t>ship</w:t>
      </w:r>
      <w:r w:rsidR="00B87B96" w:rsidRPr="003A58CF">
        <w:rPr>
          <w:rStyle w:val="Style"/>
          <w:rFonts w:asciiTheme="minorHAnsi" w:hAnsiTheme="minorHAnsi" w:cstheme="minorHAnsi"/>
          <w:sz w:val="22"/>
          <w:szCs w:val="22"/>
        </w:rPr>
        <w:footnoteReference w:id="19"/>
      </w:r>
      <w:r w:rsidRPr="003A58CF">
        <w:t xml:space="preserve">. </w:t>
      </w:r>
      <w:r w:rsidR="00EF7CBE" w:rsidRPr="003A58CF">
        <w:t xml:space="preserve">Planning for settlement growth will need to consider potential </w:t>
      </w:r>
      <w:r w:rsidR="008607C8" w:rsidRPr="003A58CF">
        <w:t>flood</w:t>
      </w:r>
      <w:r w:rsidR="00EF7CBE" w:rsidRPr="003A58CF">
        <w:t xml:space="preserve"> considerations.</w:t>
      </w:r>
    </w:p>
    <w:p w:rsidR="00DE58DB" w:rsidRPr="009D4F50" w:rsidRDefault="00DE58DB" w:rsidP="009D4F50">
      <w:pPr>
        <w:pStyle w:val="Heading2"/>
      </w:pPr>
      <w:bookmarkStart w:id="204" w:name="_Toc377026345"/>
      <w:r w:rsidRPr="009D4F50">
        <w:t>Growth of Bendigo’s hinterland towns</w:t>
      </w:r>
      <w:bookmarkEnd w:id="191"/>
      <w:bookmarkEnd w:id="192"/>
      <w:bookmarkEnd w:id="204"/>
    </w:p>
    <w:p w:rsidR="0043085B" w:rsidRPr="003A58CF" w:rsidRDefault="00DE58DB" w:rsidP="00854F5E">
      <w:pPr>
        <w:pStyle w:val="bt"/>
        <w:rPr>
          <w:lang w:val="en-US" w:eastAsia="en-US"/>
        </w:rPr>
      </w:pPr>
      <w:r w:rsidRPr="003A58CF">
        <w:rPr>
          <w:lang w:val="en-US" w:eastAsia="en-US"/>
        </w:rPr>
        <w:t xml:space="preserve">A key </w:t>
      </w:r>
      <w:r w:rsidR="00753273" w:rsidRPr="003A58CF">
        <w:rPr>
          <w:lang w:val="en-US" w:eastAsia="en-US"/>
        </w:rPr>
        <w:t xml:space="preserve">outcome </w:t>
      </w:r>
      <w:r w:rsidRPr="003A58CF">
        <w:rPr>
          <w:lang w:val="en-US" w:eastAsia="en-US"/>
        </w:rPr>
        <w:t xml:space="preserve">of this </w:t>
      </w:r>
      <w:r w:rsidR="003F429B" w:rsidRPr="003A58CF">
        <w:rPr>
          <w:lang w:val="en-US" w:eastAsia="en-US"/>
        </w:rPr>
        <w:t>plan</w:t>
      </w:r>
      <w:r w:rsidRPr="003A58CF">
        <w:rPr>
          <w:lang w:val="en-US" w:eastAsia="en-US"/>
        </w:rPr>
        <w:t xml:space="preserve"> </w:t>
      </w:r>
      <w:r w:rsidR="00BB678A" w:rsidRPr="003A58CF">
        <w:rPr>
          <w:lang w:val="en-US" w:eastAsia="en-US"/>
        </w:rPr>
        <w:t>will be</w:t>
      </w:r>
      <w:r w:rsidR="00753273" w:rsidRPr="003A58CF">
        <w:rPr>
          <w:lang w:val="en-US" w:eastAsia="en-US"/>
        </w:rPr>
        <w:t xml:space="preserve"> </w:t>
      </w:r>
      <w:r w:rsidRPr="003A58CF">
        <w:rPr>
          <w:lang w:val="en-US" w:eastAsia="en-US"/>
        </w:rPr>
        <w:t xml:space="preserve">to facilitate moderate growth for some </w:t>
      </w:r>
      <w:r w:rsidR="003D2B28" w:rsidRPr="003A58CF">
        <w:rPr>
          <w:lang w:val="en-US" w:eastAsia="en-US"/>
        </w:rPr>
        <w:t xml:space="preserve">of the </w:t>
      </w:r>
      <w:r w:rsidRPr="003A58CF">
        <w:rPr>
          <w:lang w:val="en-US" w:eastAsia="en-US"/>
        </w:rPr>
        <w:t xml:space="preserve">hinterland towns </w:t>
      </w:r>
      <w:r w:rsidR="003D2B28" w:rsidRPr="003A58CF">
        <w:rPr>
          <w:lang w:val="en-US" w:eastAsia="en-US"/>
        </w:rPr>
        <w:t xml:space="preserve">around </w:t>
      </w:r>
      <w:r w:rsidRPr="003A58CF">
        <w:rPr>
          <w:lang w:val="en-US" w:eastAsia="en-US"/>
        </w:rPr>
        <w:t>Bendigo. The provision for growth of these towns also serves to protect the forest surrounding Bendigo, and provide</w:t>
      </w:r>
      <w:r w:rsidR="003D2B28" w:rsidRPr="003A58CF">
        <w:rPr>
          <w:lang w:val="en-US" w:eastAsia="en-US"/>
        </w:rPr>
        <w:t>s</w:t>
      </w:r>
      <w:r w:rsidRPr="003A58CF">
        <w:rPr>
          <w:lang w:val="en-US" w:eastAsia="en-US"/>
        </w:rPr>
        <w:t xml:space="preserve"> for alternative housing and lifestyle options in proximity to employment and services. </w:t>
      </w:r>
      <w:bookmarkStart w:id="205" w:name="_Toc333305831"/>
      <w:bookmarkStart w:id="206" w:name="_Toc351459135"/>
    </w:p>
    <w:p w:rsidR="00135CA1" w:rsidRPr="00827D8E" w:rsidRDefault="0018666D" w:rsidP="00827D8E">
      <w:pPr>
        <w:pStyle w:val="Heading4"/>
        <w:rPr>
          <w:rStyle w:val="Strong"/>
          <w:b/>
          <w:bCs/>
        </w:rPr>
      </w:pPr>
      <w:r w:rsidRPr="00827D8E">
        <w:rPr>
          <w:rStyle w:val="Strong"/>
          <w:b/>
          <w:bCs/>
        </w:rPr>
        <w:t>Bridgewater and Inglewood</w:t>
      </w:r>
      <w:bookmarkEnd w:id="205"/>
      <w:bookmarkEnd w:id="206"/>
      <w:r w:rsidRPr="00827D8E">
        <w:rPr>
          <w:rStyle w:val="Strong"/>
          <w:b/>
          <w:bCs/>
        </w:rPr>
        <w:t xml:space="preserve"> </w:t>
      </w:r>
    </w:p>
    <w:p w:rsidR="00DE58DB" w:rsidRPr="003A58CF" w:rsidRDefault="0021765B" w:rsidP="00854F5E">
      <w:pPr>
        <w:pStyle w:val="bt"/>
      </w:pPr>
      <w:r w:rsidRPr="003A58CF">
        <w:t xml:space="preserve">Although they are only </w:t>
      </w:r>
      <w:r w:rsidR="00DE58DB" w:rsidRPr="003A58CF">
        <w:t>small rural towns</w:t>
      </w:r>
      <w:r w:rsidRPr="003A58CF">
        <w:t xml:space="preserve"> at present</w:t>
      </w:r>
      <w:r w:rsidR="00DE58DB" w:rsidRPr="003A58CF">
        <w:t xml:space="preserve">, </w:t>
      </w:r>
      <w:r w:rsidRPr="003A58CF">
        <w:t xml:space="preserve">Bridgewater and Inglewood </w:t>
      </w:r>
      <w:r w:rsidR="001E7996" w:rsidRPr="003A58CF">
        <w:t xml:space="preserve">in Loddon Shire </w:t>
      </w:r>
      <w:r w:rsidR="00DE58DB" w:rsidRPr="003A58CF">
        <w:t xml:space="preserve">have </w:t>
      </w:r>
      <w:r w:rsidRPr="003A58CF">
        <w:t xml:space="preserve">the potential </w:t>
      </w:r>
      <w:r w:rsidR="00DE58DB" w:rsidRPr="003A58CF">
        <w:t xml:space="preserve">to develop as complementary and alternative lifestyle townships in the hinterland of Bendigo. Current trends show limited </w:t>
      </w:r>
      <w:r w:rsidRPr="003A58CF">
        <w:t xml:space="preserve">demand for </w:t>
      </w:r>
      <w:r w:rsidR="00DE58DB" w:rsidRPr="003A58CF">
        <w:t xml:space="preserve">growth, however future directions of this </w:t>
      </w:r>
      <w:r w:rsidR="003F429B" w:rsidRPr="003A58CF">
        <w:t>plan</w:t>
      </w:r>
      <w:r w:rsidR="00E32324" w:rsidRPr="003A58CF">
        <w:t xml:space="preserve">, </w:t>
      </w:r>
      <w:r w:rsidR="00DE58DB" w:rsidRPr="003A58CF">
        <w:t>combined with proactive planning</w:t>
      </w:r>
      <w:r w:rsidRPr="003A58CF">
        <w:t>,</w:t>
      </w:r>
      <w:r w:rsidR="00DE58DB" w:rsidRPr="003A58CF">
        <w:t xml:space="preserve"> liveability marketing and incentives </w:t>
      </w:r>
      <w:r w:rsidRPr="003A58CF">
        <w:t xml:space="preserve">could </w:t>
      </w:r>
      <w:r w:rsidR="00DE58DB" w:rsidRPr="003A58CF">
        <w:t xml:space="preserve">promote growth. The growth of these towns would support the sustainability of outlying agricultural areas and provide additional services to the broader community. </w:t>
      </w:r>
    </w:p>
    <w:p w:rsidR="00D0218B" w:rsidRPr="003A58CF" w:rsidRDefault="00DE58DB" w:rsidP="00854F5E">
      <w:pPr>
        <w:pStyle w:val="bt"/>
      </w:pPr>
      <w:r w:rsidRPr="003A58CF">
        <w:t xml:space="preserve">With </w:t>
      </w:r>
      <w:r w:rsidR="0021765B" w:rsidRPr="003A58CF">
        <w:t xml:space="preserve">its </w:t>
      </w:r>
      <w:r w:rsidR="00536246" w:rsidRPr="003A58CF">
        <w:t xml:space="preserve">charming </w:t>
      </w:r>
      <w:r w:rsidR="0021765B" w:rsidRPr="003A58CF">
        <w:t>riverside location</w:t>
      </w:r>
      <w:r w:rsidRPr="003A58CF">
        <w:t>, Bridgewater is an attractive village</w:t>
      </w:r>
      <w:r w:rsidR="0063085A" w:rsidRPr="003A58CF">
        <w:t>.</w:t>
      </w:r>
      <w:r w:rsidRPr="003A58CF">
        <w:t xml:space="preserve"> </w:t>
      </w:r>
      <w:r w:rsidR="0063085A" w:rsidRPr="003A58CF">
        <w:t>The town has</w:t>
      </w:r>
      <w:r w:rsidRPr="003A58CF">
        <w:t xml:space="preserve"> </w:t>
      </w:r>
      <w:r w:rsidR="0063085A" w:rsidRPr="003A58CF">
        <w:t xml:space="preserve">existing </w:t>
      </w:r>
      <w:r w:rsidRPr="003A58CF">
        <w:t xml:space="preserve">physical infrastructure </w:t>
      </w:r>
      <w:r w:rsidR="00B87B96" w:rsidRPr="003A58CF">
        <w:t xml:space="preserve">that </w:t>
      </w:r>
      <w:r w:rsidR="0063085A" w:rsidRPr="003A58CF">
        <w:t xml:space="preserve">can </w:t>
      </w:r>
      <w:r w:rsidR="00D0218B" w:rsidRPr="003A58CF">
        <w:t>support</w:t>
      </w:r>
      <w:r w:rsidRPr="003A58CF">
        <w:t xml:space="preserve"> population growth. Comprehensive planning for growth</w:t>
      </w:r>
      <w:r w:rsidR="00753273" w:rsidRPr="003A58CF">
        <w:t xml:space="preserve"> needs to be undertaken</w:t>
      </w:r>
      <w:r w:rsidRPr="003A58CF">
        <w:t xml:space="preserve"> </w:t>
      </w:r>
      <w:r w:rsidR="00753273" w:rsidRPr="003A58CF">
        <w:t>to address</w:t>
      </w:r>
      <w:r w:rsidRPr="003A58CF">
        <w:t xml:space="preserve"> </w:t>
      </w:r>
      <w:r w:rsidR="008607C8" w:rsidRPr="003A58CF">
        <w:t>flood</w:t>
      </w:r>
      <w:r w:rsidRPr="003A58CF">
        <w:t xml:space="preserve"> and environmental impacts, and </w:t>
      </w:r>
      <w:r w:rsidR="00536246" w:rsidRPr="003A58CF">
        <w:t xml:space="preserve">the </w:t>
      </w:r>
      <w:r w:rsidRPr="003A58CF">
        <w:t xml:space="preserve">interface with agricultural activities. Limited </w:t>
      </w:r>
      <w:r w:rsidRPr="003A58CF">
        <w:lastRenderedPageBreak/>
        <w:t>expansion of the town centre or commercial land would be required due to the proximity to Inglewood</w:t>
      </w:r>
      <w:r w:rsidR="00B87B96" w:rsidRPr="003A58CF">
        <w:t>,</w:t>
      </w:r>
      <w:r w:rsidRPr="003A58CF">
        <w:t xml:space="preserve"> which has more extensive services. </w:t>
      </w:r>
    </w:p>
    <w:p w:rsidR="00DE58DB" w:rsidRPr="003A58CF" w:rsidRDefault="00D0218B" w:rsidP="00854F5E">
      <w:pPr>
        <w:pStyle w:val="bt"/>
      </w:pPr>
      <w:r w:rsidRPr="003A58CF">
        <w:t>Inglewood provides a range of retail, community and social services including a hospital, aged care facilities and schools. Communities serviced in this area include the townships of Bridgewater, Korong Vale, Serpentine, Wedderburn, Newbridge, Tarnagulla and surrounding townships. Inglewood has good physical infrastructure combined with limited growth constraints. However, planning for growth in Inglewood needs to consider bushfire hazard</w:t>
      </w:r>
      <w:r w:rsidR="00B87B96" w:rsidRPr="003A58CF">
        <w:t>s</w:t>
      </w:r>
      <w:r w:rsidRPr="003A58CF">
        <w:t>.</w:t>
      </w:r>
    </w:p>
    <w:p w:rsidR="00135CA1" w:rsidRPr="00B9098E" w:rsidRDefault="0018666D" w:rsidP="00827D8E">
      <w:pPr>
        <w:pStyle w:val="Heading4"/>
        <w:rPr>
          <w:rStyle w:val="Strong"/>
          <w:b/>
          <w:bCs/>
        </w:rPr>
      </w:pPr>
      <w:bookmarkStart w:id="207" w:name="_Toc333305832"/>
      <w:bookmarkStart w:id="208" w:name="_Toc351459136"/>
      <w:r w:rsidRPr="00B9098E">
        <w:rPr>
          <w:rStyle w:val="Strong"/>
          <w:b/>
          <w:bCs/>
        </w:rPr>
        <w:t>Harcourt</w:t>
      </w:r>
      <w:bookmarkEnd w:id="207"/>
      <w:bookmarkEnd w:id="208"/>
    </w:p>
    <w:p w:rsidR="00DE58DB" w:rsidRPr="003A58CF" w:rsidRDefault="00DE58DB" w:rsidP="00854F5E">
      <w:pPr>
        <w:pStyle w:val="bt"/>
      </w:pPr>
      <w:r w:rsidRPr="003A58CF">
        <w:t xml:space="preserve">Harcourt is a small town </w:t>
      </w:r>
      <w:r w:rsidR="001E7996" w:rsidRPr="003A58CF">
        <w:t>in M</w:t>
      </w:r>
      <w:r w:rsidR="00B87B96" w:rsidRPr="003A58CF">
        <w:t>oun</w:t>
      </w:r>
      <w:r w:rsidR="001E7996" w:rsidRPr="003A58CF">
        <w:t xml:space="preserve">t Alexander Shire </w:t>
      </w:r>
      <w:r w:rsidRPr="003A58CF">
        <w:t xml:space="preserve">strategically located </w:t>
      </w:r>
      <w:r w:rsidR="00753273" w:rsidRPr="003A58CF">
        <w:t xml:space="preserve">adjacent </w:t>
      </w:r>
      <w:r w:rsidR="00536246" w:rsidRPr="003A58CF">
        <w:t xml:space="preserve">to </w:t>
      </w:r>
      <w:r w:rsidRPr="003A58CF">
        <w:t xml:space="preserve">the Calder </w:t>
      </w:r>
      <w:r w:rsidR="00536246" w:rsidRPr="003A58CF">
        <w:t>road and rail corridor</w:t>
      </w:r>
      <w:r w:rsidRPr="003A58CF">
        <w:t xml:space="preserve">, 30 </w:t>
      </w:r>
      <w:r w:rsidR="000A78F8" w:rsidRPr="003A58CF">
        <w:t>kilometres</w:t>
      </w:r>
      <w:r w:rsidRPr="003A58CF">
        <w:t xml:space="preserve"> from Bendigo and </w:t>
      </w:r>
      <w:r w:rsidR="00B87B96" w:rsidRPr="003A58CF">
        <w:t xml:space="preserve">seven </w:t>
      </w:r>
      <w:r w:rsidR="000A78F8" w:rsidRPr="003A58CF">
        <w:t>kilometres</w:t>
      </w:r>
      <w:r w:rsidRPr="003A58CF">
        <w:t xml:space="preserve"> from Castlemaine. </w:t>
      </w:r>
    </w:p>
    <w:p w:rsidR="00536246" w:rsidRPr="003A58CF" w:rsidRDefault="00DE58DB" w:rsidP="00854F5E">
      <w:pPr>
        <w:pStyle w:val="bt"/>
      </w:pPr>
      <w:r w:rsidRPr="003A58CF">
        <w:t xml:space="preserve">There is potential for growth of Harcourt beyond the existing town boundaries. Rezoning of land for urban development needs to occur in appropriate locations </w:t>
      </w:r>
      <w:r w:rsidR="00536246" w:rsidRPr="003A58CF">
        <w:t xml:space="preserve">with </w:t>
      </w:r>
      <w:r w:rsidRPr="003A58CF">
        <w:t>regard to the surrounding horticultural land</w:t>
      </w:r>
      <w:r w:rsidR="00EF7CBE" w:rsidRPr="003A58CF">
        <w:t xml:space="preserve"> and bushfire hazard</w:t>
      </w:r>
      <w:r w:rsidRPr="003A58CF">
        <w:t xml:space="preserve">. Further strategic and structure planning work is </w:t>
      </w:r>
      <w:r w:rsidR="000F4E99" w:rsidRPr="003A58CF">
        <w:t>currently underway</w:t>
      </w:r>
      <w:r w:rsidR="00753273" w:rsidRPr="003A58CF">
        <w:rPr>
          <w:rStyle w:val="Style"/>
          <w:rFonts w:asciiTheme="minorHAnsi" w:hAnsiTheme="minorHAnsi" w:cstheme="minorHAnsi"/>
          <w:sz w:val="22"/>
          <w:szCs w:val="22"/>
        </w:rPr>
        <w:footnoteReference w:id="20"/>
      </w:r>
      <w:r w:rsidR="00536246" w:rsidRPr="003A58CF">
        <w:t>.</w:t>
      </w:r>
    </w:p>
    <w:p w:rsidR="00135CA1" w:rsidRPr="00827D8E" w:rsidRDefault="00F91FB6" w:rsidP="00827D8E">
      <w:pPr>
        <w:pStyle w:val="Heading4"/>
        <w:rPr>
          <w:rStyle w:val="Strong"/>
          <w:b/>
          <w:bCs/>
        </w:rPr>
      </w:pPr>
      <w:r w:rsidRPr="00827D8E">
        <w:rPr>
          <w:rStyle w:val="Strong"/>
          <w:b/>
          <w:bCs/>
        </w:rPr>
        <w:t>Heathcote</w:t>
      </w:r>
    </w:p>
    <w:p w:rsidR="00F91FB6" w:rsidRPr="003A58CF" w:rsidRDefault="00F91FB6" w:rsidP="00854F5E">
      <w:pPr>
        <w:pStyle w:val="bt"/>
      </w:pPr>
      <w:r w:rsidRPr="003A58CF">
        <w:t xml:space="preserve">Heathcote is a district town </w:t>
      </w:r>
      <w:r w:rsidR="001E7996" w:rsidRPr="003A58CF">
        <w:t xml:space="preserve">in the City of Greater Bendigo </w:t>
      </w:r>
      <w:r w:rsidRPr="003A58CF">
        <w:t xml:space="preserve">with </w:t>
      </w:r>
      <w:r w:rsidR="00F83F62" w:rsidRPr="003A58CF">
        <w:t xml:space="preserve">the </w:t>
      </w:r>
      <w:r w:rsidRPr="003A58CF">
        <w:t xml:space="preserve">potential to grow to around 3000 </w:t>
      </w:r>
      <w:r w:rsidR="00F83F62" w:rsidRPr="003A58CF">
        <w:t xml:space="preserve">people, </w:t>
      </w:r>
      <w:r w:rsidRPr="003A58CF">
        <w:t xml:space="preserve">with appropriate structure planning. </w:t>
      </w:r>
      <w:r w:rsidR="00F83F62" w:rsidRPr="003A58CF">
        <w:t>A</w:t>
      </w:r>
      <w:r w:rsidRPr="003A58CF">
        <w:t xml:space="preserve"> range of local services </w:t>
      </w:r>
      <w:r w:rsidR="00F83F62" w:rsidRPr="003A58CF">
        <w:t xml:space="preserve">exist </w:t>
      </w:r>
      <w:r w:rsidR="00B87B96" w:rsidRPr="003A58CF">
        <w:t xml:space="preserve">that </w:t>
      </w:r>
      <w:r w:rsidR="00F83F62" w:rsidRPr="003A58CF">
        <w:t xml:space="preserve">service </w:t>
      </w:r>
      <w:r w:rsidRPr="003A58CF">
        <w:t xml:space="preserve">the town and outlying areas. </w:t>
      </w:r>
      <w:r w:rsidR="007872E2" w:rsidRPr="003A58CF">
        <w:t>Currently</w:t>
      </w:r>
      <w:r w:rsidR="00F83F62" w:rsidRPr="003A58CF">
        <w:t>,</w:t>
      </w:r>
      <w:r w:rsidR="007872E2" w:rsidRPr="003A58CF">
        <w:t xml:space="preserve"> around 20</w:t>
      </w:r>
      <w:r w:rsidR="00117BB6" w:rsidRPr="003A58CF">
        <w:t xml:space="preserve"> per cent </w:t>
      </w:r>
      <w:r w:rsidR="007872E2" w:rsidRPr="003A58CF">
        <w:t>of the existing dwellings are not connected to reticulated sewerage. The town</w:t>
      </w:r>
      <w:r w:rsidR="004A3F3E" w:rsidRPr="003A58CF">
        <w:t xml:space="preserve"> has the potential to accommodate some future growth with regard to environmental and infrastructure considerations. </w:t>
      </w:r>
      <w:r w:rsidR="001E7996" w:rsidRPr="003A58CF">
        <w:t>Planning for growth in Heathcote needs to consider bushfire hazard</w:t>
      </w:r>
      <w:r w:rsidR="00B87B96" w:rsidRPr="003A58CF">
        <w:t>s</w:t>
      </w:r>
      <w:r w:rsidR="001E7996" w:rsidRPr="003A58CF">
        <w:t>.</w:t>
      </w:r>
    </w:p>
    <w:p w:rsidR="008A274F" w:rsidRPr="003A58CF" w:rsidRDefault="00F91FB6" w:rsidP="00854F5E">
      <w:pPr>
        <w:pStyle w:val="bt"/>
      </w:pPr>
      <w:r w:rsidRPr="003A58CF">
        <w:t xml:space="preserve">Further strategic and structure planning work is required to accommodate future growth. </w:t>
      </w:r>
      <w:bookmarkStart w:id="209" w:name="_Toc351459138"/>
    </w:p>
    <w:p w:rsidR="001F16ED" w:rsidRPr="00827D8E" w:rsidRDefault="0018666D" w:rsidP="00827D8E">
      <w:pPr>
        <w:pStyle w:val="Heading4"/>
        <w:rPr>
          <w:rStyle w:val="Strong"/>
          <w:b/>
          <w:bCs/>
        </w:rPr>
      </w:pPr>
      <w:r w:rsidRPr="00827D8E">
        <w:rPr>
          <w:rStyle w:val="Strong"/>
          <w:b/>
          <w:bCs/>
        </w:rPr>
        <w:t>Small towns and rural areas</w:t>
      </w:r>
      <w:bookmarkEnd w:id="209"/>
    </w:p>
    <w:p w:rsidR="00720BB5" w:rsidRPr="00B9098E" w:rsidRDefault="00DE58DB" w:rsidP="00B9098E">
      <w:pPr>
        <w:pStyle w:val="bt"/>
        <w:rPr>
          <w:rStyle w:val="QuoteChar"/>
          <w:rFonts w:cs="Calibri"/>
          <w:i w:val="0"/>
          <w:iCs w:val="0"/>
          <w:color w:val="auto"/>
          <w:szCs w:val="22"/>
        </w:rPr>
      </w:pPr>
      <w:r w:rsidRPr="00B9098E">
        <w:t xml:space="preserve">Small settlements in the north of the </w:t>
      </w:r>
      <w:r w:rsidR="00F83F62" w:rsidRPr="00B9098E">
        <w:t xml:space="preserve">Loddon Mallee South </w:t>
      </w:r>
      <w:r w:rsidRPr="00B9098E">
        <w:t>region, such as Boort, Mitiamo and Pyramid Hill</w:t>
      </w:r>
      <w:r w:rsidR="00F83F62" w:rsidRPr="00B9098E">
        <w:t>,</w:t>
      </w:r>
      <w:r w:rsidRPr="00B9098E">
        <w:t xml:space="preserve"> provide lower order services with employment highly dependent on agriculture. </w:t>
      </w:r>
      <w:r w:rsidR="004F6201" w:rsidRPr="00B9098E">
        <w:rPr>
          <w:rStyle w:val="QuoteChar"/>
          <w:rFonts w:cs="Calibri"/>
          <w:i w:val="0"/>
          <w:iCs w:val="0"/>
          <w:color w:val="auto"/>
          <w:szCs w:val="22"/>
        </w:rPr>
        <w:t xml:space="preserve">The social and economic impact of changes in water policy, particularly the implementation of the </w:t>
      </w:r>
      <w:r w:rsidR="00B87B96" w:rsidRPr="00B9098E">
        <w:rPr>
          <w:rStyle w:val="QuoteChar"/>
          <w:rFonts w:cs="Calibri"/>
          <w:i w:val="0"/>
          <w:iCs w:val="0"/>
          <w:color w:val="auto"/>
          <w:szCs w:val="22"/>
        </w:rPr>
        <w:t>Murray-</w:t>
      </w:r>
      <w:r w:rsidR="004F6201" w:rsidRPr="00B9098E">
        <w:rPr>
          <w:rStyle w:val="QuoteChar"/>
          <w:rFonts w:cs="Calibri"/>
          <w:i w:val="0"/>
          <w:iCs w:val="0"/>
          <w:color w:val="auto"/>
          <w:szCs w:val="22"/>
        </w:rPr>
        <w:t xml:space="preserve">Darling Basin Plan and completion of irrigation infrastructure renewal, will need to be monitored and considered into the future. </w:t>
      </w:r>
    </w:p>
    <w:p w:rsidR="000F4E99" w:rsidRPr="00B9098E" w:rsidRDefault="004F6201" w:rsidP="00B9098E">
      <w:pPr>
        <w:pStyle w:val="bt"/>
      </w:pPr>
      <w:r w:rsidRPr="00B9098E">
        <w:rPr>
          <w:rStyle w:val="QuoteChar"/>
          <w:rFonts w:cs="Calibri"/>
          <w:i w:val="0"/>
          <w:iCs w:val="0"/>
          <w:color w:val="auto"/>
          <w:szCs w:val="22"/>
        </w:rPr>
        <w:t>The ability of the agricultural sector to adapt to changes to the climate and economy will be critical to a viable future. Restructuring will result in some land transitioning from irrigated to mixed agriculture</w:t>
      </w:r>
      <w:r w:rsidR="00B87B96" w:rsidRPr="00B9098E">
        <w:rPr>
          <w:rStyle w:val="QuoteChar"/>
          <w:rFonts w:cs="Calibri"/>
          <w:i w:val="0"/>
          <w:iCs w:val="0"/>
          <w:color w:val="auto"/>
          <w:szCs w:val="22"/>
        </w:rPr>
        <w:t>,</w:t>
      </w:r>
      <w:r w:rsidRPr="00B9098E">
        <w:rPr>
          <w:rStyle w:val="QuoteChar"/>
          <w:rFonts w:cs="Calibri"/>
          <w:i w:val="0"/>
          <w:iCs w:val="0"/>
          <w:color w:val="auto"/>
          <w:szCs w:val="22"/>
        </w:rPr>
        <w:t xml:space="preserve"> which may still occasionally be irrigated. Planning needs to support transitional land uses to enable such innovative agricultural enterprises to develop throughout the irrigation region.  </w:t>
      </w:r>
      <w:bookmarkStart w:id="210" w:name="OLE_LINK88"/>
      <w:bookmarkStart w:id="211" w:name="OLE_LINK89"/>
    </w:p>
    <w:p w:rsidR="00135CA1" w:rsidRPr="003A58CF" w:rsidRDefault="00DE58DB" w:rsidP="00854F5E">
      <w:pPr>
        <w:pStyle w:val="bt"/>
      </w:pPr>
      <w:r w:rsidRPr="003A58CF">
        <w:t>Supporting the diversification of the economy of these and other small towns is important, as is maintaining social infrastructure and services.</w:t>
      </w:r>
      <w:r w:rsidR="001E7996" w:rsidRPr="003A58CF">
        <w:t xml:space="preserve"> </w:t>
      </w:r>
      <w:r w:rsidR="000F4E99" w:rsidRPr="003A58CF">
        <w:t>Support is necessary for transitioning the agricultural landscape and associated communities as the irrigation districts are refined by policy and infrastructure investment. This support may include diversification of agricultural practices and economies as well as investment in new technologies. This may also deliver opportunities for further investment to increase food production and attract new processing industries</w:t>
      </w:r>
      <w:r w:rsidR="001E7996" w:rsidRPr="003A58CF">
        <w:t>.</w:t>
      </w:r>
    </w:p>
    <w:bookmarkEnd w:id="210"/>
    <w:bookmarkEnd w:id="211"/>
    <w:p w:rsidR="00135CA1" w:rsidRPr="003A58CF" w:rsidRDefault="00DE58DB" w:rsidP="00854F5E">
      <w:pPr>
        <w:pStyle w:val="bt"/>
      </w:pPr>
      <w:r w:rsidRPr="003A58CF">
        <w:t xml:space="preserve">Many rural areas </w:t>
      </w:r>
      <w:r w:rsidR="00770A9D" w:rsidRPr="003A58CF">
        <w:t xml:space="preserve">in the region </w:t>
      </w:r>
      <w:r w:rsidRPr="003A58CF">
        <w:t>are also desirable places to live. In particular</w:t>
      </w:r>
      <w:r w:rsidR="00770A9D" w:rsidRPr="003A58CF">
        <w:t>,</w:t>
      </w:r>
      <w:r w:rsidRPr="003A58CF">
        <w:t xml:space="preserve"> there is an increasing demand for </w:t>
      </w:r>
      <w:r w:rsidR="00230305">
        <w:t>rural residential</w:t>
      </w:r>
      <w:r w:rsidR="00230305" w:rsidRPr="003A58CF">
        <w:t xml:space="preserve"> </w:t>
      </w:r>
      <w:r w:rsidRPr="003A58CF">
        <w:t xml:space="preserve">allotments. This growth pressure is particularly apparent in Melbourne’s peri-urban </w:t>
      </w:r>
      <w:r w:rsidR="00770A9D" w:rsidRPr="003A58CF">
        <w:t xml:space="preserve">areas </w:t>
      </w:r>
      <w:r w:rsidRPr="003A58CF">
        <w:t xml:space="preserve">and </w:t>
      </w:r>
      <w:r w:rsidRPr="003A58CF">
        <w:lastRenderedPageBreak/>
        <w:t xml:space="preserve">along the Calder corridor. Development of a consistent regional approach to managing small lot development in rural areas and avoiding </w:t>
      </w:r>
      <w:r w:rsidR="00770A9D" w:rsidRPr="003A58CF">
        <w:t xml:space="preserve">the </w:t>
      </w:r>
      <w:r w:rsidRPr="003A58CF">
        <w:t>highest quality and productive agricultural land would support land use planning decision</w:t>
      </w:r>
      <w:r w:rsidR="00B87B96" w:rsidRPr="003A58CF">
        <w:t xml:space="preserve"> </w:t>
      </w:r>
      <w:r w:rsidRPr="003A58CF">
        <w:t>making.</w:t>
      </w:r>
    </w:p>
    <w:p w:rsidR="00135CA1" w:rsidRPr="003A58CF" w:rsidRDefault="00DE58DB" w:rsidP="00854F5E">
      <w:pPr>
        <w:pStyle w:val="bt"/>
      </w:pPr>
      <w:r w:rsidRPr="003A58CF">
        <w:t xml:space="preserve">Continued attention and management of land is important to ensure the interface between urban and rural settlements is well defined so that the settlement future of the region is clear. The siting, form and management of future urban and rural living settlements should consider the impacts on existing agricultural industries and environmental </w:t>
      </w:r>
      <w:r w:rsidR="007E5DCA" w:rsidRPr="003A58CF">
        <w:t>assets</w:t>
      </w:r>
      <w:r w:rsidR="002E163C" w:rsidRPr="003A58CF">
        <w:t xml:space="preserve"> </w:t>
      </w:r>
      <w:r w:rsidRPr="003A58CF">
        <w:t xml:space="preserve">in both planning and implementation. </w:t>
      </w:r>
    </w:p>
    <w:p w:rsidR="00135CA1" w:rsidRPr="003A58CF" w:rsidRDefault="00DE58DB" w:rsidP="00854F5E">
      <w:pPr>
        <w:pStyle w:val="bt"/>
      </w:pPr>
      <w:r w:rsidRPr="003A58CF">
        <w:t xml:space="preserve">The growth and expansion of some settlements will occur on </w:t>
      </w:r>
      <w:r w:rsidR="00F15E20" w:rsidRPr="003A58CF">
        <w:t xml:space="preserve">land that is currently allocated for </w:t>
      </w:r>
      <w:r w:rsidRPr="003A58CF">
        <w:t xml:space="preserve">farming. Achieving a balance between facilitating the growth of </w:t>
      </w:r>
      <w:r w:rsidR="00E21B22" w:rsidRPr="003A58CF">
        <w:t>settlements, such as Bendigo’s hinterland towns</w:t>
      </w:r>
      <w:r w:rsidR="001E7996" w:rsidRPr="003A58CF">
        <w:t>,</w:t>
      </w:r>
      <w:r w:rsidRPr="003A58CF">
        <w:t xml:space="preserve"> whil</w:t>
      </w:r>
      <w:r w:rsidR="00C70315" w:rsidRPr="003A58CF">
        <w:t>e</w:t>
      </w:r>
      <w:r w:rsidRPr="003A58CF">
        <w:t xml:space="preserve"> protecting strategically important agricultural land</w:t>
      </w:r>
      <w:r w:rsidR="00230305">
        <w:t>,</w:t>
      </w:r>
      <w:r w:rsidRPr="003A58CF">
        <w:t xml:space="preserve"> needs to occur through regionally integrated land use planning. Balancing the protection of farming activities and production areas</w:t>
      </w:r>
      <w:r w:rsidR="00770A9D" w:rsidRPr="003A58CF">
        <w:t xml:space="preserve"> is critical</w:t>
      </w:r>
      <w:r w:rsidRPr="003A58CF">
        <w:t>, with appropriate land management</w:t>
      </w:r>
      <w:r w:rsidR="00770A9D" w:rsidRPr="003A58CF">
        <w:t xml:space="preserve"> practices</w:t>
      </w:r>
      <w:r w:rsidRPr="003A58CF">
        <w:t xml:space="preserve">, protection of </w:t>
      </w:r>
      <w:r w:rsidR="007872E2" w:rsidRPr="003A58CF">
        <w:t>natural resources and environmental ecosystems</w:t>
      </w:r>
      <w:r w:rsidR="00770A9D" w:rsidRPr="003A58CF">
        <w:t>,</w:t>
      </w:r>
      <w:r w:rsidRPr="003A58CF">
        <w:t xml:space="preserve"> and consideration of dwellings in these areas.</w:t>
      </w:r>
    </w:p>
    <w:p w:rsidR="002D2356" w:rsidRPr="003A58CF" w:rsidRDefault="0043085B" w:rsidP="00827D8E">
      <w:pPr>
        <w:pStyle w:val="Heading4"/>
      </w:pPr>
      <w:r w:rsidRPr="003A58CF">
        <w:t>Future regional land use settlement actions</w:t>
      </w:r>
    </w:p>
    <w:p w:rsidR="00135CA1" w:rsidRPr="003A58CF" w:rsidRDefault="00DE58DB" w:rsidP="00FA699A">
      <w:pPr>
        <w:pStyle w:val="btbullet"/>
      </w:pPr>
      <w:r w:rsidRPr="003A58CF">
        <w:t>Support the current structure planning for Kyneton,</w:t>
      </w:r>
      <w:r w:rsidR="00FB6DB6" w:rsidRPr="003A58CF">
        <w:t xml:space="preserve"> Woodend</w:t>
      </w:r>
      <w:r w:rsidRPr="003A58CF">
        <w:t xml:space="preserve"> and Riddells Creek</w:t>
      </w:r>
    </w:p>
    <w:p w:rsidR="00135CA1" w:rsidRPr="003A58CF" w:rsidRDefault="00DE58DB" w:rsidP="00FA699A">
      <w:pPr>
        <w:pStyle w:val="btbullet"/>
      </w:pPr>
      <w:r w:rsidRPr="003A58CF">
        <w:t>Investigate land supply opportunities and impediments to accommodate further growth in Castlemaine</w:t>
      </w:r>
    </w:p>
    <w:p w:rsidR="00135CA1" w:rsidRPr="003A58CF" w:rsidRDefault="00DE58DB" w:rsidP="00FA699A">
      <w:pPr>
        <w:pStyle w:val="btbullet"/>
      </w:pPr>
      <w:r w:rsidRPr="003A58CF">
        <w:t>Undertake structure planning and programs to promote the growth of Maryborough</w:t>
      </w:r>
    </w:p>
    <w:p w:rsidR="00135CA1" w:rsidRPr="003A58CF" w:rsidRDefault="00DE58DB" w:rsidP="00FA699A">
      <w:pPr>
        <w:pStyle w:val="btbullet"/>
      </w:pPr>
      <w:r w:rsidRPr="003A58CF">
        <w:t>Commence investigation projects for the growth of Bridgewater, Inglewood and Harcourt</w:t>
      </w:r>
    </w:p>
    <w:p w:rsidR="00135CA1" w:rsidRPr="003A58CF" w:rsidRDefault="00BB678A" w:rsidP="00FA699A">
      <w:pPr>
        <w:pStyle w:val="btbullet"/>
        <w:rPr>
          <w:b/>
          <w:bCs/>
        </w:rPr>
      </w:pPr>
      <w:r w:rsidRPr="003A58CF">
        <w:t xml:space="preserve">Investigate </w:t>
      </w:r>
      <w:r w:rsidR="00770A9D" w:rsidRPr="003A58CF">
        <w:t xml:space="preserve">the </w:t>
      </w:r>
      <w:r w:rsidRPr="003A58CF">
        <w:t xml:space="preserve">sewering of </w:t>
      </w:r>
      <w:r w:rsidR="00770A9D" w:rsidRPr="003A58CF">
        <w:t xml:space="preserve">some </w:t>
      </w:r>
      <w:r w:rsidRPr="003A58CF">
        <w:t>townships</w:t>
      </w:r>
      <w:r w:rsidR="00770A9D" w:rsidRPr="003A58CF">
        <w:t>,</w:t>
      </w:r>
      <w:r w:rsidRPr="003A58CF">
        <w:t xml:space="preserve"> including Talbot and Newbridge</w:t>
      </w:r>
    </w:p>
    <w:p w:rsidR="00135CA1" w:rsidRPr="003A58CF" w:rsidRDefault="00DE58DB" w:rsidP="00FA699A">
      <w:pPr>
        <w:pStyle w:val="btbullet"/>
      </w:pPr>
      <w:bookmarkStart w:id="212" w:name="_Toc333305841"/>
      <w:r w:rsidRPr="003A58CF">
        <w:t>Support the sustainability</w:t>
      </w:r>
      <w:r w:rsidR="001E7996" w:rsidRPr="003A58CF">
        <w:t xml:space="preserve"> </w:t>
      </w:r>
      <w:r w:rsidRPr="003A58CF">
        <w:t xml:space="preserve">of small towns through investment and diversification of </w:t>
      </w:r>
      <w:r w:rsidR="00753273" w:rsidRPr="003A58CF">
        <w:t xml:space="preserve">their </w:t>
      </w:r>
      <w:r w:rsidRPr="003A58CF">
        <w:t>economies and appropriate flexible zoning provisions</w:t>
      </w:r>
    </w:p>
    <w:p w:rsidR="00135CA1" w:rsidRPr="003A58CF" w:rsidRDefault="007872E2" w:rsidP="00827D8E">
      <w:pPr>
        <w:pStyle w:val="Heading2"/>
      </w:pPr>
      <w:bookmarkStart w:id="213" w:name="_Toc377026346"/>
      <w:bookmarkStart w:id="214" w:name="_Toc336871231"/>
      <w:bookmarkEnd w:id="212"/>
      <w:r w:rsidRPr="003A58CF">
        <w:t xml:space="preserve">Social </w:t>
      </w:r>
      <w:r w:rsidR="00C96F3D" w:rsidRPr="003A58CF">
        <w:t>i</w:t>
      </w:r>
      <w:r w:rsidRPr="003A58CF">
        <w:t>nclusion</w:t>
      </w:r>
      <w:bookmarkEnd w:id="213"/>
    </w:p>
    <w:p w:rsidR="00135CA1" w:rsidRPr="00827D8E" w:rsidRDefault="000952D4" w:rsidP="00827D8E">
      <w:pPr>
        <w:pStyle w:val="Heading4"/>
        <w:rPr>
          <w:rStyle w:val="Strong"/>
          <w:b/>
          <w:bCs/>
        </w:rPr>
      </w:pPr>
      <w:r w:rsidRPr="00827D8E">
        <w:rPr>
          <w:rStyle w:val="Strong"/>
          <w:b/>
          <w:bCs/>
        </w:rPr>
        <w:t>Future directions</w:t>
      </w:r>
    </w:p>
    <w:p w:rsidR="00135CA1" w:rsidRPr="003A58CF" w:rsidRDefault="007872E2" w:rsidP="00FA699A">
      <w:pPr>
        <w:pStyle w:val="btbullet"/>
      </w:pPr>
      <w:r w:rsidRPr="003A58CF">
        <w:t xml:space="preserve">Invest in liveability, infrastructure and urban design initiatives to make </w:t>
      </w:r>
      <w:r w:rsidR="006352F5" w:rsidRPr="003A58CF">
        <w:t xml:space="preserve">the region’s </w:t>
      </w:r>
      <w:r w:rsidRPr="003A58CF">
        <w:t>towns great places to live</w:t>
      </w:r>
    </w:p>
    <w:p w:rsidR="00135CA1" w:rsidRPr="003A58CF" w:rsidRDefault="007872E2" w:rsidP="00FA699A">
      <w:pPr>
        <w:pStyle w:val="btbullet"/>
      </w:pPr>
      <w:r w:rsidRPr="003A58CF">
        <w:t>Build community connectedness and reduce areas of social disadvantage</w:t>
      </w:r>
    </w:p>
    <w:p w:rsidR="00135CA1" w:rsidRPr="003A58CF" w:rsidRDefault="007872E2" w:rsidP="00FA699A">
      <w:pPr>
        <w:pStyle w:val="btbullet"/>
      </w:pPr>
      <w:r w:rsidRPr="003A58CF">
        <w:t>Build a skilled and adaptable workforce</w:t>
      </w:r>
      <w:r w:rsidR="004A60F6" w:rsidRPr="003A58CF">
        <w:t xml:space="preserve"> by attracting skilled workers and providing </w:t>
      </w:r>
      <w:r w:rsidRPr="003A58CF">
        <w:t xml:space="preserve">access to high quality </w:t>
      </w:r>
      <w:r w:rsidR="0018666D" w:rsidRPr="003A58CF">
        <w:t>education and training opportunities</w:t>
      </w:r>
      <w:r w:rsidR="00F1169E" w:rsidRPr="003A58CF">
        <w:t>,</w:t>
      </w:r>
      <w:r w:rsidR="0018666D" w:rsidRPr="003A58CF">
        <w:t xml:space="preserve"> which provide pathways to employment</w:t>
      </w:r>
    </w:p>
    <w:p w:rsidR="00135CA1" w:rsidRPr="003A58CF" w:rsidRDefault="0018666D" w:rsidP="00FA699A">
      <w:pPr>
        <w:pStyle w:val="btbullet"/>
      </w:pPr>
      <w:r w:rsidRPr="003A58CF">
        <w:t>Plan for the facilities and infrastructure needed for delivery of education and training to support growth</w:t>
      </w:r>
    </w:p>
    <w:p w:rsidR="00135CA1" w:rsidRPr="00827D8E" w:rsidRDefault="0018666D" w:rsidP="00827D8E">
      <w:pPr>
        <w:pStyle w:val="Heading4"/>
        <w:rPr>
          <w:rStyle w:val="Strong"/>
          <w:b/>
          <w:bCs/>
        </w:rPr>
      </w:pPr>
      <w:r w:rsidRPr="00827D8E">
        <w:rPr>
          <w:rStyle w:val="Strong"/>
          <w:b/>
          <w:bCs/>
        </w:rPr>
        <w:t>Overview</w:t>
      </w:r>
    </w:p>
    <w:p w:rsidR="00135CA1" w:rsidRPr="003A58CF" w:rsidRDefault="0018666D" w:rsidP="00854F5E">
      <w:pPr>
        <w:pStyle w:val="bt"/>
      </w:pPr>
      <w:r w:rsidRPr="003A58CF">
        <w:t>Social services that support regional and rural communities should be provided in an equitable way so that communities have access to the services they need at a regional level. The delivery of services needs to be matched with both the location and time sequence of development and population growth. The broad settlement pattern should also provide for community recreation and leisure activities that protect valued landscapes and recreation assets at the regional scale.</w:t>
      </w:r>
    </w:p>
    <w:p w:rsidR="00B92ED8" w:rsidRPr="003A58CF" w:rsidRDefault="0018666D" w:rsidP="00854F5E">
      <w:pPr>
        <w:pStyle w:val="bt"/>
      </w:pPr>
      <w:r w:rsidRPr="003A58CF">
        <w:t>Current and future population change</w:t>
      </w:r>
      <w:r w:rsidR="00F15E20" w:rsidRPr="003A58CF">
        <w:t xml:space="preserve"> and </w:t>
      </w:r>
      <w:r w:rsidRPr="003A58CF">
        <w:t xml:space="preserve">composition and location disadvantage will affect towns and small settlements in the Loddon Mallee South region. Some towns will face pressure on their existing services and will need to plan for new and additional services. Other towns and smaller settlements that are facing a </w:t>
      </w:r>
      <w:r w:rsidRPr="003A58CF">
        <w:lastRenderedPageBreak/>
        <w:t xml:space="preserve">decrease in population will require creative solutions to ensure access to social infrastructure to support community participation, health and wellbeing. </w:t>
      </w:r>
    </w:p>
    <w:p w:rsidR="00135CA1" w:rsidRPr="00827D8E" w:rsidRDefault="0018666D" w:rsidP="00827D8E">
      <w:pPr>
        <w:pStyle w:val="Heading4"/>
        <w:rPr>
          <w:rStyle w:val="Strong"/>
          <w:b/>
          <w:bCs/>
        </w:rPr>
      </w:pPr>
      <w:bookmarkStart w:id="215" w:name="_Toc351459140"/>
      <w:r w:rsidRPr="00827D8E">
        <w:rPr>
          <w:rStyle w:val="Strong"/>
          <w:b/>
          <w:bCs/>
        </w:rPr>
        <w:t>Education</w:t>
      </w:r>
      <w:bookmarkEnd w:id="215"/>
    </w:p>
    <w:p w:rsidR="00135CA1" w:rsidRPr="003A58CF" w:rsidRDefault="0018666D" w:rsidP="00854F5E">
      <w:pPr>
        <w:pStyle w:val="bt"/>
      </w:pPr>
      <w:r w:rsidRPr="003A58CF">
        <w:t>Workforce skills gaps have been identified in key economic growth areas including construction, education, transport and logistics, and health. These gaps suggest the region should better integrate secondary school and post-secondary education with regional economic development. Ongoing training is also required to ensure workers’ skills continue to meet the changing needs of industry and are positioned to take advantage of any emerging industry opportunities.</w:t>
      </w:r>
    </w:p>
    <w:p w:rsidR="00135CA1" w:rsidRPr="003A58CF" w:rsidRDefault="0018666D" w:rsidP="00854F5E">
      <w:pPr>
        <w:pStyle w:val="bt"/>
      </w:pPr>
      <w:r w:rsidRPr="003A58CF">
        <w:t>Tertiary education facilities, such as La Trobe and Monash universities in Bendigo, and post-secondary education facilities, such as TAFE, offer an alternative to studying in Melbourne or other regions. Increasing tertiary enrolments will contribute to the regional economy, potentially retain a skilled workforce and attract younger people to settle in the region. A current inhibitor to increasing tertiary participation is the lack of student accommodation in Bendigo. Beyond this, further development and investment in university programs and facilities will be required to drive growth and participation in tertiary education across the region.</w:t>
      </w:r>
    </w:p>
    <w:p w:rsidR="00135CA1" w:rsidRPr="003A58CF" w:rsidRDefault="0018666D" w:rsidP="00854F5E">
      <w:pPr>
        <w:pStyle w:val="bt"/>
      </w:pPr>
      <w:r w:rsidRPr="003A58CF">
        <w:t>Whole-of-life education and training is critical to overall health and wellbeing. Educational attainment brings personal, social and economic benefits to individuals and communities. It also creates opportunities through increased access to employment, helps address regional skill shortages and assists in strengthening and diversifying the economy.</w:t>
      </w:r>
    </w:p>
    <w:p w:rsidR="00135CA1" w:rsidRPr="00827D8E" w:rsidRDefault="0018666D" w:rsidP="00827D8E">
      <w:pPr>
        <w:pStyle w:val="Heading4"/>
        <w:rPr>
          <w:rStyle w:val="Strong"/>
          <w:b/>
          <w:bCs/>
        </w:rPr>
      </w:pPr>
      <w:bookmarkStart w:id="216" w:name="_Toc351459141"/>
      <w:r w:rsidRPr="00827D8E">
        <w:rPr>
          <w:rStyle w:val="Strong"/>
          <w:b/>
          <w:bCs/>
        </w:rPr>
        <w:t>Health and wellbeing</w:t>
      </w:r>
      <w:bookmarkEnd w:id="216"/>
    </w:p>
    <w:p w:rsidR="00135CA1" w:rsidRPr="003A58CF" w:rsidRDefault="0018666D" w:rsidP="00854F5E">
      <w:pPr>
        <w:pStyle w:val="bt"/>
        <w:rPr>
          <w:lang w:val="en-GB"/>
        </w:rPr>
      </w:pPr>
      <w:r w:rsidRPr="003A58CF">
        <w:rPr>
          <w:lang w:val="en-GB"/>
        </w:rPr>
        <w:t>The economic, social, environmental (natural an</w:t>
      </w:r>
      <w:r w:rsidR="007872E2" w:rsidRPr="003A58CF">
        <w:rPr>
          <w:lang w:val="en-GB"/>
        </w:rPr>
        <w:t>d built), democratic and cultural life of communities influence</w:t>
      </w:r>
      <w:r w:rsidR="00B63288" w:rsidRPr="003A58CF">
        <w:rPr>
          <w:lang w:val="en-GB"/>
        </w:rPr>
        <w:t>s</w:t>
      </w:r>
      <w:r w:rsidR="007872E2" w:rsidRPr="003A58CF">
        <w:rPr>
          <w:lang w:val="en-GB"/>
        </w:rPr>
        <w:t xml:space="preserve"> health and wellbeing. This includes access to recreation and cultural facilities, as well as infrastructure such as health services and hospitals. Challenges for the region include the variations in socio-economic status and access to services that aid community connectedness and participation. This is particularly important in more remote areas of the </w:t>
      </w:r>
      <w:r w:rsidR="00B63288" w:rsidRPr="003A58CF">
        <w:rPr>
          <w:lang w:val="en-GB"/>
        </w:rPr>
        <w:t xml:space="preserve">Loddon Mallee South </w:t>
      </w:r>
      <w:r w:rsidR="007872E2" w:rsidRPr="003A58CF">
        <w:rPr>
          <w:lang w:val="en-GB"/>
        </w:rPr>
        <w:t xml:space="preserve">region. </w:t>
      </w:r>
    </w:p>
    <w:p w:rsidR="007872E2" w:rsidRPr="003A58CF" w:rsidRDefault="007872E2" w:rsidP="00854F5E">
      <w:pPr>
        <w:pStyle w:val="bt"/>
        <w:rPr>
          <w:lang w:val="en-GB"/>
        </w:rPr>
      </w:pPr>
      <w:r w:rsidRPr="003A58CF">
        <w:rPr>
          <w:lang w:val="en-GB"/>
        </w:rPr>
        <w:t xml:space="preserve">The aim of this </w:t>
      </w:r>
      <w:r w:rsidR="003F429B" w:rsidRPr="003A58CF">
        <w:rPr>
          <w:lang w:val="en-GB"/>
        </w:rPr>
        <w:t>plan</w:t>
      </w:r>
      <w:r w:rsidRPr="003A58CF">
        <w:rPr>
          <w:lang w:val="en-GB"/>
        </w:rPr>
        <w:t xml:space="preserve"> and the Strategic Plan </w:t>
      </w:r>
      <w:r w:rsidR="00283A2F" w:rsidRPr="003A58CF">
        <w:rPr>
          <w:lang w:val="en-GB"/>
        </w:rPr>
        <w:t xml:space="preserve">2010 </w:t>
      </w:r>
      <w:r w:rsidRPr="003A58CF">
        <w:rPr>
          <w:lang w:val="en-GB"/>
        </w:rPr>
        <w:t xml:space="preserve">is to support equitable access to services that provide social support, education and employment, as well as cultural and social activities. This relies on both strong transport and communication links as well as local or regional programs </w:t>
      </w:r>
      <w:r w:rsidR="00B63288" w:rsidRPr="003A58CF">
        <w:rPr>
          <w:lang w:val="en-GB"/>
        </w:rPr>
        <w:t xml:space="preserve">focused on </w:t>
      </w:r>
      <w:r w:rsidRPr="003A58CF">
        <w:rPr>
          <w:lang w:val="en-GB"/>
        </w:rPr>
        <w:t xml:space="preserve">improving health and wellbeing.  </w:t>
      </w:r>
    </w:p>
    <w:p w:rsidR="00135CA1" w:rsidRPr="003A58CF" w:rsidRDefault="007872E2" w:rsidP="00854F5E">
      <w:pPr>
        <w:pStyle w:val="bt"/>
        <w:rPr>
          <w:lang w:val="en-GB"/>
        </w:rPr>
      </w:pPr>
      <w:r w:rsidRPr="003A58CF">
        <w:rPr>
          <w:lang w:val="en-GB"/>
        </w:rPr>
        <w:t xml:space="preserve">Significant projects that will contribute to improved health and wellbeing </w:t>
      </w:r>
      <w:r w:rsidR="00B63288" w:rsidRPr="003A58CF">
        <w:rPr>
          <w:lang w:val="en-GB"/>
        </w:rPr>
        <w:t xml:space="preserve">in the region are </w:t>
      </w:r>
      <w:r w:rsidRPr="003A58CF">
        <w:rPr>
          <w:lang w:val="en-GB"/>
        </w:rPr>
        <w:t xml:space="preserve">highlighted throughout this </w:t>
      </w:r>
      <w:r w:rsidR="003F429B" w:rsidRPr="003A58CF">
        <w:rPr>
          <w:lang w:val="en-GB"/>
        </w:rPr>
        <w:t>plan</w:t>
      </w:r>
      <w:r w:rsidR="00B63288" w:rsidRPr="003A58CF">
        <w:rPr>
          <w:lang w:val="en-GB"/>
        </w:rPr>
        <w:t xml:space="preserve">, </w:t>
      </w:r>
      <w:r w:rsidRPr="003A58CF">
        <w:rPr>
          <w:lang w:val="en-GB"/>
        </w:rPr>
        <w:t>in</w:t>
      </w:r>
      <w:r w:rsidR="0018666D" w:rsidRPr="003A58CF">
        <w:rPr>
          <w:lang w:val="en-GB"/>
        </w:rPr>
        <w:t xml:space="preserve">cluding the Bendigo Hospital redevelopment. </w:t>
      </w:r>
    </w:p>
    <w:p w:rsidR="00135CA1" w:rsidRPr="003A58CF" w:rsidRDefault="0043085B" w:rsidP="00827D8E">
      <w:pPr>
        <w:pStyle w:val="Heading4"/>
        <w:rPr>
          <w:lang w:val="en-GB"/>
        </w:rPr>
      </w:pPr>
      <w:r w:rsidRPr="003A58CF">
        <w:rPr>
          <w:lang w:val="en-GB"/>
        </w:rPr>
        <w:t>Future social inclusion land use actions</w:t>
      </w:r>
    </w:p>
    <w:p w:rsidR="00135CA1" w:rsidRPr="003A58CF" w:rsidRDefault="0018666D" w:rsidP="00FA699A">
      <w:pPr>
        <w:pStyle w:val="btbullet"/>
        <w:rPr>
          <w:lang w:val="en-GB"/>
        </w:rPr>
      </w:pPr>
      <w:r w:rsidRPr="003A58CF">
        <w:rPr>
          <w:lang w:val="en-GB"/>
        </w:rPr>
        <w:t>Coordinate government agencies’ land and infrastructure strategies for the provision of public and community facilities, including existing and new education facilities</w:t>
      </w:r>
    </w:p>
    <w:p w:rsidR="00135CA1" w:rsidRPr="003A58CF" w:rsidRDefault="0018666D" w:rsidP="00FA699A">
      <w:pPr>
        <w:pStyle w:val="btbullet"/>
        <w:rPr>
          <w:lang w:val="en-GB"/>
        </w:rPr>
      </w:pPr>
      <w:r w:rsidRPr="003A58CF">
        <w:rPr>
          <w:lang w:val="en-GB"/>
        </w:rPr>
        <w:t>Recognise Development Contribution Plans are essential to fund infrastructure for communities</w:t>
      </w:r>
    </w:p>
    <w:p w:rsidR="009E00F0" w:rsidRDefault="0018666D" w:rsidP="00FA699A">
      <w:pPr>
        <w:pStyle w:val="btbullet"/>
        <w:rPr>
          <w:lang w:val="en-GB"/>
        </w:rPr>
      </w:pPr>
      <w:r w:rsidRPr="003A58CF">
        <w:rPr>
          <w:lang w:val="en-GB"/>
        </w:rPr>
        <w:t>Utilise telecommunications and transport infrastructure to improve access to social infrastructure</w:t>
      </w:r>
      <w:r w:rsidR="007872E2" w:rsidRPr="003A58CF">
        <w:rPr>
          <w:lang w:val="en-GB"/>
        </w:rPr>
        <w:t xml:space="preserve"> </w:t>
      </w:r>
    </w:p>
    <w:p w:rsidR="00135CA1" w:rsidRPr="003A58CF" w:rsidRDefault="00DE58DB" w:rsidP="00827D8E">
      <w:pPr>
        <w:pStyle w:val="Heading11"/>
      </w:pPr>
      <w:bookmarkStart w:id="217" w:name="_Toc352079292"/>
      <w:bookmarkStart w:id="218" w:name="_Toc352080184"/>
      <w:bookmarkStart w:id="219" w:name="_Toc352080231"/>
      <w:bookmarkStart w:id="220" w:name="_Toc352080429"/>
      <w:bookmarkStart w:id="221" w:name="_Toc377026347"/>
      <w:bookmarkEnd w:id="217"/>
      <w:bookmarkEnd w:id="218"/>
      <w:bookmarkEnd w:id="219"/>
      <w:bookmarkEnd w:id="220"/>
      <w:r w:rsidRPr="003A58CF">
        <w:t xml:space="preserve">Regional </w:t>
      </w:r>
      <w:r w:rsidR="00C96F3D" w:rsidRPr="003A58CF">
        <w:t>i</w:t>
      </w:r>
      <w:r w:rsidRPr="003A58CF">
        <w:t>nfrastructure</w:t>
      </w:r>
      <w:bookmarkEnd w:id="214"/>
      <w:bookmarkEnd w:id="221"/>
    </w:p>
    <w:p w:rsidR="002D2356" w:rsidRPr="00827D8E" w:rsidRDefault="000952D4" w:rsidP="00827D8E">
      <w:pPr>
        <w:pStyle w:val="Heading4"/>
      </w:pPr>
      <w:r w:rsidRPr="00827D8E">
        <w:rPr>
          <w:rStyle w:val="Strong"/>
          <w:b/>
          <w:bCs/>
        </w:rPr>
        <w:t>Future directions</w:t>
      </w:r>
      <w:r w:rsidR="0043085B" w:rsidRPr="00827D8E">
        <w:t xml:space="preserve"> water, energy and utilities</w:t>
      </w:r>
    </w:p>
    <w:p w:rsidR="0043085B" w:rsidRPr="003A58CF" w:rsidRDefault="0043085B" w:rsidP="00FA699A">
      <w:pPr>
        <w:pStyle w:val="btbullet"/>
      </w:pPr>
      <w:r w:rsidRPr="003A58CF">
        <w:t>Strategically renew, maintain and develop infrastructure to</w:t>
      </w:r>
      <w:r w:rsidR="003674FF" w:rsidRPr="003A58CF">
        <w:t xml:space="preserve"> maximise opportunities and services to </w:t>
      </w:r>
      <w:r w:rsidRPr="003A58CF">
        <w:t>meet anticipated need</w:t>
      </w:r>
    </w:p>
    <w:p w:rsidR="0043085B" w:rsidRPr="003A58CF" w:rsidRDefault="0043085B" w:rsidP="00FA699A">
      <w:pPr>
        <w:pStyle w:val="btbullet"/>
      </w:pPr>
      <w:r w:rsidRPr="003A58CF">
        <w:lastRenderedPageBreak/>
        <w:t>Favour development proposals that maximise existing infrastructure and provide significant economic or community benefit</w:t>
      </w:r>
    </w:p>
    <w:p w:rsidR="003674FF" w:rsidRPr="003A58CF" w:rsidRDefault="003674FF" w:rsidP="00FA699A">
      <w:pPr>
        <w:pStyle w:val="btbullet"/>
        <w:rPr>
          <w:lang w:eastAsia="en-US"/>
        </w:rPr>
      </w:pPr>
      <w:r w:rsidRPr="003A58CF">
        <w:rPr>
          <w:lang w:eastAsia="en-US"/>
        </w:rPr>
        <w:t>Ensure that the current and future operation of major infrastructure of state and regional significance</w:t>
      </w:r>
      <w:r w:rsidR="009334CD" w:rsidRPr="003A58CF">
        <w:rPr>
          <w:lang w:eastAsia="en-US"/>
        </w:rPr>
        <w:t xml:space="preserve">, </w:t>
      </w:r>
      <w:r w:rsidRPr="003A58CF">
        <w:rPr>
          <w:lang w:eastAsia="en-US"/>
        </w:rPr>
        <w:t>including highways, railways, airports, communications networks and energy gene</w:t>
      </w:r>
      <w:r w:rsidR="009334CD" w:rsidRPr="003A58CF">
        <w:rPr>
          <w:lang w:eastAsia="en-US"/>
        </w:rPr>
        <w:t>ration and distribution systems,</w:t>
      </w:r>
      <w:r w:rsidRPr="003A58CF">
        <w:rPr>
          <w:lang w:eastAsia="en-US"/>
        </w:rPr>
        <w:t xml:space="preserve"> is not adversely affected by urban development in adjacent areas</w:t>
      </w:r>
    </w:p>
    <w:p w:rsidR="0045082B" w:rsidRPr="003A58CF" w:rsidRDefault="0045082B" w:rsidP="00FA699A">
      <w:pPr>
        <w:pStyle w:val="btbullet"/>
        <w:rPr>
          <w:lang w:eastAsia="en-US"/>
        </w:rPr>
      </w:pPr>
      <w:r w:rsidRPr="003A58CF">
        <w:rPr>
          <w:lang w:eastAsia="en-US"/>
        </w:rPr>
        <w:t>Prioritise infrastructure that connects the region’s communities through physical and electronic means, such as transport and internet access</w:t>
      </w:r>
    </w:p>
    <w:p w:rsidR="00B22D9A" w:rsidRPr="003A58CF" w:rsidRDefault="00B22D9A" w:rsidP="00FA699A">
      <w:pPr>
        <w:pStyle w:val="btbullet"/>
      </w:pPr>
      <w:r w:rsidRPr="003A58CF">
        <w:t>Strategically direct growth to locations with good existing infrastructure and infrastructure with the capacity for enhancement</w:t>
      </w:r>
    </w:p>
    <w:p w:rsidR="00417850" w:rsidRPr="003A58CF" w:rsidRDefault="00417850" w:rsidP="00FA699A">
      <w:pPr>
        <w:pStyle w:val="btbullet"/>
      </w:pPr>
      <w:r w:rsidRPr="003A58CF">
        <w:t>Provide adequate waste and resource recovery infrastructure and services to support new developments and population growth in the region</w:t>
      </w:r>
    </w:p>
    <w:p w:rsidR="0043085B" w:rsidRPr="003A58CF" w:rsidRDefault="0043085B" w:rsidP="00FA699A">
      <w:pPr>
        <w:pStyle w:val="btbullet"/>
      </w:pPr>
      <w:r w:rsidRPr="003A58CF">
        <w:t>Protect water quality and quantity</w:t>
      </w:r>
    </w:p>
    <w:p w:rsidR="0043085B" w:rsidRPr="003A58CF" w:rsidRDefault="0043085B" w:rsidP="00FA699A">
      <w:pPr>
        <w:pStyle w:val="btbullet"/>
      </w:pPr>
      <w:r w:rsidRPr="003A58CF">
        <w:t>Provide for the future of waste management and resource recovery</w:t>
      </w:r>
    </w:p>
    <w:p w:rsidR="00135CA1" w:rsidRPr="00827D8E" w:rsidRDefault="0018666D" w:rsidP="00827D8E">
      <w:pPr>
        <w:pStyle w:val="Heading4"/>
        <w:rPr>
          <w:rStyle w:val="Strong"/>
          <w:b/>
          <w:bCs/>
        </w:rPr>
      </w:pPr>
      <w:r w:rsidRPr="00827D8E">
        <w:rPr>
          <w:rStyle w:val="Strong"/>
          <w:b/>
          <w:bCs/>
        </w:rPr>
        <w:t>Overview</w:t>
      </w:r>
    </w:p>
    <w:p w:rsidR="00135CA1" w:rsidRPr="003A58CF" w:rsidRDefault="00CB7E35" w:rsidP="00854F5E">
      <w:pPr>
        <w:pStyle w:val="bt"/>
      </w:pPr>
      <w:r w:rsidRPr="003A58CF">
        <w:t xml:space="preserve">Future social and physical infrastructure provision is vital </w:t>
      </w:r>
      <w:r w:rsidR="00C23B38" w:rsidRPr="003A58CF">
        <w:t>for</w:t>
      </w:r>
      <w:r w:rsidRPr="003A58CF">
        <w:t xml:space="preserve"> sustainable communities. </w:t>
      </w:r>
      <w:r w:rsidR="005C59BC" w:rsidRPr="003A58CF">
        <w:t xml:space="preserve">Directing growth to locations with good existing infrastructure and infrastructure with the capacity for enhancement is a priority. Many of </w:t>
      </w:r>
      <w:r w:rsidR="000635DE" w:rsidRPr="003A58CF">
        <w:t xml:space="preserve">the </w:t>
      </w:r>
      <w:r w:rsidR="005C59BC" w:rsidRPr="003A58CF">
        <w:t xml:space="preserve">towns earmarked for significant growth </w:t>
      </w:r>
      <w:r w:rsidR="000635DE" w:rsidRPr="003A58CF">
        <w:t xml:space="preserve">in the Loddon Mallee South region </w:t>
      </w:r>
      <w:r w:rsidR="005C59BC" w:rsidRPr="003A58CF">
        <w:t>have good existing infrastructure</w:t>
      </w:r>
      <w:r w:rsidR="00230305">
        <w:t>,</w:t>
      </w:r>
      <w:r w:rsidR="005C59BC" w:rsidRPr="003A58CF">
        <w:t xml:space="preserve"> such as </w:t>
      </w:r>
      <w:r w:rsidR="00230305">
        <w:t xml:space="preserve">water and </w:t>
      </w:r>
      <w:r w:rsidR="005C59BC" w:rsidRPr="003A58CF">
        <w:t>sewerage and transport links</w:t>
      </w:r>
      <w:r w:rsidR="00230305">
        <w:t xml:space="preserve"> </w:t>
      </w:r>
      <w:r w:rsidR="005C59BC" w:rsidRPr="003A58CF">
        <w:t xml:space="preserve">that enable growth to take place. </w:t>
      </w:r>
    </w:p>
    <w:p w:rsidR="00135CA1" w:rsidRPr="003A58CF" w:rsidRDefault="00CB7E35" w:rsidP="00854F5E">
      <w:pPr>
        <w:pStyle w:val="bt"/>
      </w:pPr>
      <w:r w:rsidRPr="003A58CF">
        <w:t xml:space="preserve">It is essential that planning for growth is undertaken alongside planning and </w:t>
      </w:r>
      <w:r w:rsidR="000635DE" w:rsidRPr="003A58CF">
        <w:t xml:space="preserve">infrastructure </w:t>
      </w:r>
      <w:r w:rsidRPr="003A58CF">
        <w:t xml:space="preserve">investment to enable economic and settlement growth in strategic locations. </w:t>
      </w:r>
      <w:r w:rsidR="005C59BC" w:rsidRPr="003A58CF">
        <w:t xml:space="preserve">Current policy settings, local and regional strategies and </w:t>
      </w:r>
      <w:r w:rsidR="000635DE" w:rsidRPr="003A58CF">
        <w:t xml:space="preserve">infrastructure </w:t>
      </w:r>
      <w:r w:rsidR="005C59BC" w:rsidRPr="003A58CF">
        <w:t>projects underway, planned or implemented</w:t>
      </w:r>
      <w:r w:rsidR="007E5CD5" w:rsidRPr="003A58CF">
        <w:t xml:space="preserve">, </w:t>
      </w:r>
      <w:r w:rsidR="005C59BC" w:rsidRPr="003A58CF">
        <w:t xml:space="preserve">such as </w:t>
      </w:r>
      <w:r w:rsidR="00E85EB1">
        <w:t xml:space="preserve">the </w:t>
      </w:r>
      <w:r w:rsidR="005C59BC" w:rsidRPr="003A58CF">
        <w:t>Regional Rail Link</w:t>
      </w:r>
      <w:r w:rsidR="00CD1CC0" w:rsidRPr="003A58CF">
        <w:t xml:space="preserve">, </w:t>
      </w:r>
      <w:r w:rsidR="000635DE" w:rsidRPr="003A58CF">
        <w:t xml:space="preserve">the </w:t>
      </w:r>
      <w:r w:rsidR="005C59BC" w:rsidRPr="003A58CF">
        <w:t>Rail Revival Study</w:t>
      </w:r>
      <w:r w:rsidR="00CD1CC0" w:rsidRPr="003A58CF">
        <w:t>,</w:t>
      </w:r>
      <w:r w:rsidR="005C59BC" w:rsidRPr="003A58CF">
        <w:t xml:space="preserve"> </w:t>
      </w:r>
      <w:r w:rsidR="000635DE" w:rsidRPr="003A58CF">
        <w:t xml:space="preserve">the </w:t>
      </w:r>
      <w:r w:rsidR="005C59BC" w:rsidRPr="003A58CF">
        <w:t>Calder Highway alternative interchange</w:t>
      </w:r>
      <w:r w:rsidR="00CD1CC0" w:rsidRPr="003A58CF">
        <w:t>,</w:t>
      </w:r>
      <w:r w:rsidR="005C59BC" w:rsidRPr="003A58CF">
        <w:t xml:space="preserve"> and the </w:t>
      </w:r>
      <w:r w:rsidR="00417850" w:rsidRPr="003A58CF">
        <w:t xml:space="preserve">National Broadband Network </w:t>
      </w:r>
      <w:r w:rsidR="005C59BC" w:rsidRPr="003A58CF">
        <w:t>rollout</w:t>
      </w:r>
      <w:r w:rsidR="007E5CD5" w:rsidRPr="003A58CF">
        <w:t>,</w:t>
      </w:r>
      <w:r w:rsidR="005C59BC" w:rsidRPr="003A58CF">
        <w:t xml:space="preserve"> will all contribute to and support future growth.</w:t>
      </w:r>
    </w:p>
    <w:p w:rsidR="00E46287" w:rsidRPr="003A58CF" w:rsidRDefault="00E46287" w:rsidP="00827D8E">
      <w:pPr>
        <w:pStyle w:val="Heading2"/>
      </w:pPr>
      <w:bookmarkStart w:id="222" w:name="_Toc377026348"/>
      <w:r w:rsidRPr="003A58CF">
        <w:t xml:space="preserve">Water, </w:t>
      </w:r>
      <w:r w:rsidR="00351190" w:rsidRPr="003A58CF">
        <w:t>e</w:t>
      </w:r>
      <w:r w:rsidRPr="003A58CF">
        <w:t xml:space="preserve">nergy and </w:t>
      </w:r>
      <w:r w:rsidR="00351190" w:rsidRPr="003A58CF">
        <w:t>u</w:t>
      </w:r>
      <w:r w:rsidRPr="003A58CF">
        <w:t>tilities</w:t>
      </w:r>
      <w:bookmarkEnd w:id="222"/>
    </w:p>
    <w:p w:rsidR="00827D8E" w:rsidRDefault="0018666D" w:rsidP="00854F5E">
      <w:pPr>
        <w:pStyle w:val="bt"/>
      </w:pPr>
      <w:bookmarkStart w:id="223" w:name="_Toc345491061"/>
      <w:bookmarkStart w:id="224" w:name="_Toc345407232"/>
      <w:bookmarkStart w:id="225" w:name="_Toc345491062"/>
      <w:bookmarkStart w:id="226" w:name="_Toc345407234"/>
      <w:bookmarkStart w:id="227" w:name="_Toc345491064"/>
      <w:bookmarkStart w:id="228" w:name="_Toc345407237"/>
      <w:bookmarkStart w:id="229" w:name="_Toc345491067"/>
      <w:bookmarkStart w:id="230" w:name="_Toc345407239"/>
      <w:bookmarkStart w:id="231" w:name="_Toc345491069"/>
      <w:bookmarkStart w:id="232" w:name="_Toc336871232"/>
      <w:bookmarkEnd w:id="223"/>
      <w:bookmarkEnd w:id="224"/>
      <w:bookmarkEnd w:id="225"/>
      <w:bookmarkEnd w:id="226"/>
      <w:bookmarkEnd w:id="227"/>
      <w:bookmarkEnd w:id="228"/>
      <w:bookmarkEnd w:id="229"/>
      <w:bookmarkEnd w:id="230"/>
      <w:bookmarkEnd w:id="231"/>
      <w:r w:rsidRPr="003A58CF">
        <w:t xml:space="preserve">Growth of towns and cities in the Loddon Mallee South region will result in demand for additional water, energy and utility infrastructure. Efficient use of existing systems and preservation and identification of utility infrastructure corridors and urban locations have been considered as part of this </w:t>
      </w:r>
      <w:r w:rsidR="003F429B" w:rsidRPr="003A58CF">
        <w:t>plan</w:t>
      </w:r>
      <w:r w:rsidRPr="003A58CF">
        <w:t>. The projected population and settlement patterns take into account high level planning for currently planned and anticipated service utilities.</w:t>
      </w:r>
    </w:p>
    <w:p w:rsidR="00135CA1" w:rsidRPr="00827D8E" w:rsidRDefault="0018666D" w:rsidP="00827D8E">
      <w:pPr>
        <w:pStyle w:val="Heading4"/>
        <w:rPr>
          <w:rStyle w:val="Strong"/>
          <w:b/>
          <w:bCs/>
        </w:rPr>
      </w:pPr>
      <w:bookmarkStart w:id="233" w:name="_Toc351459144"/>
      <w:r w:rsidRPr="00827D8E">
        <w:rPr>
          <w:rStyle w:val="Strong"/>
          <w:b/>
          <w:bCs/>
        </w:rPr>
        <w:t>Gas and electricity</w:t>
      </w:r>
      <w:bookmarkEnd w:id="233"/>
    </w:p>
    <w:p w:rsidR="00DE58DB" w:rsidRPr="003A58CF" w:rsidRDefault="001C6C0B" w:rsidP="00854F5E">
      <w:pPr>
        <w:pStyle w:val="bt"/>
      </w:pPr>
      <w:r w:rsidRPr="003A58CF">
        <w:t>There are many areas within the region that do not have access to natural gas and rely on bottled gas. There is a need for reticulated gas supply to be extended to benefit both businesses and residents.</w:t>
      </w:r>
    </w:p>
    <w:p w:rsidR="00DE58DB" w:rsidRPr="003A58CF" w:rsidRDefault="001C6C0B" w:rsidP="00854F5E">
      <w:pPr>
        <w:pStyle w:val="bt"/>
      </w:pPr>
      <w:r w:rsidRPr="003A58CF">
        <w:t xml:space="preserve">Investigations for upgrades and extensions to natural gas </w:t>
      </w:r>
      <w:r w:rsidR="00381EBF" w:rsidRPr="003A58CF">
        <w:t xml:space="preserve">supplies </w:t>
      </w:r>
      <w:r w:rsidRPr="003A58CF">
        <w:t>are being undertaken through the Energy for the Regions Program (</w:t>
      </w:r>
      <w:r w:rsidR="00417850" w:rsidRPr="003A58CF">
        <w:t>Regional Development Victoria</w:t>
      </w:r>
      <w:r w:rsidRPr="003A58CF">
        <w:t xml:space="preserve">). Locations within the region identified in the program include Heathcote, Marong, Huntly and Maldon. </w:t>
      </w:r>
    </w:p>
    <w:p w:rsidR="00DE58DB" w:rsidRPr="003A58CF" w:rsidRDefault="001C6C0B" w:rsidP="00854F5E">
      <w:pPr>
        <w:pStyle w:val="bt"/>
      </w:pPr>
      <w:r w:rsidRPr="003A58CF">
        <w:t xml:space="preserve">The traditional electricity network is capable of accommodating projected growth for the region. There are significant opportunities to produce energy through alternative methods, such as renewable energy and supplies from biomass (refer to </w:t>
      </w:r>
      <w:r w:rsidR="000952D4" w:rsidRPr="003A58CF">
        <w:t>Section 11.2 Working in the Loddon Mallee South region</w:t>
      </w:r>
      <w:r w:rsidRPr="003A58CF">
        <w:t xml:space="preserve">). Initiatives to support energy generation in the region should be pursued, such as agreeing on a target for regional energy generation. </w:t>
      </w:r>
    </w:p>
    <w:p w:rsidR="00135CA1" w:rsidRPr="00827D8E" w:rsidRDefault="0018666D" w:rsidP="00827D8E">
      <w:pPr>
        <w:pStyle w:val="Heading4"/>
        <w:rPr>
          <w:rStyle w:val="Strong"/>
          <w:b/>
          <w:bCs/>
        </w:rPr>
      </w:pPr>
      <w:bookmarkStart w:id="234" w:name="_Toc319660727"/>
      <w:bookmarkStart w:id="235" w:name="_Toc333305856"/>
      <w:bookmarkStart w:id="236" w:name="_Toc351459145"/>
      <w:r w:rsidRPr="00827D8E">
        <w:rPr>
          <w:rStyle w:val="Strong"/>
          <w:b/>
          <w:bCs/>
        </w:rPr>
        <w:lastRenderedPageBreak/>
        <w:t>Telecommunications</w:t>
      </w:r>
      <w:bookmarkEnd w:id="234"/>
      <w:bookmarkEnd w:id="235"/>
      <w:bookmarkEnd w:id="236"/>
      <w:r w:rsidRPr="00827D8E">
        <w:rPr>
          <w:rStyle w:val="Strong"/>
          <w:b/>
          <w:bCs/>
        </w:rPr>
        <w:t xml:space="preserve"> </w:t>
      </w:r>
    </w:p>
    <w:p w:rsidR="00DE58DB" w:rsidRPr="003A58CF" w:rsidRDefault="009E6207" w:rsidP="00854F5E">
      <w:pPr>
        <w:pStyle w:val="bt"/>
      </w:pPr>
      <w:r w:rsidRPr="003A58CF">
        <w:t xml:space="preserve">The </w:t>
      </w:r>
      <w:r w:rsidR="009334CD" w:rsidRPr="003A58CF">
        <w:t xml:space="preserve">National Broadband Network </w:t>
      </w:r>
      <w:r w:rsidRPr="003A58CF">
        <w:t>rollout is anticipated for the Loddon Mallee South region by 2016. The implementation</w:t>
      </w:r>
      <w:r w:rsidR="00D23C72" w:rsidRPr="003A58CF">
        <w:t xml:space="preserve"> </w:t>
      </w:r>
      <w:r w:rsidRPr="003A58CF">
        <w:t xml:space="preserve">rollout map is contained in the </w:t>
      </w:r>
      <w:r w:rsidR="00417850" w:rsidRPr="003A58CF">
        <w:t>background report</w:t>
      </w:r>
      <w:r w:rsidRPr="003A58CF">
        <w:t xml:space="preserve">. </w:t>
      </w:r>
      <w:r w:rsidR="00D23C72" w:rsidRPr="003A58CF">
        <w:t>T</w:t>
      </w:r>
      <w:r w:rsidRPr="003A58CF">
        <w:t xml:space="preserve">his service </w:t>
      </w:r>
      <w:r w:rsidR="00D23C72" w:rsidRPr="003A58CF">
        <w:t xml:space="preserve">will be </w:t>
      </w:r>
      <w:r w:rsidRPr="003A58CF">
        <w:t>essential to the vitality of the region</w:t>
      </w:r>
      <w:r w:rsidR="00D23C72" w:rsidRPr="003A58CF">
        <w:t xml:space="preserve">. It will </w:t>
      </w:r>
      <w:r w:rsidRPr="003A58CF">
        <w:t xml:space="preserve">contribute to social wellbeing through education and access to e-services, </w:t>
      </w:r>
      <w:r w:rsidR="00D23C72" w:rsidRPr="003A58CF">
        <w:t xml:space="preserve">and it will contribute to </w:t>
      </w:r>
      <w:r w:rsidRPr="003A58CF">
        <w:t xml:space="preserve">the </w:t>
      </w:r>
      <w:r w:rsidR="00D23C72" w:rsidRPr="003A58CF">
        <w:t xml:space="preserve">regional </w:t>
      </w:r>
      <w:r w:rsidRPr="003A58CF">
        <w:t xml:space="preserve">economy </w:t>
      </w:r>
      <w:r w:rsidR="00D23C72" w:rsidRPr="003A58CF">
        <w:t xml:space="preserve">by increasing </w:t>
      </w:r>
      <w:r w:rsidRPr="003A58CF">
        <w:t>competit</w:t>
      </w:r>
      <w:r w:rsidR="00D23C72" w:rsidRPr="003A58CF">
        <w:t xml:space="preserve">ion </w:t>
      </w:r>
      <w:r w:rsidRPr="003A58CF">
        <w:t xml:space="preserve">in technology and information services as well as </w:t>
      </w:r>
      <w:r w:rsidR="00DF7B46" w:rsidRPr="003A58CF">
        <w:t>value-</w:t>
      </w:r>
      <w:r w:rsidRPr="003A58CF">
        <w:t xml:space="preserve">adding to businesses. </w:t>
      </w:r>
    </w:p>
    <w:p w:rsidR="00DE58DB" w:rsidRPr="003A58CF" w:rsidRDefault="009E6207" w:rsidP="00854F5E">
      <w:pPr>
        <w:pStyle w:val="bt"/>
      </w:pPr>
      <w:r w:rsidRPr="003A58CF">
        <w:t xml:space="preserve">The region would benefit from a better understanding of the potential impacts and opportunities of the </w:t>
      </w:r>
      <w:r w:rsidR="00D763CF" w:rsidRPr="003A58CF">
        <w:t xml:space="preserve">National Broadband Network </w:t>
      </w:r>
      <w:r w:rsidRPr="003A58CF">
        <w:t xml:space="preserve">rollout. </w:t>
      </w:r>
      <w:r w:rsidR="005C7D19" w:rsidRPr="003A58CF">
        <w:t xml:space="preserve">There is </w:t>
      </w:r>
      <w:r w:rsidRPr="003A58CF">
        <w:t xml:space="preserve">the potential to provide greatly improved access to information, services, training and employment and potentially </w:t>
      </w:r>
      <w:r w:rsidR="005C7D19" w:rsidRPr="003A58CF">
        <w:t xml:space="preserve">to </w:t>
      </w:r>
      <w:r w:rsidRPr="003A58CF">
        <w:t>reduce the need to travel. It could reduce commuting outside the region</w:t>
      </w:r>
      <w:r w:rsidR="007E5CD5" w:rsidRPr="003A58CF">
        <w:t>, for example,</w:t>
      </w:r>
      <w:r w:rsidRPr="003A58CF">
        <w:t xml:space="preserve"> from </w:t>
      </w:r>
      <w:r w:rsidR="005C7D19" w:rsidRPr="003A58CF">
        <w:t xml:space="preserve">the </w:t>
      </w:r>
      <w:r w:rsidRPr="003A58CF">
        <w:t>Macedon Ranges to Melbourne through options to work remotely, or aid the development of new businesses.</w:t>
      </w:r>
      <w:r w:rsidR="005C7D19" w:rsidRPr="003A58CF">
        <w:t xml:space="preserve"> The </w:t>
      </w:r>
      <w:r w:rsidR="00417850" w:rsidRPr="003A58CF">
        <w:t xml:space="preserve">National Broadband Network </w:t>
      </w:r>
      <w:r w:rsidR="005C7D19" w:rsidRPr="003A58CF">
        <w:t xml:space="preserve">rollout </w:t>
      </w:r>
      <w:r w:rsidRPr="003A58CF">
        <w:t xml:space="preserve">also has the potential to impact on the regional economy with services outside the region being </w:t>
      </w:r>
      <w:r w:rsidR="00871135" w:rsidRPr="003A58CF">
        <w:t>easier</w:t>
      </w:r>
      <w:r w:rsidR="005C7D19" w:rsidRPr="003A58CF">
        <w:t xml:space="preserve"> to access</w:t>
      </w:r>
      <w:r w:rsidRPr="003A58CF">
        <w:t xml:space="preserve">. </w:t>
      </w:r>
      <w:bookmarkStart w:id="237" w:name="OLE_LINK64"/>
      <w:bookmarkStart w:id="238" w:name="OLE_LINK65"/>
      <w:r w:rsidRPr="003A58CF">
        <w:t xml:space="preserve">Gaining an understanding of the economic and social opportunities provided by improved telecommunications and </w:t>
      </w:r>
      <w:r w:rsidR="005C7D19" w:rsidRPr="003A58CF">
        <w:t xml:space="preserve">the </w:t>
      </w:r>
      <w:r w:rsidRPr="003A58CF">
        <w:t xml:space="preserve">potential land use implications would be of benefit to the region. </w:t>
      </w:r>
    </w:p>
    <w:p w:rsidR="00135CA1" w:rsidRPr="00827D8E" w:rsidRDefault="0018666D" w:rsidP="00827D8E">
      <w:pPr>
        <w:pStyle w:val="Heading4"/>
        <w:rPr>
          <w:rStyle w:val="Strong"/>
          <w:b/>
          <w:bCs/>
        </w:rPr>
      </w:pPr>
      <w:bookmarkStart w:id="239" w:name="_Toc319660728"/>
      <w:bookmarkStart w:id="240" w:name="_Toc333305857"/>
      <w:bookmarkStart w:id="241" w:name="_Toc351459146"/>
      <w:bookmarkEnd w:id="237"/>
      <w:bookmarkEnd w:id="238"/>
      <w:r w:rsidRPr="00827D8E">
        <w:rPr>
          <w:rStyle w:val="Strong"/>
          <w:b/>
          <w:bCs/>
        </w:rPr>
        <w:t>Water supply and management</w:t>
      </w:r>
      <w:bookmarkEnd w:id="239"/>
      <w:bookmarkEnd w:id="240"/>
      <w:bookmarkEnd w:id="241"/>
    </w:p>
    <w:p w:rsidR="00DE58DB" w:rsidRPr="003A58CF" w:rsidRDefault="009E6207" w:rsidP="00854F5E">
      <w:pPr>
        <w:pStyle w:val="bt"/>
      </w:pPr>
      <w:r w:rsidRPr="003A58CF">
        <w:t xml:space="preserve">Water supply throughout the region will have a strong </w:t>
      </w:r>
      <w:r w:rsidR="005C7D19" w:rsidRPr="003A58CF">
        <w:t xml:space="preserve">bearing </w:t>
      </w:r>
      <w:r w:rsidRPr="003A58CF">
        <w:t xml:space="preserve">on the type of industries that can operate in both rural and urban areas, and on the </w:t>
      </w:r>
      <w:r w:rsidR="005C7D19" w:rsidRPr="003A58CF">
        <w:t xml:space="preserve">future </w:t>
      </w:r>
      <w:r w:rsidRPr="003A58CF">
        <w:t>sustainability of settlements. Water supply to rural areas is changing as part of water reform across the state, which should provide a more secure water future for the region for the next 30 years and beyond. Within the Loddon Mallee South region, the Goulburn</w:t>
      </w:r>
      <w:r w:rsidR="00225A51" w:rsidRPr="003A58CF">
        <w:t>-</w:t>
      </w:r>
      <w:r w:rsidRPr="003A58CF">
        <w:t xml:space="preserve">Murray Water Connections Program is a big driver of change in the north, </w:t>
      </w:r>
      <w:r w:rsidR="00BE47F8" w:rsidRPr="003A58CF">
        <w:t xml:space="preserve">while </w:t>
      </w:r>
      <w:r w:rsidRPr="003A58CF">
        <w:t>upgrades to Coliban Water’s supply network is affecting much of the rest of the region.</w:t>
      </w:r>
    </w:p>
    <w:p w:rsidR="00503EA9" w:rsidRPr="003A58CF" w:rsidRDefault="00503EA9" w:rsidP="00854F5E">
      <w:pPr>
        <w:pStyle w:val="bt"/>
      </w:pPr>
      <w:r w:rsidRPr="003A58CF">
        <w:t xml:space="preserve">Much of the southern parts of the region are within declared water supply catchments </w:t>
      </w:r>
      <w:r w:rsidR="005C7D19" w:rsidRPr="003A58CF">
        <w:t xml:space="preserve">that </w:t>
      </w:r>
      <w:r w:rsidRPr="003A58CF">
        <w:t>supply potable water to settlements within and outside the region. Protecting water quality and yield will continue to be a key role of land use planning.</w:t>
      </w:r>
    </w:p>
    <w:p w:rsidR="00DE58DB" w:rsidRPr="003A58CF" w:rsidRDefault="00503EA9" w:rsidP="00854F5E">
      <w:pPr>
        <w:pStyle w:val="bt"/>
      </w:pPr>
      <w:r w:rsidRPr="003A58CF">
        <w:t xml:space="preserve">Bulk water </w:t>
      </w:r>
      <w:r w:rsidR="009E6207" w:rsidRPr="003A58CF">
        <w:t xml:space="preserve">supply issues for the Loddon Mallee South region are being managed through </w:t>
      </w:r>
      <w:r w:rsidR="00417850" w:rsidRPr="003A58CF">
        <w:t xml:space="preserve">sustainable water strategies </w:t>
      </w:r>
      <w:r w:rsidR="009E6207" w:rsidRPr="003A58CF">
        <w:t xml:space="preserve">predominantly </w:t>
      </w:r>
      <w:r w:rsidR="005C7D19" w:rsidRPr="003A58CF">
        <w:t xml:space="preserve">through the </w:t>
      </w:r>
      <w:r w:rsidR="009E6207" w:rsidRPr="003A58CF">
        <w:t xml:space="preserve">Northern Region </w:t>
      </w:r>
      <w:r w:rsidR="00417850" w:rsidRPr="003A58CF">
        <w:t>Sustainable Water Strategy</w:t>
      </w:r>
      <w:r w:rsidR="009E6207" w:rsidRPr="003A58CF">
        <w:t xml:space="preserve">, but also the Central Region </w:t>
      </w:r>
      <w:r w:rsidR="00417850" w:rsidRPr="003A58CF">
        <w:t>Sustainable Water Strategy</w:t>
      </w:r>
      <w:r w:rsidR="009E6207" w:rsidRPr="003A58CF">
        <w:t xml:space="preserve">. </w:t>
      </w:r>
      <w:r w:rsidRPr="003A58CF">
        <w:t xml:space="preserve">The implementation of the Murray-Darling Basin Plan and The Living Victoria program will further influence the future of the region’s water supply. </w:t>
      </w:r>
      <w:r w:rsidR="005C7D19" w:rsidRPr="003A58CF">
        <w:t>W</w:t>
      </w:r>
      <w:r w:rsidRPr="003A58CF">
        <w:t xml:space="preserve">ater supply demand strategies for the urban water corporations within the region generally identify there is likely to be shortfalls in water supply across some areas at some stage during the life of this </w:t>
      </w:r>
      <w:r w:rsidR="003F429B" w:rsidRPr="003A58CF">
        <w:t>plan</w:t>
      </w:r>
      <w:r w:rsidRPr="003A58CF">
        <w:t xml:space="preserve">. </w:t>
      </w:r>
      <w:r w:rsidR="005C7D19" w:rsidRPr="003A58CF">
        <w:t>S</w:t>
      </w:r>
      <w:r w:rsidRPr="003A58CF">
        <w:t xml:space="preserve">olutions to these shortages are already proposed in the water supply demand strategies, including water demand management measures, improving supply system efficiency, the use of water savings rules, and purchasing more water. </w:t>
      </w:r>
    </w:p>
    <w:p w:rsidR="00DE58DB" w:rsidRPr="003A58CF" w:rsidRDefault="009E6207" w:rsidP="00854F5E">
      <w:pPr>
        <w:pStyle w:val="bt"/>
      </w:pPr>
      <w:bookmarkStart w:id="242" w:name="OLE_LINK62"/>
      <w:bookmarkStart w:id="243" w:name="OLE_LINK63"/>
      <w:r w:rsidRPr="003A58CF">
        <w:t>Ongoing investments in water infrastructure and management of water resources are required to enhance security and efficiency of water supply to irrigators, farms and urban areas.</w:t>
      </w:r>
      <w:bookmarkEnd w:id="242"/>
      <w:bookmarkEnd w:id="243"/>
      <w:r w:rsidRPr="003A58CF">
        <w:t xml:space="preserve"> This is particularly important in light of </w:t>
      </w:r>
      <w:r w:rsidR="00015E35" w:rsidRPr="003A58CF">
        <w:t xml:space="preserve">the region’s </w:t>
      </w:r>
      <w:r w:rsidRPr="003A58CF">
        <w:t>expected population growth, projected water supply reductions due to climate change</w:t>
      </w:r>
      <w:r w:rsidR="009F7E57" w:rsidRPr="003A58CF">
        <w:t>,</w:t>
      </w:r>
      <w:r w:rsidRPr="003A58CF">
        <w:t xml:space="preserve"> and changes in water allocation policy. </w:t>
      </w:r>
      <w:r w:rsidR="00503EA9" w:rsidRPr="003A58CF">
        <w:t xml:space="preserve">The future </w:t>
      </w:r>
      <w:r w:rsidR="00417850" w:rsidRPr="003A58CF">
        <w:t xml:space="preserve">integrated water cycle strategies </w:t>
      </w:r>
      <w:r w:rsidR="00503EA9" w:rsidRPr="003A58CF">
        <w:t xml:space="preserve">of urban water corporations to replace water supply demand strategies will need to take into account the growth proposed in this </w:t>
      </w:r>
      <w:r w:rsidR="003F429B" w:rsidRPr="003A58CF">
        <w:t>plan</w:t>
      </w:r>
      <w:r w:rsidR="00503EA9" w:rsidRPr="003A58CF">
        <w:t>.</w:t>
      </w:r>
    </w:p>
    <w:p w:rsidR="00DE58DB" w:rsidRPr="003A58CF" w:rsidRDefault="009E6207" w:rsidP="00854F5E">
      <w:pPr>
        <w:pStyle w:val="bt"/>
      </w:pPr>
      <w:r w:rsidRPr="003A58CF">
        <w:t xml:space="preserve">In response to the prolonged drought </w:t>
      </w:r>
      <w:r w:rsidR="009F7E57" w:rsidRPr="003A58CF">
        <w:t xml:space="preserve">in Victoria, </w:t>
      </w:r>
      <w:r w:rsidRPr="003A58CF">
        <w:t xml:space="preserve">significant investments in infrastructure </w:t>
      </w:r>
      <w:r w:rsidR="009F7E57" w:rsidRPr="003A58CF">
        <w:t xml:space="preserve">have </w:t>
      </w:r>
      <w:r w:rsidR="00503EA9" w:rsidRPr="003A58CF">
        <w:t xml:space="preserve">already </w:t>
      </w:r>
      <w:r w:rsidRPr="003A58CF">
        <w:t xml:space="preserve">occurred. With the Goldfields Superpipe, Coliban Water and Central Highlands Water can now access water from both the Campaspe system and the much larger Goulburn system. Coliban Water and Central Highlands Water both hold </w:t>
      </w:r>
      <w:r w:rsidR="007E5DCA" w:rsidRPr="003A58CF">
        <w:t>water shares</w:t>
      </w:r>
      <w:r w:rsidRPr="003A58CF">
        <w:t xml:space="preserve"> in these systems and can also access the water market to purchase additional temporary and permanent water to supplement any shortfalls. </w:t>
      </w:r>
    </w:p>
    <w:p w:rsidR="00DE58DB" w:rsidRPr="003A58CF" w:rsidRDefault="009E6207" w:rsidP="00854F5E">
      <w:pPr>
        <w:pStyle w:val="bt"/>
      </w:pPr>
      <w:r w:rsidRPr="003A58CF">
        <w:lastRenderedPageBreak/>
        <w:t>This infrastructure</w:t>
      </w:r>
      <w:r w:rsidR="009F7E57" w:rsidRPr="003A58CF">
        <w:t>,</w:t>
      </w:r>
      <w:r w:rsidRPr="003A58CF">
        <w:t xml:space="preserve"> combined with Coliban Water’s strategies, seek to manage secure water supplies to accommodate future growth in the region, and </w:t>
      </w:r>
      <w:r w:rsidR="00004A9F" w:rsidRPr="003A58CF">
        <w:t xml:space="preserve">have </w:t>
      </w:r>
      <w:r w:rsidRPr="003A58CF">
        <w:t xml:space="preserve">measures to respond to severe drought or water shortages. </w:t>
      </w:r>
      <w:r w:rsidR="009F7E57" w:rsidRPr="003A58CF">
        <w:t>Refer to</w:t>
      </w:r>
      <w:r w:rsidRPr="003A58CF">
        <w:t xml:space="preserve"> the </w:t>
      </w:r>
      <w:r w:rsidR="00417850" w:rsidRPr="003A58CF">
        <w:t xml:space="preserve">background report </w:t>
      </w:r>
      <w:r w:rsidRPr="003A58CF">
        <w:t xml:space="preserve">for specific projects and further detail on delivery of water to urban areas. </w:t>
      </w:r>
    </w:p>
    <w:p w:rsidR="00135CA1" w:rsidRPr="00827D8E" w:rsidRDefault="0018666D" w:rsidP="00827D8E">
      <w:pPr>
        <w:pStyle w:val="Heading4"/>
        <w:rPr>
          <w:rStyle w:val="Strong"/>
          <w:b/>
          <w:bCs/>
        </w:rPr>
      </w:pPr>
      <w:bookmarkStart w:id="244" w:name="_Toc319660729"/>
      <w:bookmarkStart w:id="245" w:name="_Toc333305858"/>
      <w:bookmarkStart w:id="246" w:name="_Toc351459147"/>
      <w:r w:rsidRPr="00827D8E">
        <w:rPr>
          <w:rStyle w:val="Strong"/>
          <w:b/>
          <w:bCs/>
        </w:rPr>
        <w:t>Recycled water</w:t>
      </w:r>
      <w:bookmarkEnd w:id="244"/>
      <w:bookmarkEnd w:id="245"/>
      <w:bookmarkEnd w:id="246"/>
    </w:p>
    <w:p w:rsidR="007872E2" w:rsidRPr="003A58CF" w:rsidRDefault="009E6207" w:rsidP="00854F5E">
      <w:pPr>
        <w:pStyle w:val="bt"/>
      </w:pPr>
      <w:r w:rsidRPr="003A58CF">
        <w:t>Recycled water is now an important part of our water supply. Recycled water is used in a number of towns to irrigate public areas such as parks, golf courses and race tracks. The use of recycled water will be further investigated to promote economic development in the region</w:t>
      </w:r>
      <w:r w:rsidR="009F7E57" w:rsidRPr="003A58CF">
        <w:t>,</w:t>
      </w:r>
      <w:r w:rsidRPr="003A58CF">
        <w:t xml:space="preserve"> where feasible. </w:t>
      </w:r>
    </w:p>
    <w:p w:rsidR="00DE58DB" w:rsidRPr="003A58CF" w:rsidRDefault="009F7E57" w:rsidP="00854F5E">
      <w:pPr>
        <w:pStyle w:val="bt"/>
      </w:pPr>
      <w:r w:rsidRPr="003A58CF">
        <w:t xml:space="preserve">A number of </w:t>
      </w:r>
      <w:r w:rsidR="009E6207" w:rsidRPr="003A58CF">
        <w:t xml:space="preserve">new housing areas </w:t>
      </w:r>
      <w:r w:rsidRPr="003A58CF">
        <w:t>in</w:t>
      </w:r>
      <w:r w:rsidR="009E6207" w:rsidRPr="003A58CF">
        <w:t xml:space="preserve"> Bendigo are supplied with recycled water. The use of recycled water will be delivered in new growth areas </w:t>
      </w:r>
      <w:bookmarkStart w:id="247" w:name="_Toc319660730"/>
      <w:r w:rsidR="009E6207" w:rsidRPr="003A58CF">
        <w:t xml:space="preserve">that are able to be supplied with this service in a sustainable manner. </w:t>
      </w:r>
    </w:p>
    <w:p w:rsidR="00135CA1" w:rsidRPr="00827D8E" w:rsidRDefault="0018666D" w:rsidP="00827D8E">
      <w:pPr>
        <w:pStyle w:val="Heading4"/>
        <w:rPr>
          <w:rStyle w:val="Strong"/>
          <w:b/>
          <w:bCs/>
        </w:rPr>
      </w:pPr>
      <w:bookmarkStart w:id="248" w:name="_Toc333305859"/>
      <w:bookmarkStart w:id="249" w:name="_Toc351459148"/>
      <w:r w:rsidRPr="00827D8E">
        <w:rPr>
          <w:rStyle w:val="Strong"/>
          <w:b/>
          <w:bCs/>
        </w:rPr>
        <w:t>Sewerage</w:t>
      </w:r>
      <w:bookmarkEnd w:id="248"/>
      <w:bookmarkEnd w:id="249"/>
    </w:p>
    <w:p w:rsidR="00DE58DB" w:rsidRPr="003A58CF" w:rsidRDefault="009E6207" w:rsidP="00854F5E">
      <w:pPr>
        <w:pStyle w:val="bt"/>
      </w:pPr>
      <w:r w:rsidRPr="003A58CF">
        <w:t>The provision of sewer</w:t>
      </w:r>
      <w:r w:rsidR="00A72A99" w:rsidRPr="003A58CF">
        <w:t>age services</w:t>
      </w:r>
      <w:r w:rsidRPr="003A58CF">
        <w:t xml:space="preserve"> to small towns can increase the capacity for growth</w:t>
      </w:r>
      <w:r w:rsidR="00004A9F" w:rsidRPr="003A58CF">
        <w:t>,</w:t>
      </w:r>
      <w:r w:rsidRPr="003A58CF">
        <w:t xml:space="preserve"> but is not the sole stimulus. Coliban Water provides sewerage services within the region</w:t>
      </w:r>
      <w:r w:rsidR="00A72A99" w:rsidRPr="003A58CF">
        <w:t>,</w:t>
      </w:r>
      <w:r w:rsidRPr="003A58CF">
        <w:t xml:space="preserve"> with some towns planned for upgrades </w:t>
      </w:r>
      <w:r w:rsidR="00004A9F" w:rsidRPr="003A58CF">
        <w:t xml:space="preserve">while </w:t>
      </w:r>
      <w:r w:rsidRPr="003A58CF">
        <w:t xml:space="preserve">others are under investigation. Investigations for the sewering of Talbot and Newbridge </w:t>
      </w:r>
      <w:r w:rsidR="00A72A99" w:rsidRPr="003A58CF">
        <w:t xml:space="preserve">should be considered </w:t>
      </w:r>
      <w:r w:rsidRPr="003A58CF">
        <w:t>in the medium</w:t>
      </w:r>
      <w:r w:rsidR="00DC716F">
        <w:t>-</w:t>
      </w:r>
      <w:r w:rsidRPr="003A58CF">
        <w:t xml:space="preserve"> to longer</w:t>
      </w:r>
      <w:r w:rsidR="00DC716F">
        <w:t>-</w:t>
      </w:r>
      <w:r w:rsidRPr="003A58CF">
        <w:t xml:space="preserve">term to support growth. </w:t>
      </w:r>
    </w:p>
    <w:p w:rsidR="00380301" w:rsidRPr="003A58CF" w:rsidRDefault="00A72A99" w:rsidP="00854F5E">
      <w:pPr>
        <w:pStyle w:val="bt"/>
      </w:pPr>
      <w:r w:rsidRPr="003A58CF">
        <w:t>S</w:t>
      </w:r>
      <w:r w:rsidR="009E6207" w:rsidRPr="003A58CF">
        <w:t xml:space="preserve">ewerage service providers </w:t>
      </w:r>
      <w:r w:rsidRPr="003A58CF">
        <w:t xml:space="preserve">should be consulted </w:t>
      </w:r>
      <w:r w:rsidR="009E6207" w:rsidRPr="003A58CF">
        <w:t xml:space="preserve">in the development </w:t>
      </w:r>
      <w:r w:rsidRPr="003A58CF">
        <w:t xml:space="preserve">of </w:t>
      </w:r>
      <w:r w:rsidR="00DC716F">
        <w:t>d</w:t>
      </w:r>
      <w:r w:rsidR="00DC716F" w:rsidRPr="003A58CF">
        <w:t xml:space="preserve">omestic </w:t>
      </w:r>
      <w:r w:rsidR="00DC716F">
        <w:t>w</w:t>
      </w:r>
      <w:r w:rsidR="00DC716F" w:rsidRPr="003A58CF">
        <w:t xml:space="preserve">astewater </w:t>
      </w:r>
      <w:r w:rsidR="00DC716F">
        <w:t>m</w:t>
      </w:r>
      <w:r w:rsidR="00DC716F" w:rsidRPr="003A58CF">
        <w:t xml:space="preserve">anagement </w:t>
      </w:r>
      <w:r w:rsidR="00DC716F">
        <w:t>p</w:t>
      </w:r>
      <w:r w:rsidR="00DC716F" w:rsidRPr="003A58CF">
        <w:t>lans</w:t>
      </w:r>
      <w:r w:rsidR="009E6207" w:rsidRPr="003A58CF">
        <w:t xml:space="preserve">. </w:t>
      </w:r>
    </w:p>
    <w:p w:rsidR="00135CA1" w:rsidRPr="00827D8E" w:rsidRDefault="0018666D" w:rsidP="00827D8E">
      <w:pPr>
        <w:pStyle w:val="Heading4"/>
        <w:rPr>
          <w:rStyle w:val="Strong"/>
          <w:b/>
          <w:bCs/>
        </w:rPr>
      </w:pPr>
      <w:bookmarkStart w:id="250" w:name="_Toc333305860"/>
      <w:bookmarkStart w:id="251" w:name="_Toc351459149"/>
      <w:r w:rsidRPr="00827D8E">
        <w:rPr>
          <w:rStyle w:val="Strong"/>
          <w:b/>
          <w:bCs/>
        </w:rPr>
        <w:t>Waste management</w:t>
      </w:r>
      <w:bookmarkEnd w:id="247"/>
      <w:bookmarkEnd w:id="250"/>
      <w:bookmarkEnd w:id="251"/>
      <w:r w:rsidRPr="00827D8E">
        <w:rPr>
          <w:rStyle w:val="Strong"/>
          <w:b/>
          <w:bCs/>
        </w:rPr>
        <w:t xml:space="preserve"> </w:t>
      </w:r>
    </w:p>
    <w:p w:rsidR="00DE58DB" w:rsidRPr="003A58CF" w:rsidRDefault="00DC716F" w:rsidP="00854F5E">
      <w:pPr>
        <w:pStyle w:val="bt"/>
      </w:pPr>
      <w:r>
        <w:t>Much of</w:t>
      </w:r>
      <w:r w:rsidRPr="003A58CF">
        <w:t xml:space="preserve"> </w:t>
      </w:r>
      <w:r w:rsidR="009E6207" w:rsidRPr="003A58CF">
        <w:t xml:space="preserve">the </w:t>
      </w:r>
      <w:r w:rsidR="00A72A99" w:rsidRPr="003A58CF">
        <w:t xml:space="preserve">Loddon Mallee South </w:t>
      </w:r>
      <w:r w:rsidR="009E6207" w:rsidRPr="003A58CF">
        <w:t>region relies on the Bendigo Waste Transfer Station</w:t>
      </w:r>
      <w:r>
        <w:t xml:space="preserve"> for the management of waste</w:t>
      </w:r>
      <w:r w:rsidR="009E6207" w:rsidRPr="003A58CF">
        <w:t xml:space="preserve">, with towns having smaller local facilities, many of which are reaching capacity. </w:t>
      </w:r>
      <w:r w:rsidR="00A72A99" w:rsidRPr="003A58CF">
        <w:t>F</w:t>
      </w:r>
      <w:r w:rsidR="009E6207" w:rsidRPr="003A58CF">
        <w:t xml:space="preserve">uture management of waste disposal and recycling in the region needs to be planned. </w:t>
      </w:r>
    </w:p>
    <w:p w:rsidR="00503EA9" w:rsidRPr="003A58CF" w:rsidRDefault="00503EA9" w:rsidP="00854F5E">
      <w:pPr>
        <w:pStyle w:val="bt"/>
      </w:pPr>
      <w:r w:rsidRPr="003A58CF">
        <w:t xml:space="preserve">As the region’s population and industry grows, there will be an increased demand for waste and resource recovery management. This </w:t>
      </w:r>
      <w:r w:rsidR="00CB3068" w:rsidRPr="003A58CF">
        <w:t xml:space="preserve">will </w:t>
      </w:r>
      <w:r w:rsidRPr="003A58CF">
        <w:t>create a challenge for securing land for future waste management facilities</w:t>
      </w:r>
      <w:r w:rsidR="00AD226E" w:rsidRPr="003A58CF">
        <w:t>,</w:t>
      </w:r>
      <w:r w:rsidRPr="003A58CF">
        <w:t xml:space="preserve"> including for sorting and processing, recycling, composting and reprocessing, export, reuse and disposal of waste. Suitable locations for such facilities need to be planned for to avoid impacts on more sensitive land uses.</w:t>
      </w:r>
    </w:p>
    <w:p w:rsidR="00503EA9" w:rsidRPr="003A58CF" w:rsidRDefault="00503EA9" w:rsidP="00854F5E">
      <w:pPr>
        <w:pStyle w:val="bt"/>
      </w:pPr>
      <w:r w:rsidRPr="003A58CF">
        <w:t>Any opportunities to generate new industries in this field</w:t>
      </w:r>
      <w:r w:rsidR="00DC716F">
        <w:t xml:space="preserve"> </w:t>
      </w:r>
      <w:r w:rsidRPr="003A58CF">
        <w:t>and to generate energy from waste</w:t>
      </w:r>
      <w:r w:rsidR="00DC716F">
        <w:t xml:space="preserve"> (</w:t>
      </w:r>
      <w:r w:rsidRPr="003A58CF">
        <w:t>including inactive landfills</w:t>
      </w:r>
      <w:r w:rsidR="00DC716F">
        <w:t>)</w:t>
      </w:r>
      <w:r w:rsidRPr="003A58CF">
        <w:t xml:space="preserve"> should be explored and supported</w:t>
      </w:r>
      <w:r w:rsidR="00DC716F">
        <w:t>,</w:t>
      </w:r>
      <w:r w:rsidR="007C32A8" w:rsidRPr="003A58CF">
        <w:t xml:space="preserve"> where costs and benefits consider environmental, economic and social factors</w:t>
      </w:r>
      <w:r w:rsidRPr="003A58CF">
        <w:t>.</w:t>
      </w:r>
    </w:p>
    <w:p w:rsidR="00DE58DB" w:rsidRPr="003A58CF" w:rsidRDefault="009E6207" w:rsidP="00854F5E">
      <w:pPr>
        <w:pStyle w:val="bt"/>
      </w:pPr>
      <w:r w:rsidRPr="003A58CF">
        <w:t xml:space="preserve">Innovative waste disposal and recycling technologies are encouraged. Locations for investigation </w:t>
      </w:r>
      <w:r w:rsidR="00CB3068" w:rsidRPr="003A58CF">
        <w:t>of</w:t>
      </w:r>
      <w:r w:rsidRPr="003A58CF">
        <w:t xml:space="preserve"> new waste disposal and recycling plants include north </w:t>
      </w:r>
      <w:r w:rsidR="00DC21C8" w:rsidRPr="003A58CF">
        <w:t xml:space="preserve">of </w:t>
      </w:r>
      <w:r w:rsidRPr="003A58CF">
        <w:t xml:space="preserve">Bendigo and along the Calder </w:t>
      </w:r>
      <w:r w:rsidR="00CB3068" w:rsidRPr="003A58CF">
        <w:t xml:space="preserve">Highway </w:t>
      </w:r>
      <w:r w:rsidRPr="003A58CF">
        <w:t xml:space="preserve">between Bendigo and Wedderburn. </w:t>
      </w:r>
    </w:p>
    <w:p w:rsidR="00135CA1" w:rsidRPr="00B9098E" w:rsidRDefault="009E6207" w:rsidP="00827D8E">
      <w:pPr>
        <w:pStyle w:val="Heading4"/>
        <w:rPr>
          <w:rStyle w:val="Strong"/>
          <w:b/>
          <w:bCs/>
        </w:rPr>
      </w:pPr>
      <w:r w:rsidRPr="00B9098E">
        <w:rPr>
          <w:rStyle w:val="Strong"/>
          <w:b/>
          <w:bCs/>
        </w:rPr>
        <w:t>F</w:t>
      </w:r>
      <w:r w:rsidR="0043085B" w:rsidRPr="00B9098E">
        <w:rPr>
          <w:rStyle w:val="Strong"/>
          <w:b/>
          <w:bCs/>
        </w:rPr>
        <w:t>uture waste, water and utilities land use actions</w:t>
      </w:r>
    </w:p>
    <w:p w:rsidR="00135CA1" w:rsidRPr="003A58CF" w:rsidRDefault="009E6207" w:rsidP="00FA699A">
      <w:pPr>
        <w:pStyle w:val="btbullet"/>
      </w:pPr>
      <w:r w:rsidRPr="003A58CF">
        <w:t xml:space="preserve">Agree </w:t>
      </w:r>
      <w:r w:rsidR="00CB3068" w:rsidRPr="003A58CF">
        <w:t xml:space="preserve">on </w:t>
      </w:r>
      <w:r w:rsidRPr="003A58CF">
        <w:t>a target for regional energy generation</w:t>
      </w:r>
    </w:p>
    <w:p w:rsidR="00135CA1" w:rsidRPr="003A58CF" w:rsidRDefault="009E6207" w:rsidP="00FA699A">
      <w:pPr>
        <w:pStyle w:val="btbullet"/>
      </w:pPr>
      <w:r w:rsidRPr="003A58CF">
        <w:t>Support the provision of facilities that efficiently manage the region’s solid waste</w:t>
      </w:r>
    </w:p>
    <w:p w:rsidR="00135CA1" w:rsidRPr="003A58CF" w:rsidRDefault="009E6207" w:rsidP="00FA699A">
      <w:pPr>
        <w:pStyle w:val="btbullet"/>
      </w:pPr>
      <w:r w:rsidRPr="003A58CF">
        <w:t>Initiate a study to gain an understanding of the economic and social opportunities provided by improved telecommunications</w:t>
      </w:r>
      <w:r w:rsidR="00CB3068" w:rsidRPr="003A58CF">
        <w:t>,</w:t>
      </w:r>
      <w:r w:rsidRPr="003A58CF">
        <w:t xml:space="preserve"> and </w:t>
      </w:r>
      <w:r w:rsidR="00CB3068" w:rsidRPr="003A58CF">
        <w:t xml:space="preserve">the </w:t>
      </w:r>
      <w:r w:rsidRPr="003A58CF">
        <w:t>potential land use implications</w:t>
      </w:r>
    </w:p>
    <w:p w:rsidR="00135CA1" w:rsidRPr="003A58CF" w:rsidRDefault="009E6207" w:rsidP="00FA699A">
      <w:pPr>
        <w:pStyle w:val="btbullet"/>
      </w:pPr>
      <w:r w:rsidRPr="003A58CF">
        <w:t>Support investigation of sewering for townships including Talbot and Newbridge</w:t>
      </w:r>
    </w:p>
    <w:p w:rsidR="00135CA1" w:rsidRPr="003A58CF" w:rsidRDefault="009E6207" w:rsidP="00FA699A">
      <w:pPr>
        <w:pStyle w:val="btbullet"/>
      </w:pPr>
      <w:r w:rsidRPr="003A58CF">
        <w:lastRenderedPageBreak/>
        <w:t>Support ongoing investment in water infrastructure and management of water resources to enhance security and efficiency of water supply to irrigators, farms and urban areas</w:t>
      </w:r>
    </w:p>
    <w:p w:rsidR="008872AE" w:rsidRPr="00482349" w:rsidRDefault="001B38F0" w:rsidP="00482349">
      <w:pPr>
        <w:pStyle w:val="bt"/>
      </w:pPr>
      <w:bookmarkStart w:id="252" w:name="_Ref352070177"/>
      <w:bookmarkStart w:id="253" w:name="OLE_LINK46"/>
      <w:bookmarkStart w:id="254" w:name="OLE_LINK47"/>
      <w:bookmarkStart w:id="255" w:name="_Toc373757235"/>
      <w:r w:rsidRPr="00482349">
        <w:t xml:space="preserve">Map </w:t>
      </w:r>
      <w:bookmarkEnd w:id="252"/>
      <w:r w:rsidR="00993A78">
        <w:t xml:space="preserve">15 </w:t>
      </w:r>
      <w:r w:rsidR="00482349" w:rsidRPr="00482349">
        <w:t>is located here in the document and it shows -</w:t>
      </w:r>
      <w:r w:rsidR="009E00F0" w:rsidRPr="00482349">
        <w:t xml:space="preserve"> </w:t>
      </w:r>
      <w:r w:rsidRPr="00482349">
        <w:t>Future infrastructure directions</w:t>
      </w:r>
      <w:bookmarkEnd w:id="253"/>
      <w:bookmarkEnd w:id="254"/>
      <w:bookmarkEnd w:id="255"/>
    </w:p>
    <w:p w:rsidR="00721E70" w:rsidRPr="003A58CF" w:rsidRDefault="006D46EA" w:rsidP="009F08CB">
      <w:pPr>
        <w:pStyle w:val="Heading2"/>
      </w:pPr>
      <w:bookmarkStart w:id="256" w:name="_Toc377026349"/>
      <w:r w:rsidRPr="003A58CF">
        <w:t>Transport networks</w:t>
      </w:r>
      <w:bookmarkEnd w:id="256"/>
    </w:p>
    <w:bookmarkEnd w:id="232"/>
    <w:p w:rsidR="00135CA1" w:rsidRPr="003A58CF" w:rsidRDefault="0018666D" w:rsidP="00854F5E">
      <w:pPr>
        <w:pStyle w:val="bt"/>
      </w:pPr>
      <w:r w:rsidRPr="003A58CF">
        <w:t>The transport system is a facilitator of economic and social activities. Local transport and internal town and city activities are addressed in municipal and local plans. Optimising urban design and place-based outcomes enables improved integration with land use. Region</w:t>
      </w:r>
      <w:r w:rsidR="00D763CF" w:rsidRPr="003A58CF">
        <w:t>-</w:t>
      </w:r>
      <w:r w:rsidRPr="003A58CF">
        <w:t xml:space="preserve">wide and inter-regional transport systems and infrastructure are considered as part of this </w:t>
      </w:r>
      <w:r w:rsidR="003F429B" w:rsidRPr="003A58CF">
        <w:t>plan</w:t>
      </w:r>
      <w:r w:rsidRPr="003A58CF">
        <w:t xml:space="preserve">. </w:t>
      </w:r>
    </w:p>
    <w:p w:rsidR="00135CA1" w:rsidRPr="003A58CF" w:rsidRDefault="0018666D" w:rsidP="00854F5E">
      <w:pPr>
        <w:pStyle w:val="bt"/>
      </w:pPr>
      <w:r w:rsidRPr="003A58CF">
        <w:t xml:space="preserve">Strategically significant transport routes traverse this </w:t>
      </w:r>
      <w:r w:rsidR="00AD226E" w:rsidRPr="003A58CF">
        <w:t>sub-</w:t>
      </w:r>
      <w:r w:rsidRPr="003A58CF">
        <w:t xml:space="preserve">region. The Loddon Mallee South regional economy is supported by an efficient freight transport network. The Calder road and rail corridor </w:t>
      </w:r>
      <w:r w:rsidR="00DC21C8" w:rsidRPr="003A58CF">
        <w:t xml:space="preserve">is </w:t>
      </w:r>
      <w:r w:rsidRPr="003A58CF">
        <w:t xml:space="preserve">well utilised and </w:t>
      </w:r>
      <w:r w:rsidR="00DC21C8" w:rsidRPr="003A58CF">
        <w:t xml:space="preserve">has </w:t>
      </w:r>
      <w:r w:rsidRPr="003A58CF">
        <w:t xml:space="preserve">supported growth and increased movement between settlements and economic centres. </w:t>
      </w:r>
      <w:r w:rsidR="00BB23BF" w:rsidRPr="003A58CF">
        <w:t>The Calder Freeway between Melbourne and Bendigo is also a designated route for high productivity freight vehicles. This allows larger vehicles to more efficiently transport goods.</w:t>
      </w:r>
    </w:p>
    <w:p w:rsidR="00135CA1" w:rsidRPr="003A58CF" w:rsidRDefault="0018666D" w:rsidP="00854F5E">
      <w:pPr>
        <w:pStyle w:val="bt"/>
      </w:pPr>
      <w:r w:rsidRPr="003A58CF">
        <w:t xml:space="preserve">Freight networks that traverse the region enable movement of goods throughout northern Victoria and southern </w:t>
      </w:r>
      <w:r w:rsidR="00A07102" w:rsidRPr="003A58CF">
        <w:t xml:space="preserve">New South Wales </w:t>
      </w:r>
      <w:r w:rsidRPr="003A58CF">
        <w:t xml:space="preserve">through to ports and activity centres in Melbourne and southern Victoria. Protecting these important freight corridors, taking into account future transport needs, and integrating with land use planning will lead to continued prosperity. </w:t>
      </w:r>
    </w:p>
    <w:p w:rsidR="00135CA1" w:rsidRPr="003A58CF" w:rsidRDefault="0018666D" w:rsidP="00854F5E">
      <w:pPr>
        <w:pStyle w:val="bt"/>
      </w:pPr>
      <w:r w:rsidRPr="003A58CF">
        <w:t xml:space="preserve">This </w:t>
      </w:r>
      <w:r w:rsidR="003F429B" w:rsidRPr="003A58CF">
        <w:t>plan</w:t>
      </w:r>
      <w:r w:rsidRPr="003A58CF">
        <w:t xml:space="preserve"> acknowledges the importance of the Calder transport corridor and key freight transport networks through appropriate land use planning responses, including reserves and buffers.</w:t>
      </w:r>
    </w:p>
    <w:p w:rsidR="00135CA1" w:rsidRPr="003A58CF" w:rsidRDefault="0018666D" w:rsidP="00854F5E">
      <w:pPr>
        <w:pStyle w:val="bt"/>
      </w:pPr>
      <w:r w:rsidRPr="003A58CF">
        <w:t>The region will experience strong population growth over the next 30 years</w:t>
      </w:r>
      <w:r w:rsidR="00DC716F">
        <w:t xml:space="preserve"> with m</w:t>
      </w:r>
      <w:r w:rsidRPr="003A58CF">
        <w:t>ost of this growth directed to the regional city of Bendigo</w:t>
      </w:r>
      <w:r w:rsidR="00DC716F">
        <w:t>. Strong g</w:t>
      </w:r>
      <w:r w:rsidRPr="003A58CF">
        <w:t xml:space="preserve">rowth </w:t>
      </w:r>
      <w:r w:rsidR="00DC716F">
        <w:t xml:space="preserve">is </w:t>
      </w:r>
      <w:r w:rsidRPr="003A58CF">
        <w:t xml:space="preserve">also planned </w:t>
      </w:r>
      <w:r w:rsidR="00DC716F">
        <w:t>for Maryborough, Castlemaine,</w:t>
      </w:r>
      <w:r w:rsidR="00DC716F" w:rsidRPr="003A58CF">
        <w:t xml:space="preserve"> </w:t>
      </w:r>
      <w:r w:rsidRPr="003A58CF">
        <w:t>Gisborne</w:t>
      </w:r>
      <w:r w:rsidR="00DC716F">
        <w:t xml:space="preserve"> and</w:t>
      </w:r>
      <w:r w:rsidRPr="003A58CF">
        <w:t xml:space="preserve"> Kyneton. To support sustainable growth, land use planning is undertaken alongside transport planning to increase opportunities for choice in transport modes. This </w:t>
      </w:r>
      <w:r w:rsidR="003F429B" w:rsidRPr="003A58CF">
        <w:t>plan</w:t>
      </w:r>
      <w:r w:rsidRPr="003A58CF">
        <w:t xml:space="preserve"> directs growth to appropriate locations that better enable sustainable transport choices.</w:t>
      </w:r>
    </w:p>
    <w:p w:rsidR="00135CA1" w:rsidRPr="003A58CF" w:rsidRDefault="0018666D" w:rsidP="00854F5E">
      <w:pPr>
        <w:pStyle w:val="bt"/>
      </w:pPr>
      <w:r w:rsidRPr="003A58CF">
        <w:t xml:space="preserve">The transport network is a critical facilitator of regional growth. Strategic decisions regarding growth will need to be aware of transport constraints and opportunities. In developing this </w:t>
      </w:r>
      <w:r w:rsidR="003F429B" w:rsidRPr="003A58CF">
        <w:t>plan</w:t>
      </w:r>
      <w:r w:rsidRPr="003A58CF">
        <w:t xml:space="preserve"> it will be important to maximise sustainable transport options. Urban land use planning supports sustainable transport choices by directing growth to key activities that enable cycling and walking</w:t>
      </w:r>
      <w:r w:rsidR="00BE12DC" w:rsidRPr="003A58CF">
        <w:t xml:space="preserve">, such as </w:t>
      </w:r>
      <w:r w:rsidRPr="003A58CF">
        <w:t>education, employment</w:t>
      </w:r>
      <w:r w:rsidR="00AD226E" w:rsidRPr="003A58CF">
        <w:t xml:space="preserve"> and </w:t>
      </w:r>
      <w:r w:rsidRPr="003A58CF">
        <w:t>retail</w:t>
      </w:r>
      <w:r w:rsidR="00BE12DC" w:rsidRPr="003A58CF">
        <w:t>ing</w:t>
      </w:r>
      <w:r w:rsidRPr="003A58CF">
        <w:t>, and by encouraging increased urban density to support efficient public transport networks.</w:t>
      </w:r>
    </w:p>
    <w:p w:rsidR="00FD633C" w:rsidRPr="003A58CF" w:rsidRDefault="0018666D" w:rsidP="00854F5E">
      <w:pPr>
        <w:pStyle w:val="bt"/>
      </w:pPr>
      <w:r w:rsidRPr="003A58CF">
        <w:t xml:space="preserve">Bendigo is currently experiencing substantial infrastructure investment, including upgrades to health, education and arts facilities. These facilities and services are of benefit to the wider region. Therefore, accessibility to Bendigo from outlying townships and centres is essential. This </w:t>
      </w:r>
      <w:r w:rsidR="003F429B" w:rsidRPr="003A58CF">
        <w:t>plan</w:t>
      </w:r>
      <w:r w:rsidRPr="003A58CF">
        <w:t xml:space="preserve"> takes into account the anticipated increased movement into and around Bendigo by land use planning that supports transport mode choices and creates more equitable access to goods and services.</w:t>
      </w:r>
    </w:p>
    <w:p w:rsidR="00135CA1" w:rsidRPr="009F08CB" w:rsidRDefault="000952D4" w:rsidP="009F08CB">
      <w:pPr>
        <w:pStyle w:val="Heading4"/>
        <w:rPr>
          <w:rStyle w:val="Strong"/>
          <w:b/>
          <w:bCs/>
        </w:rPr>
      </w:pPr>
      <w:bookmarkStart w:id="257" w:name="_Toc333305852"/>
      <w:r w:rsidRPr="009F08CB">
        <w:rPr>
          <w:rStyle w:val="Strong"/>
          <w:b/>
          <w:bCs/>
        </w:rPr>
        <w:t>Future directions</w:t>
      </w:r>
      <w:r w:rsidR="00150D9B" w:rsidRPr="009F08CB">
        <w:rPr>
          <w:rStyle w:val="Strong"/>
          <w:b/>
          <w:bCs/>
        </w:rPr>
        <w:t xml:space="preserve"> transport</w:t>
      </w:r>
    </w:p>
    <w:p w:rsidR="00135CA1" w:rsidRPr="003A58CF" w:rsidRDefault="0018666D" w:rsidP="00A82A4D">
      <w:pPr>
        <w:pStyle w:val="btbullet"/>
      </w:pPr>
      <w:r w:rsidRPr="003A58CF">
        <w:t>Strategically renew, maintain and develop transport infrastructure to maximise opportunities to meet anticipated need</w:t>
      </w:r>
    </w:p>
    <w:p w:rsidR="003674FF" w:rsidRPr="003A58CF" w:rsidRDefault="003674FF" w:rsidP="00A82A4D">
      <w:pPr>
        <w:pStyle w:val="btbullet"/>
        <w:rPr>
          <w:lang w:eastAsia="en-US"/>
        </w:rPr>
      </w:pPr>
      <w:r w:rsidRPr="003A58CF">
        <w:rPr>
          <w:lang w:eastAsia="en-US"/>
        </w:rPr>
        <w:t>Ensure that the current and future operation of major infrastructure of state and regional significance</w:t>
      </w:r>
      <w:r w:rsidR="009334CD" w:rsidRPr="003A58CF">
        <w:rPr>
          <w:lang w:eastAsia="en-US"/>
        </w:rPr>
        <w:t xml:space="preserve">, </w:t>
      </w:r>
      <w:r w:rsidRPr="003A58CF">
        <w:rPr>
          <w:lang w:eastAsia="en-US"/>
        </w:rPr>
        <w:t>including highways, railways, airports, communications networks and energy gener</w:t>
      </w:r>
      <w:r w:rsidR="009334CD" w:rsidRPr="003A58CF">
        <w:rPr>
          <w:lang w:eastAsia="en-US"/>
        </w:rPr>
        <w:t>ation and distribution systems,</w:t>
      </w:r>
      <w:r w:rsidRPr="003A58CF">
        <w:rPr>
          <w:lang w:eastAsia="en-US"/>
        </w:rPr>
        <w:t xml:space="preserve"> is not adversely affected by urban development in adjacent areas</w:t>
      </w:r>
    </w:p>
    <w:p w:rsidR="00DE28E2" w:rsidRPr="003A58CF" w:rsidRDefault="006F6174" w:rsidP="00A82A4D">
      <w:pPr>
        <w:pStyle w:val="btbullet"/>
      </w:pPr>
      <w:r w:rsidRPr="003A58CF">
        <w:lastRenderedPageBreak/>
        <w:t>Strategically direct growth to locations with good existing infrastructure and infrastructure with the capacity for enhancement</w:t>
      </w:r>
    </w:p>
    <w:p w:rsidR="00135CA1" w:rsidRPr="003A58CF" w:rsidRDefault="00AB3678" w:rsidP="00854F5E">
      <w:pPr>
        <w:pStyle w:val="bt"/>
      </w:pPr>
      <w:r w:rsidRPr="003A58CF">
        <w:t xml:space="preserve">Private, community and public transport, along with </w:t>
      </w:r>
      <w:r w:rsidR="00CB7E35" w:rsidRPr="003A58CF">
        <w:t xml:space="preserve">freight movements </w:t>
      </w:r>
      <w:r w:rsidRPr="003A58CF">
        <w:t xml:space="preserve">and </w:t>
      </w:r>
      <w:r w:rsidR="00CB7E35" w:rsidRPr="003A58CF">
        <w:t>other infrastructure</w:t>
      </w:r>
      <w:r w:rsidRPr="003A58CF">
        <w:t>,</w:t>
      </w:r>
      <w:r w:rsidR="00CB7E35" w:rsidRPr="003A58CF">
        <w:t xml:space="preserve"> are critical to support growth in the </w:t>
      </w:r>
      <w:r w:rsidRPr="003A58CF">
        <w:t xml:space="preserve">Loddon Mallee South </w:t>
      </w:r>
      <w:r w:rsidR="00CB7E35" w:rsidRPr="003A58CF">
        <w:t xml:space="preserve">region. </w:t>
      </w:r>
    </w:p>
    <w:p w:rsidR="00135CA1" w:rsidRPr="003A58CF" w:rsidRDefault="00CB7E35" w:rsidP="00854F5E">
      <w:pPr>
        <w:pStyle w:val="bt"/>
      </w:pPr>
      <w:r w:rsidRPr="003A58CF">
        <w:t xml:space="preserve">The existing road and rail network, including recent upgrades and infrastructure investments, have helped accelerate population and economic growth in the region. There are opportunities to promote further growth in locations that link well with the existing transport network and locations with </w:t>
      </w:r>
      <w:r w:rsidR="00AB3678" w:rsidRPr="003A58CF">
        <w:t xml:space="preserve">the </w:t>
      </w:r>
      <w:r w:rsidRPr="003A58CF">
        <w:t xml:space="preserve">capacity for transport enhancements. </w:t>
      </w:r>
    </w:p>
    <w:p w:rsidR="00135CA1" w:rsidRPr="003A58CF" w:rsidRDefault="00CB7E35" w:rsidP="00854F5E">
      <w:pPr>
        <w:pStyle w:val="bt"/>
      </w:pPr>
      <w:r w:rsidRPr="003A58CF">
        <w:t xml:space="preserve">The Calder </w:t>
      </w:r>
      <w:r w:rsidR="00AB3678" w:rsidRPr="003A58CF">
        <w:t xml:space="preserve">road and rail </w:t>
      </w:r>
      <w:r w:rsidRPr="003A58CF">
        <w:t>corridor is the key transport spine in the region providing access to and from Melbourne in the south and Mildura in the north</w:t>
      </w:r>
      <w:r w:rsidR="006B2743" w:rsidRPr="003A58CF">
        <w:t xml:space="preserve"> </w:t>
      </w:r>
      <w:r w:rsidRPr="003A58CF">
        <w:t xml:space="preserve">west. </w:t>
      </w:r>
      <w:r w:rsidR="007E5DCA" w:rsidRPr="003A58CF">
        <w:t>Upgrades to the Calder Freeway and the Bendigo rail line over the past decade have helped support strong growth in the movement of people and goods along this important transport corridor.</w:t>
      </w:r>
    </w:p>
    <w:p w:rsidR="00135CA1" w:rsidRPr="003A58CF" w:rsidRDefault="00CB7E35" w:rsidP="00854F5E">
      <w:pPr>
        <w:pStyle w:val="bt"/>
      </w:pPr>
      <w:r w:rsidRPr="003A58CF">
        <w:t xml:space="preserve">Other key road links include the Northern and Sunraysia </w:t>
      </w:r>
      <w:r w:rsidR="00AB3678" w:rsidRPr="003A58CF">
        <w:t>h</w:t>
      </w:r>
      <w:r w:rsidRPr="003A58CF">
        <w:t>ighways</w:t>
      </w:r>
      <w:r w:rsidR="00AB3678" w:rsidRPr="003A58CF">
        <w:t>,</w:t>
      </w:r>
      <w:r w:rsidRPr="003A58CF">
        <w:t xml:space="preserve"> which provide strategic routes to intra-regional cities such as Ballarat and Geelong; and the Midland Highway</w:t>
      </w:r>
      <w:r w:rsidR="006B2743" w:rsidRPr="003A58CF">
        <w:t>,</w:t>
      </w:r>
      <w:r w:rsidRPr="003A58CF">
        <w:t xml:space="preserve"> which provides a </w:t>
      </w:r>
      <w:r w:rsidR="00DC716F">
        <w:t>north-south</w:t>
      </w:r>
      <w:r w:rsidRPr="003A58CF">
        <w:t xml:space="preserve"> orbital link between the Hume Freeway and the Port of Geelong via Benalla, Shepparton, Bendigo and Ballarat.</w:t>
      </w:r>
    </w:p>
    <w:p w:rsidR="00135CA1" w:rsidRPr="003A58CF" w:rsidRDefault="00CB7E35" w:rsidP="00854F5E">
      <w:pPr>
        <w:pStyle w:val="bt"/>
        <w:rPr>
          <w:color w:val="000000"/>
        </w:rPr>
      </w:pPr>
      <w:r w:rsidRPr="003A58CF">
        <w:rPr>
          <w:color w:val="000000"/>
        </w:rPr>
        <w:t xml:space="preserve">The Bendigo rail line has experienced strong growth in patronage </w:t>
      </w:r>
      <w:r w:rsidR="00AB3678" w:rsidRPr="003A58CF">
        <w:rPr>
          <w:color w:val="000000"/>
        </w:rPr>
        <w:t xml:space="preserve">following </w:t>
      </w:r>
      <w:r w:rsidRPr="003A58CF">
        <w:rPr>
          <w:color w:val="000000"/>
        </w:rPr>
        <w:t xml:space="preserve">recent upgrades. </w:t>
      </w:r>
      <w:r w:rsidRPr="003A58CF">
        <w:rPr>
          <w:bCs/>
        </w:rPr>
        <w:t>This includes high levels of commuting</w:t>
      </w:r>
      <w:r w:rsidRPr="003A58CF">
        <w:t xml:space="preserve"> from Bendigo to Melbourne on a daily basis, and increasing levels of commuting from surrounding townships</w:t>
      </w:r>
      <w:r w:rsidR="0021137A" w:rsidRPr="003A58CF">
        <w:t xml:space="preserve"> to Bendigo</w:t>
      </w:r>
      <w:r w:rsidRPr="003A58CF">
        <w:t>, such as townships within Macedon Ranges Shire, both by car and rail</w:t>
      </w:r>
      <w:r w:rsidR="00EF7DBC" w:rsidRPr="003A58CF">
        <w:t>, for example,</w:t>
      </w:r>
      <w:r w:rsidRPr="003A58CF">
        <w:t xml:space="preserve"> Kyneton to Bendigo. These commuter trends are expected to continue</w:t>
      </w:r>
      <w:r w:rsidR="0021137A" w:rsidRPr="003A58CF">
        <w:t xml:space="preserve"> and are </w:t>
      </w:r>
      <w:r w:rsidR="0021137A" w:rsidRPr="003A58CF">
        <w:rPr>
          <w:color w:val="000000"/>
        </w:rPr>
        <w:t xml:space="preserve">critical </w:t>
      </w:r>
      <w:r w:rsidRPr="003A58CF">
        <w:rPr>
          <w:color w:val="000000"/>
        </w:rPr>
        <w:t>for business</w:t>
      </w:r>
      <w:r w:rsidR="0021137A" w:rsidRPr="003A58CF">
        <w:rPr>
          <w:color w:val="000000"/>
        </w:rPr>
        <w:t>es</w:t>
      </w:r>
      <w:r w:rsidRPr="003A58CF">
        <w:rPr>
          <w:color w:val="000000"/>
        </w:rPr>
        <w:t xml:space="preserve"> in and outside the region.  </w:t>
      </w:r>
    </w:p>
    <w:p w:rsidR="00135CA1" w:rsidRPr="003A58CF" w:rsidRDefault="00CB7E35" w:rsidP="00854F5E">
      <w:pPr>
        <w:pStyle w:val="bt"/>
      </w:pPr>
      <w:r w:rsidRPr="003A58CF">
        <w:t xml:space="preserve">Different solutions are required for the movement of people and the movement of freight. The future directions in this </w:t>
      </w:r>
      <w:r w:rsidR="003F429B" w:rsidRPr="003A58CF">
        <w:t>plan</w:t>
      </w:r>
      <w:r w:rsidRPr="003A58CF">
        <w:t xml:space="preserve"> provide some guidance to help ensure the transport network supports changes to the economy, settlement patterns and demographic changes.</w:t>
      </w:r>
    </w:p>
    <w:p w:rsidR="00135CA1" w:rsidRPr="009F08CB" w:rsidRDefault="0018666D" w:rsidP="009F08CB">
      <w:pPr>
        <w:pStyle w:val="Heading4"/>
        <w:rPr>
          <w:rStyle w:val="Strong"/>
          <w:b/>
          <w:bCs/>
        </w:rPr>
      </w:pPr>
      <w:r w:rsidRPr="009F08CB">
        <w:rPr>
          <w:rStyle w:val="Strong"/>
          <w:b/>
          <w:bCs/>
        </w:rPr>
        <w:t>Improve the capacity and functioning of the transport network</w:t>
      </w:r>
    </w:p>
    <w:p w:rsidR="00135CA1" w:rsidRPr="003A58CF" w:rsidRDefault="00CB7E35" w:rsidP="00854F5E">
      <w:pPr>
        <w:pStyle w:val="bt"/>
      </w:pPr>
      <w:r w:rsidRPr="003A58CF">
        <w:t xml:space="preserve">There are a number of options to improve the capacity and functioning of the transport network as growth occurs in key areas including regional cities such as Bendigo. </w:t>
      </w:r>
      <w:r w:rsidR="00EF7DBC" w:rsidRPr="003A58CF">
        <w:t xml:space="preserve">It is important to ensure </w:t>
      </w:r>
      <w:r w:rsidRPr="003A58CF">
        <w:t xml:space="preserve">the operation of major </w:t>
      </w:r>
      <w:r w:rsidR="00C72208" w:rsidRPr="003A58CF">
        <w:t>s</w:t>
      </w:r>
      <w:r w:rsidRPr="003A58CF">
        <w:t xml:space="preserve">tate </w:t>
      </w:r>
      <w:r w:rsidR="00C72208" w:rsidRPr="003A58CF">
        <w:t xml:space="preserve">and </w:t>
      </w:r>
      <w:r w:rsidRPr="003A58CF">
        <w:t xml:space="preserve">regional </w:t>
      </w:r>
      <w:r w:rsidR="00C72208" w:rsidRPr="003A58CF">
        <w:t>infrastructure</w:t>
      </w:r>
      <w:r w:rsidR="00EF7DBC" w:rsidRPr="003A58CF">
        <w:t xml:space="preserve">, </w:t>
      </w:r>
      <w:r w:rsidRPr="003A58CF">
        <w:t>including highways, railways, airports, communication networks</w:t>
      </w:r>
      <w:r w:rsidR="00EF7DBC" w:rsidRPr="003A58CF">
        <w:t>,</w:t>
      </w:r>
      <w:r w:rsidRPr="003A58CF">
        <w:t xml:space="preserve"> is not adversely </w:t>
      </w:r>
      <w:r w:rsidR="00C72208" w:rsidRPr="003A58CF">
        <w:t xml:space="preserve">affected </w:t>
      </w:r>
      <w:r w:rsidRPr="003A58CF">
        <w:t>by urban development</w:t>
      </w:r>
      <w:r w:rsidR="00EF7DBC" w:rsidRPr="003A58CF">
        <w:t>.</w:t>
      </w:r>
      <w:r w:rsidRPr="003A58CF">
        <w:t xml:space="preserve"> </w:t>
      </w:r>
      <w:r w:rsidR="001F7813" w:rsidRPr="003A58CF">
        <w:t xml:space="preserve">For example, urban growth in Gisborne and New Gisborne </w:t>
      </w:r>
      <w:r w:rsidR="00CE77C4" w:rsidRPr="003A58CF">
        <w:t>has</w:t>
      </w:r>
      <w:r w:rsidR="001F7813" w:rsidRPr="003A58CF">
        <w:t xml:space="preserve"> occurred along a transport spine of the main road. New developments in this area seek to support an increase in walking, cycling and public transport accessibility. In addition, alternative road routes are planned in the long to medium term to minimise congestion.</w:t>
      </w:r>
      <w:r w:rsidR="00CE77C4" w:rsidRPr="003A58CF">
        <w:t xml:space="preserve"> </w:t>
      </w:r>
      <w:r w:rsidR="00ED1D90" w:rsidRPr="003A58CF">
        <w:t>T</w:t>
      </w:r>
      <w:r w:rsidRPr="003A58CF">
        <w:t>ransport implementation opportunities for improving network capacity</w:t>
      </w:r>
      <w:r w:rsidR="00ED1D90" w:rsidRPr="003A58CF">
        <w:t xml:space="preserve"> could include</w:t>
      </w:r>
      <w:r w:rsidRPr="003A58CF">
        <w:t>:</w:t>
      </w:r>
    </w:p>
    <w:p w:rsidR="00135CA1" w:rsidRPr="003A58CF" w:rsidRDefault="00C32391" w:rsidP="00A82A4D">
      <w:pPr>
        <w:pStyle w:val="btbullet"/>
      </w:pPr>
      <w:r w:rsidRPr="003A58CF">
        <w:t>e</w:t>
      </w:r>
      <w:r w:rsidR="00CB7E35" w:rsidRPr="003A58CF">
        <w:t>nabling or managing diverse travel choices such as walking and cycling links</w:t>
      </w:r>
      <w:r w:rsidR="00AB62E6" w:rsidRPr="003A58CF">
        <w:t>,</w:t>
      </w:r>
      <w:r w:rsidR="00CB7E35" w:rsidRPr="003A58CF">
        <w:t xml:space="preserve"> </w:t>
      </w:r>
      <w:r w:rsidR="00AB62E6" w:rsidRPr="003A58CF">
        <w:t>shared zones and park</w:t>
      </w:r>
      <w:r w:rsidR="00C41BBB" w:rsidRPr="003A58CF">
        <w:t xml:space="preserve"> and </w:t>
      </w:r>
      <w:r w:rsidR="00AB62E6" w:rsidRPr="003A58CF">
        <w:t>ride</w:t>
      </w:r>
    </w:p>
    <w:p w:rsidR="00135CA1" w:rsidRPr="003A58CF" w:rsidRDefault="00C32391" w:rsidP="00A82A4D">
      <w:pPr>
        <w:pStyle w:val="btbullet"/>
      </w:pPr>
      <w:r w:rsidRPr="003A58CF">
        <w:t>e</w:t>
      </w:r>
      <w:r w:rsidR="00CB7E35" w:rsidRPr="003A58CF">
        <w:t>xpand</w:t>
      </w:r>
      <w:r w:rsidR="00C72208" w:rsidRPr="003A58CF">
        <w:t>ing</w:t>
      </w:r>
      <w:r w:rsidR="00CB7E35" w:rsidRPr="003A58CF">
        <w:t xml:space="preserve"> road space via widening, sealed shoulders, duplication, clearways</w:t>
      </w:r>
      <w:r w:rsidR="006B2743" w:rsidRPr="003A58CF">
        <w:t xml:space="preserve"> and </w:t>
      </w:r>
      <w:r w:rsidR="00CB7E35" w:rsidRPr="003A58CF">
        <w:t>cycle paths</w:t>
      </w:r>
    </w:p>
    <w:p w:rsidR="007C32A8" w:rsidRPr="003A58CF" w:rsidRDefault="00C32391" w:rsidP="00A82A4D">
      <w:pPr>
        <w:pStyle w:val="btbullet"/>
      </w:pPr>
      <w:r w:rsidRPr="003A58CF">
        <w:t>i</w:t>
      </w:r>
      <w:r w:rsidR="00CB7E35" w:rsidRPr="003A58CF">
        <w:t>ncreas</w:t>
      </w:r>
      <w:r w:rsidR="00C72208" w:rsidRPr="003A58CF">
        <w:t>ing</w:t>
      </w:r>
      <w:r w:rsidR="00CB7E35" w:rsidRPr="003A58CF">
        <w:t xml:space="preserve"> rail capacity to provide passing opportunities, signalling and increased track axle loads to enable heavier loads to be transported</w:t>
      </w:r>
    </w:p>
    <w:p w:rsidR="001F16ED" w:rsidRPr="003A58CF" w:rsidRDefault="006B2743" w:rsidP="00A82A4D">
      <w:pPr>
        <w:pStyle w:val="btbullet"/>
      </w:pPr>
      <w:r w:rsidRPr="003A58CF">
        <w:t xml:space="preserve">improve </w:t>
      </w:r>
      <w:r w:rsidR="00715DEE" w:rsidRPr="003A58CF">
        <w:t>and modify the network of public transport services to better meet market needs</w:t>
      </w:r>
      <w:r w:rsidR="007C32A8" w:rsidRPr="003A58CF">
        <w:t>.</w:t>
      </w:r>
    </w:p>
    <w:p w:rsidR="00CB7E35" w:rsidRPr="009F08CB" w:rsidRDefault="00CB7E35" w:rsidP="009F08CB">
      <w:pPr>
        <w:pStyle w:val="Heading4"/>
        <w:rPr>
          <w:rStyle w:val="Strong"/>
          <w:b/>
          <w:bCs/>
        </w:rPr>
      </w:pPr>
      <w:r w:rsidRPr="009F08CB">
        <w:rPr>
          <w:rStyle w:val="Strong"/>
          <w:b/>
          <w:bCs/>
        </w:rPr>
        <w:t>Ensure access and connectivity</w:t>
      </w:r>
    </w:p>
    <w:p w:rsidR="007C32A8" w:rsidRPr="003A58CF" w:rsidRDefault="00BB678A" w:rsidP="00854F5E">
      <w:pPr>
        <w:pStyle w:val="bt"/>
      </w:pPr>
      <w:r w:rsidRPr="003A58CF">
        <w:lastRenderedPageBreak/>
        <w:t xml:space="preserve">Improvements to the Calder </w:t>
      </w:r>
      <w:r w:rsidR="00291BF6" w:rsidRPr="003A58CF">
        <w:t xml:space="preserve">road and rail </w:t>
      </w:r>
      <w:r w:rsidRPr="003A58CF">
        <w:t>corridor have</w:t>
      </w:r>
      <w:r w:rsidR="00291BF6" w:rsidRPr="003A58CF">
        <w:t xml:space="preserve"> </w:t>
      </w:r>
      <w:r w:rsidR="00CB7E35" w:rsidRPr="003A58CF">
        <w:t xml:space="preserve">helped accelerate growth in locations with ease of access to this corridor. In the future this corridor is likely to play an increasingly important role in facilitating </w:t>
      </w:r>
      <w:r w:rsidR="00291BF6" w:rsidRPr="003A58CF">
        <w:t xml:space="preserve">the </w:t>
      </w:r>
      <w:r w:rsidR="00CB7E35" w:rsidRPr="003A58CF">
        <w:t xml:space="preserve">growth </w:t>
      </w:r>
      <w:r w:rsidR="00291BF6" w:rsidRPr="003A58CF">
        <w:t xml:space="preserve">of </w:t>
      </w:r>
      <w:r w:rsidR="00CB7E35" w:rsidRPr="003A58CF">
        <w:t xml:space="preserve">settlements along </w:t>
      </w:r>
      <w:r w:rsidR="00291BF6" w:rsidRPr="003A58CF">
        <w:t xml:space="preserve">the </w:t>
      </w:r>
      <w:r w:rsidR="00CB7E35" w:rsidRPr="003A58CF">
        <w:t xml:space="preserve">corridor or </w:t>
      </w:r>
      <w:r w:rsidR="00291BF6" w:rsidRPr="003A58CF">
        <w:t xml:space="preserve">with </w:t>
      </w:r>
      <w:r w:rsidR="00CB7E35" w:rsidRPr="003A58CF">
        <w:t xml:space="preserve">good access to it. </w:t>
      </w:r>
    </w:p>
    <w:p w:rsidR="00873F0C" w:rsidRPr="003A58CF" w:rsidRDefault="007E5DCA" w:rsidP="00854F5E">
      <w:pPr>
        <w:pStyle w:val="bt"/>
      </w:pPr>
      <w:r w:rsidRPr="003A58CF">
        <w:t>It is likely</w:t>
      </w:r>
      <w:r w:rsidR="00384709" w:rsidRPr="003A58CF">
        <w:t xml:space="preserve"> that </w:t>
      </w:r>
      <w:r w:rsidRPr="003A58CF">
        <w:t>as Bendigo grows and provides further employment opportunities</w:t>
      </w:r>
      <w:r w:rsidR="00384709" w:rsidRPr="003A58CF">
        <w:t>,</w:t>
      </w:r>
      <w:r w:rsidRPr="003A58CF">
        <w:t xml:space="preserve"> reverse commuting to Bendigo will increase, not just to Melbourne. </w:t>
      </w:r>
      <w:r w:rsidR="00CB7E35" w:rsidRPr="003A58CF">
        <w:t>However</w:t>
      </w:r>
      <w:r w:rsidR="00291BF6" w:rsidRPr="003A58CF">
        <w:t>,</w:t>
      </w:r>
      <w:r w:rsidR="00CB7E35" w:rsidRPr="003A58CF">
        <w:t xml:space="preserve"> this corridor also serves as a major freight route and amenity issues in the centre of Bendigo may need to be managed as the freight task grows. It will be important to ensure there is flexible and adaptable freight access with interventions such as the clustering of intensive agricultural industries and the potential upgrade of Bendigo </w:t>
      </w:r>
      <w:r w:rsidR="00291BF6" w:rsidRPr="003A58CF">
        <w:t>A</w:t>
      </w:r>
      <w:r w:rsidR="00CB7E35" w:rsidRPr="003A58CF">
        <w:t xml:space="preserve">irport </w:t>
      </w:r>
      <w:r w:rsidR="00291BF6" w:rsidRPr="003A58CF">
        <w:t xml:space="preserve">to </w:t>
      </w:r>
      <w:r w:rsidR="00CB7E35" w:rsidRPr="003A58CF">
        <w:t>provide alternative access for some types of freight such as perishable goods.</w:t>
      </w:r>
    </w:p>
    <w:p w:rsidR="00873F0C" w:rsidRPr="003A58CF" w:rsidRDefault="00873F0C" w:rsidP="00854F5E">
      <w:pPr>
        <w:pStyle w:val="bt"/>
      </w:pPr>
      <w:r w:rsidRPr="003A58CF">
        <w:t>Improved connections between Geelong, Ballarat and Bendigo (via Maryborough and Castlemaine) were investigated through the Rail Revival Study (</w:t>
      </w:r>
      <w:r w:rsidR="007C32A8" w:rsidRPr="003A58CF">
        <w:t>Public Transport Victoria</w:t>
      </w:r>
      <w:r w:rsidRPr="003A58CF">
        <w:t xml:space="preserve">, 2013). The study recommended a staged approach to the improvement of public transport services with a restructure of coach services proposed in the short term. These services would encourage increased commuter usage, as well as </w:t>
      </w:r>
      <w:r w:rsidR="00384709" w:rsidRPr="003A58CF">
        <w:t xml:space="preserve">provide </w:t>
      </w:r>
      <w:r w:rsidRPr="003A58CF">
        <w:t xml:space="preserve">a social and tourist connection for the region. </w:t>
      </w:r>
    </w:p>
    <w:p w:rsidR="00873F0C" w:rsidRPr="003A58CF" w:rsidRDefault="00873F0C" w:rsidP="00854F5E">
      <w:pPr>
        <w:pStyle w:val="bt"/>
      </w:pPr>
      <w:r w:rsidRPr="003A58CF">
        <w:t>In planning for the future, the study also identified the following land</w:t>
      </w:r>
      <w:r w:rsidR="00384709" w:rsidRPr="003A58CF">
        <w:t xml:space="preserve"> </w:t>
      </w:r>
      <w:r w:rsidRPr="003A58CF">
        <w:t>use and planning opportunities to preserve railway stations and railway lines between Ballarat and Bendigo</w:t>
      </w:r>
      <w:r w:rsidR="007C32A8" w:rsidRPr="003A58CF">
        <w:t xml:space="preserve">, </w:t>
      </w:r>
      <w:r w:rsidRPr="003A58CF">
        <w:t>via Maryborough and Castlemaine:</w:t>
      </w:r>
    </w:p>
    <w:p w:rsidR="001F16ED" w:rsidRPr="003A58CF" w:rsidRDefault="00873F0C" w:rsidP="00A82A4D">
      <w:pPr>
        <w:pStyle w:val="btbullet"/>
      </w:pPr>
      <w:r w:rsidRPr="003A58CF">
        <w:t>In the short to medium term</w:t>
      </w:r>
      <w:r w:rsidR="007C32A8" w:rsidRPr="003A58CF">
        <w:t>,</w:t>
      </w:r>
      <w:r w:rsidRPr="003A58CF">
        <w:t xml:space="preserve"> lease currently disused station buildings along the railway corridor for public purposes. This would preserve the buildings for potential future railway purposes and encourage development around the railway stations to create a focal point for the local community.</w:t>
      </w:r>
    </w:p>
    <w:p w:rsidR="001F16ED" w:rsidRPr="003A58CF" w:rsidRDefault="00873F0C" w:rsidP="00A82A4D">
      <w:pPr>
        <w:pStyle w:val="btbullet"/>
      </w:pPr>
      <w:r w:rsidRPr="003A58CF">
        <w:t xml:space="preserve">For the longer term, to support any future reactivation of rail services and the potential for higher line speeds between Ballarat, Maryborough and Castlemaine, land </w:t>
      </w:r>
      <w:r w:rsidR="00384709" w:rsidRPr="003A58CF">
        <w:t xml:space="preserve">that </w:t>
      </w:r>
      <w:r w:rsidRPr="003A58CF">
        <w:t>may be required for future track realignments would need to be protected to ensure that the opportunity for future rail realignments is preserved.</w:t>
      </w:r>
    </w:p>
    <w:p w:rsidR="00CB7E35" w:rsidRPr="003A58CF" w:rsidRDefault="00ED1D90" w:rsidP="00854F5E">
      <w:pPr>
        <w:pStyle w:val="bt"/>
      </w:pPr>
      <w:r w:rsidRPr="003A58CF">
        <w:t>T</w:t>
      </w:r>
      <w:r w:rsidR="00CB7E35" w:rsidRPr="003A58CF">
        <w:t>ransport implementation opportunities for ensuring access and connectivity exist around:</w:t>
      </w:r>
    </w:p>
    <w:p w:rsidR="00CB7E35" w:rsidRPr="003A58CF" w:rsidRDefault="00C32391" w:rsidP="00A82A4D">
      <w:pPr>
        <w:pStyle w:val="btbullet"/>
      </w:pPr>
      <w:r w:rsidRPr="003A58CF">
        <w:t>l</w:t>
      </w:r>
      <w:r w:rsidR="00CB7E35" w:rsidRPr="003A58CF">
        <w:t>inking the region to international gateways, ports, state capitals and other regional cities</w:t>
      </w:r>
    </w:p>
    <w:p w:rsidR="00CB7E35" w:rsidRPr="003A58CF" w:rsidRDefault="00C32391" w:rsidP="00A82A4D">
      <w:pPr>
        <w:pStyle w:val="btbullet"/>
      </w:pPr>
      <w:r w:rsidRPr="003A58CF">
        <w:t>i</w:t>
      </w:r>
      <w:r w:rsidR="00CB7E35" w:rsidRPr="003A58CF">
        <w:t>ntra-regional connections such as regional city urban bus networks</w:t>
      </w:r>
      <w:r w:rsidR="00384709" w:rsidRPr="003A58CF">
        <w:t>,</w:t>
      </w:r>
      <w:r w:rsidR="00CB7E35" w:rsidRPr="003A58CF">
        <w:t xml:space="preserve"> including hinterland and surrounding small communities </w:t>
      </w:r>
    </w:p>
    <w:p w:rsidR="00A958C0" w:rsidRPr="003A58CF" w:rsidRDefault="00384709" w:rsidP="00A82A4D">
      <w:pPr>
        <w:pStyle w:val="btbullet"/>
      </w:pPr>
      <w:r w:rsidRPr="003A58CF">
        <w:t xml:space="preserve">aligning </w:t>
      </w:r>
      <w:r w:rsidR="00A958C0" w:rsidRPr="003A58CF">
        <w:t>the public transport network to better service demand</w:t>
      </w:r>
    </w:p>
    <w:p w:rsidR="00CB7E35" w:rsidRPr="003A58CF" w:rsidRDefault="00C32391" w:rsidP="00A82A4D">
      <w:pPr>
        <w:pStyle w:val="btbullet"/>
      </w:pPr>
      <w:r w:rsidRPr="003A58CF">
        <w:t>a</w:t>
      </w:r>
      <w:r w:rsidR="00CB7E35" w:rsidRPr="003A58CF">
        <w:t xml:space="preserve">ccessibility for people of all ages and abilities to public transport </w:t>
      </w:r>
    </w:p>
    <w:p w:rsidR="00ED1D90" w:rsidRPr="003A58CF" w:rsidRDefault="00C32391" w:rsidP="00A82A4D">
      <w:pPr>
        <w:pStyle w:val="btbullet"/>
      </w:pPr>
      <w:r w:rsidRPr="003A58CF">
        <w:t>i</w:t>
      </w:r>
      <w:r w:rsidR="00ED1D90" w:rsidRPr="003A58CF">
        <w:t>mproved commuter facilities at railway stations as patronage grows</w:t>
      </w:r>
    </w:p>
    <w:p w:rsidR="00713A94" w:rsidRPr="003A58CF" w:rsidRDefault="00C32391" w:rsidP="00A82A4D">
      <w:pPr>
        <w:pStyle w:val="btbullet"/>
      </w:pPr>
      <w:r w:rsidRPr="003A58CF">
        <w:t>i</w:t>
      </w:r>
      <w:r w:rsidR="00CB7E35" w:rsidRPr="003A58CF">
        <w:t>mproved intra-town commuter links such as cycle paths</w:t>
      </w:r>
      <w:r w:rsidR="00291BF6" w:rsidRPr="003A58CF">
        <w:t>.</w:t>
      </w:r>
    </w:p>
    <w:p w:rsidR="00CB7E35" w:rsidRPr="009F08CB" w:rsidRDefault="00CB7E35" w:rsidP="009F08CB">
      <w:pPr>
        <w:pStyle w:val="Heading4"/>
        <w:rPr>
          <w:rStyle w:val="Strong"/>
          <w:b/>
          <w:bCs/>
        </w:rPr>
      </w:pPr>
      <w:r w:rsidRPr="009F08CB">
        <w:rPr>
          <w:rStyle w:val="Strong"/>
          <w:b/>
          <w:bCs/>
        </w:rPr>
        <w:t>Provide a safe, reliable and resilient network</w:t>
      </w:r>
    </w:p>
    <w:p w:rsidR="00CB7E35" w:rsidRPr="003A58CF" w:rsidRDefault="00CB7E35" w:rsidP="00854F5E">
      <w:pPr>
        <w:pStyle w:val="bt"/>
      </w:pPr>
      <w:r w:rsidRPr="003A58CF">
        <w:t xml:space="preserve">Bendigo provides higher order services and facilities to the Loddon Mallee South region and beyond. For example, upgrades to </w:t>
      </w:r>
      <w:r w:rsidR="00291BF6" w:rsidRPr="003A58CF">
        <w:t xml:space="preserve">Bendigo Hospital </w:t>
      </w:r>
      <w:r w:rsidRPr="003A58CF">
        <w:t xml:space="preserve">may </w:t>
      </w:r>
      <w:r w:rsidR="00291BF6" w:rsidRPr="003A58CF">
        <w:t xml:space="preserve">result in more </w:t>
      </w:r>
      <w:r w:rsidRPr="003A58CF">
        <w:t>people within and outside the Loddon Mallee South region travel</w:t>
      </w:r>
      <w:r w:rsidR="00291BF6" w:rsidRPr="003A58CF">
        <w:t>ling</w:t>
      </w:r>
      <w:r w:rsidRPr="003A58CF">
        <w:t xml:space="preserve"> to Bendigo </w:t>
      </w:r>
      <w:r w:rsidR="00291BF6" w:rsidRPr="003A58CF">
        <w:t xml:space="preserve">instead of </w:t>
      </w:r>
      <w:r w:rsidRPr="003A58CF">
        <w:t xml:space="preserve">Melbourne to access healthcare services. </w:t>
      </w:r>
      <w:r w:rsidR="00291BF6" w:rsidRPr="003A58CF">
        <w:t xml:space="preserve">Therefore, it </w:t>
      </w:r>
      <w:r w:rsidRPr="003A58CF">
        <w:t xml:space="preserve">will be important to plan accessible and appropriate transport connections </w:t>
      </w:r>
      <w:r w:rsidR="00291BF6" w:rsidRPr="003A58CF">
        <w:t xml:space="preserve">to </w:t>
      </w:r>
      <w:r w:rsidRPr="003A58CF">
        <w:t xml:space="preserve">improve linkages throughout the region and beyond. </w:t>
      </w:r>
      <w:r w:rsidR="00291BF6" w:rsidRPr="003A58CF">
        <w:t xml:space="preserve">It </w:t>
      </w:r>
      <w:r w:rsidRPr="003A58CF">
        <w:t xml:space="preserve">will </w:t>
      </w:r>
      <w:r w:rsidR="00291BF6" w:rsidRPr="003A58CF">
        <w:t xml:space="preserve">also </w:t>
      </w:r>
      <w:r w:rsidRPr="003A58CF">
        <w:t>be important to ensure the network can withstand major disruption.</w:t>
      </w:r>
    </w:p>
    <w:p w:rsidR="00CB7E35" w:rsidRPr="003A58CF" w:rsidRDefault="00CB7E35" w:rsidP="009228BA">
      <w:pPr>
        <w:pStyle w:val="bt"/>
      </w:pPr>
      <w:r w:rsidRPr="003A58CF">
        <w:t>Transport implementation opportunities for providing a safe, reliable and resilient network exist around:</w:t>
      </w:r>
    </w:p>
    <w:p w:rsidR="00CB7E35" w:rsidRPr="003A58CF" w:rsidRDefault="00C32391" w:rsidP="00A82A4D">
      <w:pPr>
        <w:pStyle w:val="btbullet"/>
      </w:pPr>
      <w:r w:rsidRPr="003A58CF">
        <w:t>m</w:t>
      </w:r>
      <w:r w:rsidR="00CB7E35" w:rsidRPr="003A58CF">
        <w:t>aintenance of rail and road networks</w:t>
      </w:r>
    </w:p>
    <w:p w:rsidR="00CB7E35" w:rsidRPr="003A58CF" w:rsidRDefault="00C32391" w:rsidP="00A82A4D">
      <w:pPr>
        <w:pStyle w:val="btbullet"/>
      </w:pPr>
      <w:r w:rsidRPr="003A58CF">
        <w:t>c</w:t>
      </w:r>
      <w:r w:rsidR="00CB7E35" w:rsidRPr="003A58CF">
        <w:t xml:space="preserve">ontingency plans for major disruptions such as </w:t>
      </w:r>
      <w:r w:rsidR="00291BF6" w:rsidRPr="003A58CF">
        <w:t xml:space="preserve">those </w:t>
      </w:r>
      <w:r w:rsidR="00CB7E35" w:rsidRPr="003A58CF">
        <w:t xml:space="preserve">due to </w:t>
      </w:r>
      <w:r w:rsidR="002D2356" w:rsidRPr="003A58CF">
        <w:t>flood</w:t>
      </w:r>
      <w:r w:rsidR="00CB7E35" w:rsidRPr="003A58CF">
        <w:t xml:space="preserve"> or </w:t>
      </w:r>
      <w:r w:rsidR="002D2356" w:rsidRPr="003A58CF">
        <w:t>bushfire</w:t>
      </w:r>
    </w:p>
    <w:p w:rsidR="00CB7E35" w:rsidRPr="003A58CF" w:rsidRDefault="00C32391" w:rsidP="00A82A4D">
      <w:pPr>
        <w:pStyle w:val="btbullet"/>
        <w:rPr>
          <w:color w:val="000000"/>
        </w:rPr>
      </w:pPr>
      <w:r w:rsidRPr="003A58CF">
        <w:t>i</w:t>
      </w:r>
      <w:r w:rsidR="00CB7E35" w:rsidRPr="003A58CF">
        <w:t>ncreased track capacity to improve reliability and reduce delays</w:t>
      </w:r>
      <w:r w:rsidR="00CB7E35" w:rsidRPr="003A58CF">
        <w:rPr>
          <w:color w:val="000000"/>
        </w:rPr>
        <w:t xml:space="preserve"> </w:t>
      </w:r>
    </w:p>
    <w:p w:rsidR="001F16ED" w:rsidRPr="003A58CF" w:rsidRDefault="00C32391" w:rsidP="00A82A4D">
      <w:pPr>
        <w:pStyle w:val="btbullet"/>
        <w:rPr>
          <w:b/>
        </w:rPr>
      </w:pPr>
      <w:r w:rsidRPr="003A58CF">
        <w:lastRenderedPageBreak/>
        <w:t>i</w:t>
      </w:r>
      <w:r w:rsidR="00CB7E35" w:rsidRPr="003A58CF">
        <w:t>dentify and promote safety improvements</w:t>
      </w:r>
      <w:r w:rsidR="00291BF6" w:rsidRPr="003A58CF">
        <w:t>.</w:t>
      </w:r>
    </w:p>
    <w:p w:rsidR="005D1E72" w:rsidRPr="009F08CB" w:rsidRDefault="00CB7E35" w:rsidP="009F08CB">
      <w:pPr>
        <w:pStyle w:val="Heading4"/>
        <w:rPr>
          <w:rStyle w:val="Strong"/>
          <w:b/>
          <w:bCs/>
        </w:rPr>
      </w:pPr>
      <w:r w:rsidRPr="009F08CB">
        <w:rPr>
          <w:rStyle w:val="Strong"/>
          <w:b/>
          <w:bCs/>
        </w:rPr>
        <w:t>Consider technological advancements in the transport provision mix</w:t>
      </w:r>
    </w:p>
    <w:p w:rsidR="00EF7DBC" w:rsidRPr="003A58CF" w:rsidRDefault="00CB7E35" w:rsidP="00854F5E">
      <w:pPr>
        <w:pStyle w:val="bt"/>
      </w:pPr>
      <w:r w:rsidRPr="003A58CF">
        <w:t>The Loddon Mallee South region already has a strong service sector covering health, education and finance industries. This economic base is likely to continue developing. However</w:t>
      </w:r>
      <w:r w:rsidR="00B906B8" w:rsidRPr="003A58CF">
        <w:t>,</w:t>
      </w:r>
      <w:r w:rsidRPr="003A58CF">
        <w:t xml:space="preserve"> </w:t>
      </w:r>
      <w:r w:rsidR="00B906B8" w:rsidRPr="003A58CF">
        <w:t xml:space="preserve">technology </w:t>
      </w:r>
      <w:r w:rsidRPr="003A58CF">
        <w:t>will be crucial to the development of the service sector economy</w:t>
      </w:r>
      <w:r w:rsidR="00B906B8" w:rsidRPr="003A58CF">
        <w:t xml:space="preserve"> to help</w:t>
      </w:r>
      <w:r w:rsidRPr="003A58CF">
        <w:t xml:space="preserve"> provid</w:t>
      </w:r>
      <w:r w:rsidR="00B906B8" w:rsidRPr="003A58CF">
        <w:t xml:space="preserve">e new </w:t>
      </w:r>
      <w:r w:rsidRPr="003A58CF">
        <w:t>and improv</w:t>
      </w:r>
      <w:r w:rsidR="00B906B8" w:rsidRPr="003A58CF">
        <w:t>ed</w:t>
      </w:r>
      <w:r w:rsidRPr="003A58CF">
        <w:t xml:space="preserve"> service</w:t>
      </w:r>
      <w:r w:rsidR="00ED1D90" w:rsidRPr="003A58CF">
        <w:t>s</w:t>
      </w:r>
      <w:r w:rsidRPr="003A58CF">
        <w:t xml:space="preserve">. </w:t>
      </w:r>
    </w:p>
    <w:p w:rsidR="005D1E72" w:rsidRPr="003A58CF" w:rsidRDefault="00CB7E35" w:rsidP="00854F5E">
      <w:pPr>
        <w:pStyle w:val="bt"/>
      </w:pPr>
      <w:r w:rsidRPr="003A58CF">
        <w:t xml:space="preserve">The rollout of the </w:t>
      </w:r>
      <w:r w:rsidR="007C32A8" w:rsidRPr="003A58CF">
        <w:t xml:space="preserve">National Broadband Network </w:t>
      </w:r>
      <w:r w:rsidRPr="003A58CF">
        <w:t>may have a significant impact in this regard. It may mean that work patterns change</w:t>
      </w:r>
      <w:r w:rsidR="00ED1D90" w:rsidRPr="003A58CF">
        <w:t>,</w:t>
      </w:r>
      <w:r w:rsidRPr="003A58CF">
        <w:t xml:space="preserve"> </w:t>
      </w:r>
      <w:r w:rsidR="00ED1D90" w:rsidRPr="003A58CF">
        <w:t xml:space="preserve">with greater numbers of people </w:t>
      </w:r>
      <w:r w:rsidR="00AB62E6" w:rsidRPr="003A58CF">
        <w:t>work</w:t>
      </w:r>
      <w:r w:rsidR="00B906B8" w:rsidRPr="003A58CF">
        <w:t>ing</w:t>
      </w:r>
      <w:r w:rsidR="00AB62E6" w:rsidRPr="003A58CF">
        <w:t xml:space="preserve"> flexibly</w:t>
      </w:r>
      <w:r w:rsidR="00ED1D90" w:rsidRPr="003A58CF">
        <w:t xml:space="preserve"> using new technology</w:t>
      </w:r>
      <w:r w:rsidR="00EF7DBC" w:rsidRPr="003A58CF">
        <w:t>, for example,</w:t>
      </w:r>
      <w:r w:rsidR="00AB62E6" w:rsidRPr="003A58CF">
        <w:t xml:space="preserve"> working from home full or part</w:t>
      </w:r>
      <w:r w:rsidR="00D763CF" w:rsidRPr="003A58CF">
        <w:t>-</w:t>
      </w:r>
      <w:r w:rsidR="00AB62E6" w:rsidRPr="003A58CF">
        <w:t>time</w:t>
      </w:r>
      <w:r w:rsidR="00ED1D90" w:rsidRPr="003A58CF">
        <w:t xml:space="preserve">, </w:t>
      </w:r>
      <w:r w:rsidR="00B906B8" w:rsidRPr="003A58CF">
        <w:t xml:space="preserve">which in turn could </w:t>
      </w:r>
      <w:r w:rsidR="00ED1D90" w:rsidRPr="003A58CF">
        <w:t>reduc</w:t>
      </w:r>
      <w:r w:rsidR="00B906B8" w:rsidRPr="003A58CF">
        <w:t>e</w:t>
      </w:r>
      <w:r w:rsidR="00ED1D90" w:rsidRPr="003A58CF">
        <w:t xml:space="preserve"> the need for daily travel</w:t>
      </w:r>
      <w:r w:rsidRPr="003A58CF">
        <w:t>. The health and education sectors are leading the way in using this technology for online course</w:t>
      </w:r>
      <w:r w:rsidR="00B906B8" w:rsidRPr="003A58CF">
        <w:t>s</w:t>
      </w:r>
      <w:r w:rsidRPr="003A58CF">
        <w:t xml:space="preserve"> and rehabilitation of patients. Into the future there </w:t>
      </w:r>
      <w:r w:rsidR="00AA43A9" w:rsidRPr="003A58CF">
        <w:t xml:space="preserve">could be </w:t>
      </w:r>
      <w:r w:rsidRPr="003A58CF">
        <w:t>opportunities to enhance and make use of new technologies.</w:t>
      </w:r>
    </w:p>
    <w:p w:rsidR="00CB7E35" w:rsidRPr="003A58CF" w:rsidRDefault="00ED1D90" w:rsidP="00854F5E">
      <w:pPr>
        <w:pStyle w:val="bt"/>
      </w:pPr>
      <w:r w:rsidRPr="003A58CF">
        <w:t>T</w:t>
      </w:r>
      <w:r w:rsidR="00CB7E35" w:rsidRPr="003A58CF">
        <w:t xml:space="preserve">ransport implementation opportunities </w:t>
      </w:r>
      <w:r w:rsidRPr="003A58CF">
        <w:t>through</w:t>
      </w:r>
      <w:r w:rsidR="00CB7E35" w:rsidRPr="003A58CF">
        <w:t xml:space="preserve"> technological advancements could include:</w:t>
      </w:r>
    </w:p>
    <w:p w:rsidR="00CB7E35" w:rsidRPr="003A58CF" w:rsidRDefault="007C32A8" w:rsidP="00A82A4D">
      <w:pPr>
        <w:pStyle w:val="btbullet"/>
      </w:pPr>
      <w:r w:rsidRPr="003A58CF">
        <w:t>National Broadband Network</w:t>
      </w:r>
    </w:p>
    <w:p w:rsidR="00CB7E35" w:rsidRPr="003A58CF" w:rsidRDefault="00C32391" w:rsidP="00A82A4D">
      <w:pPr>
        <w:pStyle w:val="btbullet"/>
      </w:pPr>
      <w:r w:rsidRPr="003A58CF">
        <w:t>i</w:t>
      </w:r>
      <w:r w:rsidR="00CB7E35" w:rsidRPr="003A58CF">
        <w:t xml:space="preserve">ncreased use of mobile electronic devices </w:t>
      </w:r>
    </w:p>
    <w:p w:rsidR="00CB7E35" w:rsidRPr="003A58CF" w:rsidRDefault="00C32391" w:rsidP="00A82A4D">
      <w:pPr>
        <w:pStyle w:val="btbullet"/>
      </w:pPr>
      <w:r w:rsidRPr="003A58CF">
        <w:t>a</w:t>
      </w:r>
      <w:r w:rsidR="00CB7E35" w:rsidRPr="003A58CF">
        <w:t>lternative fuelled vehicles and new vehicle designs</w:t>
      </w:r>
    </w:p>
    <w:p w:rsidR="00AB62E6" w:rsidRPr="003A58CF" w:rsidRDefault="00C32391" w:rsidP="00A82A4D">
      <w:pPr>
        <w:pStyle w:val="btbullet"/>
      </w:pPr>
      <w:r w:rsidRPr="003A58CF">
        <w:t>a</w:t>
      </w:r>
      <w:r w:rsidR="00AB62E6" w:rsidRPr="003A58CF">
        <w:t>dvanced transport network planning tools.</w:t>
      </w:r>
    </w:p>
    <w:p w:rsidR="005D1E72" w:rsidRPr="009F08CB" w:rsidRDefault="00CB7E35" w:rsidP="009F08CB">
      <w:pPr>
        <w:pStyle w:val="Heading4"/>
        <w:rPr>
          <w:rStyle w:val="Strong"/>
          <w:b/>
          <w:bCs/>
        </w:rPr>
      </w:pPr>
      <w:r w:rsidRPr="009F08CB">
        <w:rPr>
          <w:rStyle w:val="Strong"/>
          <w:b/>
          <w:bCs/>
        </w:rPr>
        <w:t>Ensure amenity and useability</w:t>
      </w:r>
    </w:p>
    <w:p w:rsidR="005D1E72" w:rsidRPr="003A58CF" w:rsidRDefault="00CB7E35" w:rsidP="00854F5E">
      <w:pPr>
        <w:pStyle w:val="bt"/>
      </w:pPr>
      <w:r w:rsidRPr="003A58CF">
        <w:t xml:space="preserve">The Loddon Mallee South transport network is used by a variety of people for both business and pleasure. Ensuring the network is maintained in a safe and useable condition will be important. This will be necessary to support a more diverse economy and </w:t>
      </w:r>
      <w:r w:rsidR="00AA43A9" w:rsidRPr="003A58CF">
        <w:t xml:space="preserve">to access </w:t>
      </w:r>
      <w:r w:rsidRPr="003A58CF">
        <w:t xml:space="preserve">tourism products and opportunities such as those in the </w:t>
      </w:r>
      <w:r w:rsidR="00AA43A9" w:rsidRPr="003A58CF">
        <w:t>g</w:t>
      </w:r>
      <w:r w:rsidRPr="003A58CF">
        <w:t>oldfields area</w:t>
      </w:r>
      <w:r w:rsidR="00EF7DBC" w:rsidRPr="003A58CF">
        <w:t>, for example,</w:t>
      </w:r>
      <w:r w:rsidR="00AA43A9" w:rsidRPr="003A58CF">
        <w:t xml:space="preserve"> </w:t>
      </w:r>
      <w:r w:rsidRPr="003A58CF">
        <w:t xml:space="preserve">supporting the use and expansion of rail trails by improving connections between and access to trails. </w:t>
      </w:r>
    </w:p>
    <w:p w:rsidR="00CB7E35" w:rsidRPr="003A58CF" w:rsidRDefault="00ED1D90" w:rsidP="00854F5E">
      <w:pPr>
        <w:pStyle w:val="bt"/>
      </w:pPr>
      <w:r w:rsidRPr="003A58CF">
        <w:t>T</w:t>
      </w:r>
      <w:r w:rsidR="00CB7E35" w:rsidRPr="003A58CF">
        <w:t>ransport implementation opportunities for ensuring amenity and useability</w:t>
      </w:r>
      <w:r w:rsidRPr="003A58CF">
        <w:t xml:space="preserve"> could include</w:t>
      </w:r>
      <w:r w:rsidR="00CB7E35" w:rsidRPr="003A58CF">
        <w:t>:</w:t>
      </w:r>
    </w:p>
    <w:p w:rsidR="00CB7E35" w:rsidRPr="003A58CF" w:rsidRDefault="00C32391" w:rsidP="00A82A4D">
      <w:pPr>
        <w:pStyle w:val="btbullet"/>
      </w:pPr>
      <w:r w:rsidRPr="003A58CF">
        <w:t>t</w:t>
      </w:r>
      <w:r w:rsidR="00CB7E35" w:rsidRPr="003A58CF">
        <w:t>ourist routes for all users, including cyclists</w:t>
      </w:r>
    </w:p>
    <w:p w:rsidR="00CB7E35" w:rsidRPr="003A58CF" w:rsidRDefault="00C32391" w:rsidP="00A82A4D">
      <w:pPr>
        <w:pStyle w:val="btbullet"/>
      </w:pPr>
      <w:r w:rsidRPr="003A58CF">
        <w:t>f</w:t>
      </w:r>
      <w:r w:rsidR="00CB7E35" w:rsidRPr="003A58CF">
        <w:t>acilities such as wayside rest areas, signage</w:t>
      </w:r>
      <w:r w:rsidR="00384709" w:rsidRPr="003A58CF">
        <w:t xml:space="preserve"> and </w:t>
      </w:r>
      <w:r w:rsidR="00CB7E35" w:rsidRPr="003A58CF">
        <w:t>information hubs</w:t>
      </w:r>
    </w:p>
    <w:p w:rsidR="00CB7E35" w:rsidRPr="003A58CF" w:rsidRDefault="00C32391" w:rsidP="00A82A4D">
      <w:pPr>
        <w:pStyle w:val="btbullet"/>
      </w:pPr>
      <w:r w:rsidRPr="003A58CF">
        <w:t>m</w:t>
      </w:r>
      <w:r w:rsidR="00CB7E35" w:rsidRPr="003A58CF">
        <w:t>arketing such as package tours for day</w:t>
      </w:r>
      <w:r w:rsidR="00384709" w:rsidRPr="003A58CF">
        <w:t xml:space="preserve"> </w:t>
      </w:r>
      <w:r w:rsidR="00CB7E35" w:rsidRPr="003A58CF">
        <w:t>trips</w:t>
      </w:r>
      <w:r w:rsidR="00AA43A9" w:rsidRPr="003A58CF">
        <w:t>.</w:t>
      </w:r>
    </w:p>
    <w:p w:rsidR="00CB7E35" w:rsidRPr="009F08CB" w:rsidRDefault="00CB7E35" w:rsidP="009F08CB">
      <w:pPr>
        <w:pStyle w:val="Heading4"/>
        <w:rPr>
          <w:rStyle w:val="Strong"/>
          <w:b/>
          <w:bCs/>
        </w:rPr>
      </w:pPr>
      <w:r w:rsidRPr="009F08CB">
        <w:rPr>
          <w:rStyle w:val="Strong"/>
          <w:b/>
          <w:bCs/>
        </w:rPr>
        <w:t>Develop</w:t>
      </w:r>
      <w:r w:rsidR="00A958C0" w:rsidRPr="009F08CB">
        <w:rPr>
          <w:rStyle w:val="Strong"/>
          <w:b/>
          <w:bCs/>
        </w:rPr>
        <w:t xml:space="preserve"> and protect</w:t>
      </w:r>
      <w:r w:rsidRPr="009F08CB">
        <w:rPr>
          <w:rStyle w:val="Strong"/>
          <w:b/>
          <w:bCs/>
        </w:rPr>
        <w:t xml:space="preserve"> freight and logistics precincts </w:t>
      </w:r>
    </w:p>
    <w:p w:rsidR="00CB7E35" w:rsidRPr="003A58CF" w:rsidRDefault="00AA43A9" w:rsidP="00854F5E">
      <w:pPr>
        <w:pStyle w:val="bt"/>
      </w:pPr>
      <w:r w:rsidRPr="003A58CF">
        <w:t>P</w:t>
      </w:r>
      <w:r w:rsidR="00CB7E35" w:rsidRPr="003A58CF">
        <w:t xml:space="preserve">otential </w:t>
      </w:r>
      <w:r w:rsidRPr="003A58CF">
        <w:t xml:space="preserve">for </w:t>
      </w:r>
      <w:r w:rsidR="00CB7E35" w:rsidRPr="003A58CF">
        <w:t xml:space="preserve">freight and logistics precincts in the region exist at the proposed business park </w:t>
      </w:r>
      <w:r w:rsidRPr="003A58CF">
        <w:t xml:space="preserve">in </w:t>
      </w:r>
      <w:r w:rsidR="00CB7E35" w:rsidRPr="003A58CF">
        <w:t>Marong and in Maryborough. The</w:t>
      </w:r>
      <w:r w:rsidRPr="003A58CF">
        <w:t>se</w:t>
      </w:r>
      <w:r w:rsidR="00CB7E35" w:rsidRPr="003A58CF">
        <w:t xml:space="preserve"> sites may attract new industries and create the need to review transport requirements to </w:t>
      </w:r>
      <w:r w:rsidR="001A4285" w:rsidRPr="003A58CF">
        <w:t>provide efficient and effective freight movements to ports, airports and markets</w:t>
      </w:r>
      <w:r w:rsidR="001A4285" w:rsidRPr="003A58CF" w:rsidDel="001A4285">
        <w:t xml:space="preserve"> </w:t>
      </w:r>
      <w:r w:rsidR="00CB7E35" w:rsidRPr="003A58CF">
        <w:t xml:space="preserve">not only </w:t>
      </w:r>
      <w:r w:rsidR="001A4285" w:rsidRPr="003A58CF">
        <w:t xml:space="preserve">in </w:t>
      </w:r>
      <w:r w:rsidR="00CB7E35" w:rsidRPr="003A58CF">
        <w:t xml:space="preserve">Melbourne </w:t>
      </w:r>
      <w:r w:rsidR="005B31F5" w:rsidRPr="003A58CF">
        <w:t>but also</w:t>
      </w:r>
      <w:r w:rsidR="00CB7E35" w:rsidRPr="003A58CF">
        <w:t xml:space="preserve"> </w:t>
      </w:r>
      <w:r w:rsidR="001A4285" w:rsidRPr="003A58CF">
        <w:t xml:space="preserve">throughout the state </w:t>
      </w:r>
      <w:r w:rsidR="00CB7E35" w:rsidRPr="003A58CF">
        <w:t>and interstate.</w:t>
      </w:r>
    </w:p>
    <w:p w:rsidR="001F7813" w:rsidRPr="003A58CF" w:rsidRDefault="001F7813" w:rsidP="00854F5E">
      <w:pPr>
        <w:pStyle w:val="bt"/>
      </w:pPr>
      <w:r w:rsidRPr="003A58CF">
        <w:t>A major upgrade of Bendigo Airport is being considered with a planning scheme amendment being lodged to assist with the land use aspect of future development. The airport currently caters for emergency and medical air services. However, it has the potential to provide new freight and passenger services</w:t>
      </w:r>
      <w:r w:rsidR="001A4285" w:rsidRPr="003A58CF">
        <w:t xml:space="preserve">, and house </w:t>
      </w:r>
      <w:r w:rsidRPr="003A58CF">
        <w:t xml:space="preserve">a business park </w:t>
      </w:r>
      <w:r w:rsidR="00384709" w:rsidRPr="003A58CF">
        <w:t xml:space="preserve">that </w:t>
      </w:r>
      <w:r w:rsidR="001A4285" w:rsidRPr="003A58CF">
        <w:t xml:space="preserve">would </w:t>
      </w:r>
      <w:r w:rsidRPr="003A58CF">
        <w:t>creat</w:t>
      </w:r>
      <w:r w:rsidR="001A4285" w:rsidRPr="003A58CF">
        <w:t>e</w:t>
      </w:r>
      <w:r w:rsidRPr="003A58CF">
        <w:t xml:space="preserve"> employment opportunities.</w:t>
      </w:r>
    </w:p>
    <w:p w:rsidR="00CB7E35" w:rsidRPr="003A58CF" w:rsidRDefault="00ED1D90" w:rsidP="00854F5E">
      <w:pPr>
        <w:pStyle w:val="bt"/>
      </w:pPr>
      <w:r w:rsidRPr="003A58CF">
        <w:t>T</w:t>
      </w:r>
      <w:r w:rsidR="00CB7E35" w:rsidRPr="003A58CF">
        <w:t>ransport implementation opportunities for developing freight and logistics precincts could include:</w:t>
      </w:r>
    </w:p>
    <w:p w:rsidR="00CB7E35" w:rsidRPr="003A58CF" w:rsidRDefault="00C32391" w:rsidP="00A82A4D">
      <w:pPr>
        <w:pStyle w:val="btbullet"/>
      </w:pPr>
      <w:r w:rsidRPr="003A58CF">
        <w:t>a</w:t>
      </w:r>
      <w:r w:rsidR="00CB7E35" w:rsidRPr="003A58CF">
        <w:t xml:space="preserve">irports </w:t>
      </w:r>
    </w:p>
    <w:p w:rsidR="00CB7E35" w:rsidRPr="003A58CF" w:rsidRDefault="00C32391" w:rsidP="00A82A4D">
      <w:pPr>
        <w:pStyle w:val="btbullet"/>
      </w:pPr>
      <w:r w:rsidRPr="003A58CF">
        <w:t>a</w:t>
      </w:r>
      <w:r w:rsidR="001A4285" w:rsidRPr="003A58CF">
        <w:t xml:space="preserve"> </w:t>
      </w:r>
      <w:r w:rsidR="00CB7E35" w:rsidRPr="003A58CF">
        <w:t xml:space="preserve">potential intermodal freight terminal </w:t>
      </w:r>
      <w:r w:rsidR="001A4285" w:rsidRPr="003A58CF">
        <w:t xml:space="preserve">such </w:t>
      </w:r>
      <w:r w:rsidR="00CB7E35" w:rsidRPr="003A58CF">
        <w:t>as an inland port</w:t>
      </w:r>
    </w:p>
    <w:p w:rsidR="00CB7E35" w:rsidRPr="003A58CF" w:rsidRDefault="00C32391" w:rsidP="00A82A4D">
      <w:pPr>
        <w:pStyle w:val="btbullet"/>
      </w:pPr>
      <w:r w:rsidRPr="003A58CF">
        <w:lastRenderedPageBreak/>
        <w:t>a</w:t>
      </w:r>
      <w:r w:rsidR="00CB7E35" w:rsidRPr="003A58CF">
        <w:t>ctivity</w:t>
      </w:r>
      <w:r w:rsidR="001A4285" w:rsidRPr="003A58CF">
        <w:t>-</w:t>
      </w:r>
      <w:r w:rsidR="00CB7E35" w:rsidRPr="003A58CF">
        <w:t>specific centres such as distribution warehouses or processing plants</w:t>
      </w:r>
      <w:r w:rsidR="001A4285" w:rsidRPr="003A58CF">
        <w:t>.</w:t>
      </w:r>
    </w:p>
    <w:p w:rsidR="00CB7E35" w:rsidRPr="009F08CB" w:rsidRDefault="001A4285" w:rsidP="009F08CB">
      <w:pPr>
        <w:pStyle w:val="Heading4"/>
        <w:rPr>
          <w:rStyle w:val="Strong"/>
          <w:b/>
          <w:bCs/>
        </w:rPr>
      </w:pPr>
      <w:r w:rsidRPr="009F08CB">
        <w:rPr>
          <w:rStyle w:val="Strong"/>
          <w:b/>
          <w:bCs/>
        </w:rPr>
        <w:t xml:space="preserve">Investigate and implement </w:t>
      </w:r>
      <w:r w:rsidR="00CB7E35" w:rsidRPr="009F08CB">
        <w:rPr>
          <w:rStyle w:val="Strong"/>
          <w:b/>
          <w:bCs/>
        </w:rPr>
        <w:t xml:space="preserve">efficient and sustainable ways to facilitate transport of products between producers and markets </w:t>
      </w:r>
    </w:p>
    <w:p w:rsidR="008A274F" w:rsidRPr="003A58CF" w:rsidRDefault="00CB7E35" w:rsidP="00854F5E">
      <w:pPr>
        <w:pStyle w:val="bt"/>
      </w:pPr>
      <w:r w:rsidRPr="003A58CF">
        <w:t xml:space="preserve">Understanding freight movements and transport supply chain networks will be important into the future </w:t>
      </w:r>
      <w:r w:rsidR="001A4285" w:rsidRPr="003A58CF">
        <w:t xml:space="preserve">as the economy diversifies and the types of </w:t>
      </w:r>
      <w:r w:rsidRPr="003A58CF">
        <w:t xml:space="preserve">commodities being carried </w:t>
      </w:r>
      <w:r w:rsidR="00E402E9" w:rsidRPr="003A58CF">
        <w:t>potentially changes</w:t>
      </w:r>
      <w:r w:rsidRPr="003A58CF">
        <w:t>. Changes to fleet characteristics may also mean that small local roads are not able to cope with increasing numbers of higher volume trucks taking products to processing or export locations. Therefore key transport spines within the region will require good connections not only with Melbourne</w:t>
      </w:r>
      <w:r w:rsidR="00384709" w:rsidRPr="003A58CF">
        <w:t>,</w:t>
      </w:r>
      <w:r w:rsidRPr="003A58CF">
        <w:t xml:space="preserve"> </w:t>
      </w:r>
      <w:r w:rsidR="005B31F5" w:rsidRPr="003A58CF">
        <w:t>but also</w:t>
      </w:r>
      <w:r w:rsidRPr="003A58CF">
        <w:t xml:space="preserve"> with other parts of the </w:t>
      </w:r>
      <w:r w:rsidR="00E402E9" w:rsidRPr="003A58CF">
        <w:t>s</w:t>
      </w:r>
      <w:r w:rsidRPr="003A58CF">
        <w:t>tate and interstate.</w:t>
      </w:r>
    </w:p>
    <w:p w:rsidR="00CB7E35" w:rsidRPr="003A58CF" w:rsidRDefault="00D75979" w:rsidP="00854F5E">
      <w:pPr>
        <w:pStyle w:val="bt"/>
      </w:pPr>
      <w:r w:rsidRPr="003A58CF">
        <w:t>T</w:t>
      </w:r>
      <w:r w:rsidR="00CB7E35" w:rsidRPr="003A58CF">
        <w:t>ransport implementation opportunities to support efficient supply chains exist around:</w:t>
      </w:r>
    </w:p>
    <w:p w:rsidR="00CB7E35" w:rsidRPr="003A58CF" w:rsidRDefault="00C32391" w:rsidP="00A82A4D">
      <w:pPr>
        <w:pStyle w:val="btbullet"/>
      </w:pPr>
      <w:r w:rsidRPr="003A58CF">
        <w:t>b</w:t>
      </w:r>
      <w:r w:rsidR="00CB7E35" w:rsidRPr="003A58CF">
        <w:t>uilding evidence to support enhancements to the freight network</w:t>
      </w:r>
      <w:r w:rsidR="00DC716F">
        <w:t>,</w:t>
      </w:r>
      <w:r w:rsidR="00CB7E35" w:rsidRPr="003A58CF">
        <w:t xml:space="preserve"> such as by industry input</w:t>
      </w:r>
    </w:p>
    <w:p w:rsidR="00CB7E35" w:rsidRPr="003A58CF" w:rsidRDefault="00C32391" w:rsidP="00A82A4D">
      <w:pPr>
        <w:pStyle w:val="btbullet"/>
      </w:pPr>
      <w:r w:rsidRPr="003A58CF">
        <w:t>u</w:t>
      </w:r>
      <w:r w:rsidR="00CB7E35" w:rsidRPr="003A58CF">
        <w:t>nderstanding transport supply chain networks, movements and modes between the farm-gate, market, distribution centre and gateways</w:t>
      </w:r>
    </w:p>
    <w:p w:rsidR="00135CA1" w:rsidRPr="003A58CF" w:rsidRDefault="00C32391" w:rsidP="00A82A4D">
      <w:pPr>
        <w:pStyle w:val="btbullet"/>
      </w:pPr>
      <w:r w:rsidRPr="003A58CF">
        <w:t>t</w:t>
      </w:r>
      <w:r w:rsidR="00CB7E35" w:rsidRPr="003A58CF">
        <w:t xml:space="preserve">echnology </w:t>
      </w:r>
      <w:r w:rsidR="002A49E9" w:rsidRPr="003A58CF">
        <w:t>a</w:t>
      </w:r>
      <w:r w:rsidR="00CB7E35" w:rsidRPr="003A58CF">
        <w:t>dvancements</w:t>
      </w:r>
      <w:r w:rsidR="00DC716F">
        <w:t>,</w:t>
      </w:r>
      <w:r w:rsidR="00CB7E35" w:rsidRPr="003A58CF">
        <w:t xml:space="preserve"> such as smart roads networking planning</w:t>
      </w:r>
    </w:p>
    <w:p w:rsidR="00135CA1" w:rsidRPr="003A58CF" w:rsidRDefault="00C32391" w:rsidP="00A82A4D">
      <w:pPr>
        <w:pStyle w:val="btbullet"/>
        <w:rPr>
          <w:b/>
          <w:bCs/>
        </w:rPr>
      </w:pPr>
      <w:r w:rsidRPr="003A58CF">
        <w:t>t</w:t>
      </w:r>
      <w:r w:rsidR="002A49E9" w:rsidRPr="003A58CF">
        <w:t>he i</w:t>
      </w:r>
      <w:r w:rsidR="00B7481F" w:rsidRPr="003A58CF">
        <w:t>mpact of changing vehicle</w:t>
      </w:r>
      <w:r w:rsidR="00C41BBB" w:rsidRPr="003A58CF">
        <w:t xml:space="preserve"> and </w:t>
      </w:r>
      <w:r w:rsidR="00B7481F" w:rsidRPr="003A58CF">
        <w:t>fleet characteristics and regulations on rural roads</w:t>
      </w:r>
      <w:r w:rsidR="00EF7DBC" w:rsidRPr="003A58CF">
        <w:t>, for example,</w:t>
      </w:r>
      <w:r w:rsidR="00B7481F" w:rsidRPr="003A58CF">
        <w:t xml:space="preserve"> local roads may not be fit</w:t>
      </w:r>
      <w:r w:rsidR="00513F2D" w:rsidRPr="003A58CF">
        <w:t xml:space="preserve"> </w:t>
      </w:r>
      <w:r w:rsidR="00B7481F" w:rsidRPr="003A58CF">
        <w:t>for</w:t>
      </w:r>
      <w:r w:rsidR="00513F2D" w:rsidRPr="003A58CF">
        <w:t xml:space="preserve"> </w:t>
      </w:r>
      <w:r w:rsidR="00B7481F" w:rsidRPr="003A58CF">
        <w:t>purpose for increasingly larger vehicles</w:t>
      </w:r>
      <w:r w:rsidR="002A49E9" w:rsidRPr="003A58CF">
        <w:t>.</w:t>
      </w:r>
      <w:r w:rsidR="00B7481F" w:rsidRPr="003A58CF">
        <w:t xml:space="preserve"> </w:t>
      </w:r>
    </w:p>
    <w:p w:rsidR="00135CA1" w:rsidRPr="006D2AB8" w:rsidRDefault="0018666D" w:rsidP="009F08CB">
      <w:pPr>
        <w:pStyle w:val="Heading4"/>
        <w:rPr>
          <w:rStyle w:val="Strong"/>
          <w:b/>
          <w:bCs/>
        </w:rPr>
      </w:pPr>
      <w:r w:rsidRPr="006D2AB8">
        <w:rPr>
          <w:rStyle w:val="Strong"/>
          <w:b/>
          <w:bCs/>
        </w:rPr>
        <w:t>F</w:t>
      </w:r>
      <w:r w:rsidR="0043085B" w:rsidRPr="006D2AB8">
        <w:rPr>
          <w:rStyle w:val="Strong"/>
          <w:b/>
          <w:bCs/>
        </w:rPr>
        <w:t>uture transport land use actions</w:t>
      </w:r>
    </w:p>
    <w:p w:rsidR="00135CA1" w:rsidRPr="003A58CF" w:rsidRDefault="0018666D" w:rsidP="00A82A4D">
      <w:pPr>
        <w:pStyle w:val="btbullet"/>
        <w:rPr>
          <w:lang w:eastAsia="en-US"/>
        </w:rPr>
      </w:pPr>
      <w:r w:rsidRPr="003A58CF">
        <w:rPr>
          <w:lang w:eastAsia="en-US"/>
        </w:rPr>
        <w:t>Ensure the current and future operation of major infrastructure of national, state or regional significance is not adversely affected by urban development</w:t>
      </w:r>
    </w:p>
    <w:p w:rsidR="00135CA1" w:rsidRPr="003A58CF" w:rsidRDefault="0018666D" w:rsidP="00A82A4D">
      <w:pPr>
        <w:pStyle w:val="btbullet"/>
        <w:rPr>
          <w:lang w:eastAsia="en-US"/>
        </w:rPr>
      </w:pPr>
      <w:r w:rsidRPr="003A58CF">
        <w:rPr>
          <w:lang w:eastAsia="en-US"/>
        </w:rPr>
        <w:t>Set aside land to preserve road and rail projects using zoning and overlays</w:t>
      </w:r>
    </w:p>
    <w:p w:rsidR="00135CA1" w:rsidRPr="003A58CF" w:rsidRDefault="0018666D" w:rsidP="00A82A4D">
      <w:pPr>
        <w:pStyle w:val="btbullet"/>
        <w:rPr>
          <w:lang w:eastAsia="en-US"/>
        </w:rPr>
      </w:pPr>
      <w:r w:rsidRPr="003A58CF">
        <w:rPr>
          <w:lang w:eastAsia="en-US"/>
        </w:rPr>
        <w:t>Maximise the strategic position of the transport network to encourage settlement and economic growth along existing transport infrastructure corridors</w:t>
      </w:r>
    </w:p>
    <w:p w:rsidR="00135CA1" w:rsidRPr="003A58CF" w:rsidRDefault="0018666D" w:rsidP="00A82A4D">
      <w:pPr>
        <w:pStyle w:val="btbullet"/>
        <w:rPr>
          <w:lang w:eastAsia="en-US"/>
        </w:rPr>
      </w:pPr>
      <w:r w:rsidRPr="003A58CF">
        <w:rPr>
          <w:lang w:eastAsia="en-US"/>
        </w:rPr>
        <w:t xml:space="preserve">Use this </w:t>
      </w:r>
      <w:r w:rsidR="003F429B" w:rsidRPr="003A58CF">
        <w:rPr>
          <w:lang w:eastAsia="en-US"/>
        </w:rPr>
        <w:t>plan</w:t>
      </w:r>
      <w:r w:rsidRPr="003A58CF">
        <w:rPr>
          <w:lang w:eastAsia="en-US"/>
        </w:rPr>
        <w:t xml:space="preserve"> to support infrastructure projects to assist in managing growth</w:t>
      </w:r>
      <w:bookmarkStart w:id="258" w:name="OLE_LINK48"/>
      <w:bookmarkStart w:id="259" w:name="OLE_LINK49"/>
      <w:bookmarkEnd w:id="257"/>
    </w:p>
    <w:p w:rsidR="00482349" w:rsidRPr="00715EDA" w:rsidRDefault="00482349" w:rsidP="00482349">
      <w:pPr>
        <w:pStyle w:val="bt"/>
      </w:pPr>
      <w:bookmarkStart w:id="260" w:name="_Ref352070206"/>
      <w:bookmarkStart w:id="261" w:name="_Toc373757236"/>
      <w:r w:rsidRPr="004809DF">
        <w:t xml:space="preserve">Map </w:t>
      </w:r>
      <w:bookmarkEnd w:id="260"/>
      <w:r w:rsidR="00993A78">
        <w:t xml:space="preserve">16 </w:t>
      </w:r>
      <w:r>
        <w:t xml:space="preserve">is located here in the document and it shows - </w:t>
      </w:r>
      <w:r w:rsidRPr="00715EDA">
        <w:t>Future directions for transport</w:t>
      </w:r>
      <w:bookmarkStart w:id="262" w:name="_Toc336871233"/>
      <w:bookmarkEnd w:id="261"/>
    </w:p>
    <w:bookmarkEnd w:id="262"/>
    <w:p w:rsidR="009F08CB" w:rsidRDefault="00EF7DBC" w:rsidP="00854F5E">
      <w:pPr>
        <w:pStyle w:val="bt"/>
        <w:sectPr w:rsidR="009F08CB" w:rsidSect="003D7F8F">
          <w:headerReference w:type="default" r:id="rId19"/>
          <w:pgSz w:w="11906" w:h="16838"/>
          <w:pgMar w:top="1440" w:right="1440" w:bottom="851" w:left="1440" w:header="709" w:footer="708" w:gutter="0"/>
          <w:cols w:space="708"/>
          <w:docGrid w:linePitch="360"/>
        </w:sectPr>
      </w:pPr>
      <w:r w:rsidRPr="003A58CF">
        <w:t>.</w:t>
      </w:r>
    </w:p>
    <w:p w:rsidR="00135CA1" w:rsidRPr="009F08CB" w:rsidRDefault="0018666D" w:rsidP="009F08CB">
      <w:pPr>
        <w:pStyle w:val="Heading1"/>
      </w:pPr>
      <w:bookmarkStart w:id="263" w:name="_Toc336871235"/>
      <w:bookmarkStart w:id="264" w:name="_Toc377026350"/>
      <w:bookmarkEnd w:id="258"/>
      <w:bookmarkEnd w:id="259"/>
      <w:r w:rsidRPr="009F08CB">
        <w:lastRenderedPageBreak/>
        <w:t xml:space="preserve">PART D </w:t>
      </w:r>
      <w:r w:rsidRPr="009F08CB">
        <w:tab/>
        <w:t>REGIONAL GROWTH P</w:t>
      </w:r>
      <w:bookmarkEnd w:id="263"/>
      <w:r w:rsidRPr="009F08CB">
        <w:t>LAN</w:t>
      </w:r>
      <w:bookmarkEnd w:id="264"/>
    </w:p>
    <w:p w:rsidR="00DE58DB" w:rsidRPr="003A58CF" w:rsidRDefault="0018666D" w:rsidP="00854F5E">
      <w:pPr>
        <w:pStyle w:val="bt"/>
      </w:pPr>
      <w:r w:rsidRPr="003A58CF">
        <w:t xml:space="preserve">This part of the Loddon Mallee South Regional Growth Plan brings together all of the elements of the regional land use framework (economy, environment and landscape, settlement and regional infrastructure) to identify a way forward for growth and change over the next 30 years. This </w:t>
      </w:r>
      <w:r w:rsidR="003F429B" w:rsidRPr="003A58CF">
        <w:t>plan</w:t>
      </w:r>
      <w:r w:rsidRPr="003A58CF">
        <w:t xml:space="preserve"> provides direction on where future growth should occur and has been informed by advice, analysis, investigation and community feedback.</w:t>
      </w:r>
    </w:p>
    <w:p w:rsidR="00135CA1" w:rsidRPr="003A58CF" w:rsidRDefault="0018666D" w:rsidP="009F08CB">
      <w:pPr>
        <w:pStyle w:val="Heading11"/>
      </w:pPr>
      <w:bookmarkStart w:id="265" w:name="_Toc336871236"/>
      <w:bookmarkStart w:id="266" w:name="_Toc377026351"/>
      <w:r w:rsidRPr="003A58CF">
        <w:t>Future directions for regional growth</w:t>
      </w:r>
      <w:bookmarkEnd w:id="265"/>
      <w:bookmarkEnd w:id="266"/>
    </w:p>
    <w:p w:rsidR="00DE58DB" w:rsidRPr="003A58CF" w:rsidRDefault="009C12C1" w:rsidP="00854F5E">
      <w:pPr>
        <w:pStyle w:val="bt"/>
      </w:pPr>
      <w:r w:rsidRPr="003A58CF">
        <w:t>K</w:t>
      </w:r>
      <w:r w:rsidR="00DE58DB" w:rsidRPr="003A58CF">
        <w:t xml:space="preserve">ey directions for growth are </w:t>
      </w:r>
      <w:r w:rsidRPr="003A58CF">
        <w:t xml:space="preserve">shown </w:t>
      </w:r>
      <w:r w:rsidR="00DE58DB" w:rsidRPr="003A58CF">
        <w:t>on</w:t>
      </w:r>
      <w:r w:rsidR="00BA6E4B" w:rsidRPr="003A58CF">
        <w:t xml:space="preserve"> Map 1 – Future growth framework</w:t>
      </w:r>
      <w:r w:rsidR="006A6C71" w:rsidRPr="003A58CF">
        <w:t xml:space="preserve"> </w:t>
      </w:r>
      <w:r w:rsidR="00C41BBB" w:rsidRPr="003A58CF">
        <w:t>in this section</w:t>
      </w:r>
      <w:r w:rsidR="00DE58DB" w:rsidRPr="003A58CF">
        <w:t>. This map provides a snapshot of the future growth directions for the</w:t>
      </w:r>
      <w:r w:rsidRPr="003A58CF">
        <w:t xml:space="preserve"> Loddon Mallee South region</w:t>
      </w:r>
      <w:r w:rsidR="00DE58DB" w:rsidRPr="003A58CF">
        <w:t>, and is supported by more detailed directions and actions contained in Part C of this</w:t>
      </w:r>
      <w:r w:rsidRPr="003A58CF">
        <w:t xml:space="preserve"> </w:t>
      </w:r>
      <w:r w:rsidR="003F429B" w:rsidRPr="003A58CF">
        <w:t>plan</w:t>
      </w:r>
      <w:r w:rsidR="00DE58DB" w:rsidRPr="003A58CF">
        <w:t xml:space="preserve">. </w:t>
      </w:r>
    </w:p>
    <w:p w:rsidR="00FD633C" w:rsidRPr="003A58CF" w:rsidRDefault="00DE58DB" w:rsidP="00854F5E">
      <w:pPr>
        <w:pStyle w:val="bt"/>
      </w:pPr>
      <w:r w:rsidRPr="003A58CF">
        <w:t xml:space="preserve">The future directions and land use actions in this </w:t>
      </w:r>
      <w:r w:rsidR="003F429B" w:rsidRPr="003A58CF">
        <w:t>plan</w:t>
      </w:r>
      <w:r w:rsidRPr="003A58CF">
        <w:t xml:space="preserve"> respond to the drivers and challenges for growth, as well </w:t>
      </w:r>
      <w:r w:rsidR="00EF37A2" w:rsidRPr="003A58CF">
        <w:t xml:space="preserve">as </w:t>
      </w:r>
      <w:r w:rsidRPr="003A58CF">
        <w:t>the vision and principles articulated in Part B</w:t>
      </w:r>
      <w:r w:rsidR="006250B8" w:rsidRPr="003A58CF">
        <w:t xml:space="preserve"> of this plan</w:t>
      </w:r>
      <w:r w:rsidRPr="003A58CF">
        <w:t xml:space="preserve">. </w:t>
      </w:r>
      <w:r w:rsidR="00827DD1" w:rsidRPr="003A58CF">
        <w:t>Map 1</w:t>
      </w:r>
      <w:r w:rsidR="006250B8" w:rsidRPr="003A58CF">
        <w:t xml:space="preserve"> </w:t>
      </w:r>
      <w:r w:rsidRPr="003A58CF">
        <w:t xml:space="preserve">draws together this information. </w:t>
      </w:r>
      <w:bookmarkStart w:id="267" w:name="OLE_LINK50"/>
      <w:bookmarkStart w:id="268" w:name="OLE_LINK51"/>
      <w:bookmarkStart w:id="269" w:name="_Toc336871237"/>
    </w:p>
    <w:bookmarkEnd w:id="267"/>
    <w:bookmarkEnd w:id="268"/>
    <w:p w:rsidR="007E75DD" w:rsidRPr="006D2AB8" w:rsidRDefault="00200032" w:rsidP="007A3B40">
      <w:pPr>
        <w:pStyle w:val="bt"/>
        <w:rPr>
          <w:rStyle w:val="Strong"/>
        </w:rPr>
      </w:pPr>
      <w:r w:rsidRPr="006D2AB8">
        <w:rPr>
          <w:rStyle w:val="Strong"/>
        </w:rPr>
        <w:t>Principle</w:t>
      </w:r>
      <w:r w:rsidR="007E75DD" w:rsidRPr="006D2AB8">
        <w:rPr>
          <w:rStyle w:val="Strong"/>
        </w:rPr>
        <w:t xml:space="preserve"> </w:t>
      </w:r>
      <w:r w:rsidR="00872431" w:rsidRPr="006D2AB8">
        <w:rPr>
          <w:rStyle w:val="Strong"/>
        </w:rPr>
        <w:t xml:space="preserve">1. </w:t>
      </w:r>
      <w:r w:rsidR="007E75DD" w:rsidRPr="006D2AB8">
        <w:rPr>
          <w:rStyle w:val="Strong"/>
        </w:rPr>
        <w:t>Manage our population growth and settlements</w:t>
      </w:r>
    </w:p>
    <w:p w:rsidR="00200032" w:rsidRPr="003A58CF" w:rsidRDefault="007E75DD" w:rsidP="007A3B40">
      <w:pPr>
        <w:pStyle w:val="bt"/>
      </w:pPr>
      <w:r w:rsidRPr="003A58CF">
        <w:t>Sustainable growth is encouraged to enhance the integrated network of settlements that characterise our region. Our settlements will continue to be attractive places to live, with high amenity and access to services.</w:t>
      </w:r>
    </w:p>
    <w:p w:rsidR="002D2356" w:rsidRPr="006D2AB8" w:rsidRDefault="00200032" w:rsidP="002D6889">
      <w:pPr>
        <w:pStyle w:val="Heading4"/>
        <w:rPr>
          <w:rStyle w:val="Strong"/>
          <w:b/>
          <w:bCs/>
        </w:rPr>
      </w:pPr>
      <w:r w:rsidRPr="006D2AB8">
        <w:rPr>
          <w:rStyle w:val="Strong"/>
          <w:b/>
          <w:bCs/>
        </w:rPr>
        <w:t>Future directions</w:t>
      </w:r>
    </w:p>
    <w:p w:rsidR="007E75DD" w:rsidRPr="007A3B40" w:rsidRDefault="007E75DD" w:rsidP="00A82A4D">
      <w:pPr>
        <w:pStyle w:val="btbullet"/>
      </w:pPr>
      <w:r w:rsidRPr="007A3B40">
        <w:t xml:space="preserve">Focus growth to </w:t>
      </w:r>
      <w:r w:rsidR="005818B2" w:rsidRPr="007A3B40">
        <w:t xml:space="preserve">the region’s </w:t>
      </w:r>
      <w:r w:rsidRPr="007A3B40">
        <w:t>existing settlements with capacity for growth</w:t>
      </w:r>
    </w:p>
    <w:p w:rsidR="007E75DD" w:rsidRPr="007A3B40" w:rsidRDefault="007E75DD" w:rsidP="00A82A4D">
      <w:pPr>
        <w:pStyle w:val="btbullet"/>
      </w:pPr>
      <w:r w:rsidRPr="007A3B40">
        <w:t>Reinforce the role of Bendigo as the regional city, offering a range of employment and services as an alternative to Melbourne</w:t>
      </w:r>
    </w:p>
    <w:p w:rsidR="007E75DD" w:rsidRPr="007A3B40" w:rsidRDefault="007E75DD" w:rsidP="00A82A4D">
      <w:pPr>
        <w:pStyle w:val="btbullet"/>
      </w:pPr>
      <w:r w:rsidRPr="007A3B40">
        <w:t>Target new growth to settlements including Bendigo, Maryborough, Castlemaine, Gisborne and Kyneton</w:t>
      </w:r>
    </w:p>
    <w:p w:rsidR="007E75DD" w:rsidRPr="007A3B40" w:rsidRDefault="007E75DD" w:rsidP="00A82A4D">
      <w:pPr>
        <w:pStyle w:val="btbullet"/>
      </w:pPr>
      <w:r w:rsidRPr="007A3B40">
        <w:t xml:space="preserve">Plan for settlement growth away from areas of high risk from natural hazards such as </w:t>
      </w:r>
      <w:r w:rsidR="002D2356" w:rsidRPr="007A3B40">
        <w:t>bushfire</w:t>
      </w:r>
      <w:r w:rsidRPr="007A3B40">
        <w:t xml:space="preserve"> and </w:t>
      </w:r>
      <w:r w:rsidR="002D2356" w:rsidRPr="007A3B40">
        <w:t>flood</w:t>
      </w:r>
    </w:p>
    <w:p w:rsidR="00BE12DC" w:rsidRPr="007A3B40" w:rsidRDefault="00BE12DC" w:rsidP="00A82A4D">
      <w:pPr>
        <w:pStyle w:val="btbullet"/>
      </w:pPr>
      <w:r w:rsidRPr="007A3B40">
        <w:t>Settlement planning decisions should prioritise human life and respond to the following principles with regard to bushfire risk management:</w:t>
      </w:r>
    </w:p>
    <w:p w:rsidR="00721E70" w:rsidRPr="006958D5" w:rsidRDefault="006958D5" w:rsidP="00A82A4D">
      <w:pPr>
        <w:pStyle w:val="btbullet"/>
        <w:numPr>
          <w:ilvl w:val="1"/>
          <w:numId w:val="10"/>
        </w:numPr>
      </w:pPr>
      <w:r>
        <w:t>d</w:t>
      </w:r>
      <w:r w:rsidR="00BE12DC" w:rsidRPr="006958D5">
        <w:t>irect development to locations of lower bushfire risk</w:t>
      </w:r>
    </w:p>
    <w:p w:rsidR="00721E70" w:rsidRPr="006958D5" w:rsidRDefault="006958D5" w:rsidP="00A82A4D">
      <w:pPr>
        <w:pStyle w:val="btbullet"/>
        <w:numPr>
          <w:ilvl w:val="1"/>
          <w:numId w:val="10"/>
        </w:numPr>
      </w:pPr>
      <w:r>
        <w:t>c</w:t>
      </w:r>
      <w:r w:rsidR="00BE12DC" w:rsidRPr="006958D5">
        <w:t>arefully consider development in locations where there is significant bushfire risk that cannot be avoided</w:t>
      </w:r>
    </w:p>
    <w:p w:rsidR="00721E70" w:rsidRPr="006958D5" w:rsidRDefault="006958D5" w:rsidP="00A82A4D">
      <w:pPr>
        <w:pStyle w:val="btbullet"/>
        <w:numPr>
          <w:ilvl w:val="1"/>
          <w:numId w:val="10"/>
        </w:numPr>
      </w:pPr>
      <w:r>
        <w:t>a</w:t>
      </w:r>
      <w:r w:rsidR="00BE12DC" w:rsidRPr="006958D5">
        <w:t>void development in locations of extreme bushfire risk</w:t>
      </w:r>
    </w:p>
    <w:p w:rsidR="00721E70" w:rsidRPr="006958D5" w:rsidRDefault="006958D5" w:rsidP="00A82A4D">
      <w:pPr>
        <w:pStyle w:val="btbullet"/>
        <w:numPr>
          <w:ilvl w:val="1"/>
          <w:numId w:val="10"/>
        </w:numPr>
      </w:pPr>
      <w:r>
        <w:t>a</w:t>
      </w:r>
      <w:r w:rsidR="00BE12DC" w:rsidRPr="006958D5">
        <w:t>void development in areas where planned bushfire protection measures may be incompatible with other environmental objectives</w:t>
      </w:r>
    </w:p>
    <w:p w:rsidR="007E75DD" w:rsidRPr="003A58CF" w:rsidRDefault="007E75DD" w:rsidP="00A82A4D">
      <w:pPr>
        <w:pStyle w:val="btbullet"/>
      </w:pPr>
      <w:r w:rsidRPr="003A58CF">
        <w:t>Manage settlement growth to limit the impact on agricultural productivity, natural resources and ecological values</w:t>
      </w:r>
    </w:p>
    <w:p w:rsidR="007E75DD" w:rsidRPr="003A58CF" w:rsidRDefault="007E75DD" w:rsidP="00A82A4D">
      <w:pPr>
        <w:pStyle w:val="btbullet"/>
      </w:pPr>
      <w:r w:rsidRPr="003A58CF">
        <w:t xml:space="preserve">Value </w:t>
      </w:r>
      <w:r w:rsidR="007A03A2" w:rsidRPr="003A58CF">
        <w:t xml:space="preserve">the region’s </w:t>
      </w:r>
      <w:r w:rsidRPr="003A58CF">
        <w:t>unique and connected communities</w:t>
      </w:r>
    </w:p>
    <w:p w:rsidR="002D2356" w:rsidRPr="006D2AB8" w:rsidRDefault="00200032" w:rsidP="009F08CB">
      <w:pPr>
        <w:pStyle w:val="Heading4"/>
        <w:rPr>
          <w:rStyle w:val="Strong"/>
          <w:b/>
          <w:bCs/>
        </w:rPr>
      </w:pPr>
      <w:r w:rsidRPr="006D2AB8">
        <w:rPr>
          <w:rStyle w:val="Strong"/>
          <w:b/>
          <w:bCs/>
        </w:rPr>
        <w:t>Rationale</w:t>
      </w:r>
    </w:p>
    <w:p w:rsidR="007E75DD" w:rsidRPr="003A58CF" w:rsidRDefault="007E75DD" w:rsidP="00854F5E">
      <w:pPr>
        <w:pStyle w:val="bt"/>
      </w:pPr>
      <w:r w:rsidRPr="003A58CF">
        <w:t xml:space="preserve">If planned well, settlement growth will be distributed to the places best suited to accommodate it, stimulating growth in locations </w:t>
      </w:r>
      <w:r w:rsidR="007C7365" w:rsidRPr="003A58CF">
        <w:t xml:space="preserve">that </w:t>
      </w:r>
      <w:r w:rsidRPr="003A58CF">
        <w:t>will support the economy and the long-term sustainability of the region.</w:t>
      </w:r>
    </w:p>
    <w:p w:rsidR="002D2356" w:rsidRPr="006D2AB8" w:rsidRDefault="00200032" w:rsidP="009F08CB">
      <w:pPr>
        <w:pStyle w:val="Heading4"/>
        <w:rPr>
          <w:rStyle w:val="Strong"/>
          <w:b/>
          <w:bCs/>
        </w:rPr>
      </w:pPr>
      <w:r w:rsidRPr="006D2AB8">
        <w:rPr>
          <w:rStyle w:val="Strong"/>
          <w:b/>
          <w:bCs/>
        </w:rPr>
        <w:t>How</w:t>
      </w:r>
    </w:p>
    <w:p w:rsidR="007E75DD" w:rsidRPr="003A58CF" w:rsidRDefault="007E75DD" w:rsidP="00854F5E">
      <w:pPr>
        <w:pStyle w:val="bt"/>
      </w:pPr>
      <w:r w:rsidRPr="003A58CF">
        <w:lastRenderedPageBreak/>
        <w:t>Refer to Maps</w:t>
      </w:r>
      <w:r w:rsidR="00BA6E4B" w:rsidRPr="003A58CF">
        <w:t xml:space="preserve"> 1, 9, 10, </w:t>
      </w:r>
      <w:r w:rsidR="00C375C3" w:rsidRPr="003A58CF">
        <w:t xml:space="preserve">11, 12, 13, 14, </w:t>
      </w:r>
      <w:r w:rsidR="00EA57DF" w:rsidRPr="003A58CF">
        <w:t xml:space="preserve">15 </w:t>
      </w:r>
      <w:r w:rsidR="004E1447" w:rsidRPr="003A58CF">
        <w:t xml:space="preserve">and 16 that </w:t>
      </w:r>
      <w:r w:rsidR="00EA57DF" w:rsidRPr="003A58CF">
        <w:t>provide a framework for future growth in the Loddon Mallee South region, including settlement directions for the regional city of Bendigo and regional centres and towns, and for the infrastructure needed to support growth.</w:t>
      </w:r>
    </w:p>
    <w:p w:rsidR="00872431" w:rsidRPr="009F08CB" w:rsidRDefault="00200032" w:rsidP="009F08CB">
      <w:pPr>
        <w:pStyle w:val="Heading4"/>
        <w:rPr>
          <w:rStyle w:val="Strong"/>
          <w:b/>
          <w:bCs/>
        </w:rPr>
      </w:pPr>
      <w:r w:rsidRPr="009F08CB">
        <w:rPr>
          <w:rStyle w:val="Strong"/>
          <w:b/>
          <w:bCs/>
        </w:rPr>
        <w:t>Principle</w:t>
      </w:r>
      <w:r w:rsidR="00872431" w:rsidRPr="009F08CB">
        <w:rPr>
          <w:rStyle w:val="Strong"/>
          <w:b/>
          <w:bCs/>
        </w:rPr>
        <w:t xml:space="preserve"> 2. Strengthen our communities, especially in our small towns</w:t>
      </w:r>
    </w:p>
    <w:p w:rsidR="00872431" w:rsidRPr="003A58CF" w:rsidRDefault="00872431" w:rsidP="00854F5E">
      <w:pPr>
        <w:pStyle w:val="bt"/>
        <w:rPr>
          <w:b/>
        </w:rPr>
      </w:pPr>
      <w:r w:rsidRPr="003A58CF">
        <w:t>All settlements, including small towns and villages, play an essential role in the function and character of the region. Many small towns have significant historic or landscape value and offer an alternative lifestyle from the more urbanised and larger centres. Supporting the diversification of the economy of these</w:t>
      </w:r>
      <w:r w:rsidR="00173907" w:rsidRPr="003A58CF">
        <w:t xml:space="preserve"> </w:t>
      </w:r>
      <w:r w:rsidRPr="003A58CF">
        <w:t>and other small towns is important, as is maintaining social infrastructure and services.</w:t>
      </w:r>
    </w:p>
    <w:p w:rsidR="002D2356" w:rsidRPr="006D2AB8" w:rsidRDefault="00200032" w:rsidP="009F08CB">
      <w:pPr>
        <w:pStyle w:val="Heading4"/>
        <w:rPr>
          <w:rStyle w:val="Strong"/>
          <w:b/>
          <w:bCs/>
        </w:rPr>
      </w:pPr>
      <w:r w:rsidRPr="006D2AB8">
        <w:rPr>
          <w:rStyle w:val="Strong"/>
          <w:b/>
          <w:bCs/>
        </w:rPr>
        <w:t>Future directions</w:t>
      </w:r>
    </w:p>
    <w:p w:rsidR="00872431" w:rsidRPr="003A58CF" w:rsidRDefault="00872431" w:rsidP="00CA6478">
      <w:pPr>
        <w:pStyle w:val="btbullet"/>
      </w:pPr>
      <w:r w:rsidRPr="003A58CF">
        <w:t xml:space="preserve">Support the ongoing role of </w:t>
      </w:r>
      <w:r w:rsidR="007A03A2" w:rsidRPr="003A58CF">
        <w:t xml:space="preserve">the region’s </w:t>
      </w:r>
      <w:r w:rsidRPr="003A58CF">
        <w:t>small towns and settlements</w:t>
      </w:r>
    </w:p>
    <w:p w:rsidR="00872431" w:rsidRPr="003A58CF" w:rsidRDefault="00872431" w:rsidP="00CA6478">
      <w:pPr>
        <w:pStyle w:val="btbullet"/>
      </w:pPr>
      <w:r w:rsidRPr="003A58CF">
        <w:t xml:space="preserve">Acknowledge </w:t>
      </w:r>
      <w:r w:rsidR="007A03A2" w:rsidRPr="003A58CF">
        <w:t xml:space="preserve">the </w:t>
      </w:r>
      <w:r w:rsidRPr="003A58CF">
        <w:t>non-urban population</w:t>
      </w:r>
      <w:r w:rsidR="007A03A2" w:rsidRPr="003A58CF">
        <w:t xml:space="preserve">’s </w:t>
      </w:r>
      <w:r w:rsidRPr="003A58CF">
        <w:t>contribution to the region</w:t>
      </w:r>
    </w:p>
    <w:p w:rsidR="00872431" w:rsidRPr="003A58CF" w:rsidRDefault="00872431" w:rsidP="00CA6478">
      <w:pPr>
        <w:pStyle w:val="btbullet"/>
      </w:pPr>
      <w:bookmarkStart w:id="270" w:name="OLE_LINK124"/>
      <w:bookmarkStart w:id="271" w:name="OLE_LINK160"/>
      <w:r w:rsidRPr="003A58CF">
        <w:t xml:space="preserve">Invest in liveability, infrastructure and urban design initiatives to make </w:t>
      </w:r>
      <w:r w:rsidR="007A03A2" w:rsidRPr="003A58CF">
        <w:t xml:space="preserve">the region’s </w:t>
      </w:r>
      <w:r w:rsidRPr="003A58CF">
        <w:t>towns great places to live</w:t>
      </w:r>
    </w:p>
    <w:p w:rsidR="00872431" w:rsidRPr="003A58CF" w:rsidRDefault="00872431" w:rsidP="00CA6478">
      <w:pPr>
        <w:pStyle w:val="btbullet"/>
      </w:pPr>
      <w:r w:rsidRPr="003A58CF">
        <w:t>Build community connectedness and reduce areas of social disadvantage</w:t>
      </w:r>
    </w:p>
    <w:p w:rsidR="0045082B" w:rsidRPr="003A58CF" w:rsidRDefault="0045082B" w:rsidP="00CA6478">
      <w:pPr>
        <w:pStyle w:val="btbullet"/>
      </w:pPr>
      <w:r w:rsidRPr="003A58CF">
        <w:t>Build a skilled and adaptable workforce by attracting skilled workers and providing access to high quality education and training opportunities</w:t>
      </w:r>
      <w:r w:rsidR="007C7365" w:rsidRPr="003A58CF">
        <w:t>,</w:t>
      </w:r>
      <w:r w:rsidRPr="003A58CF">
        <w:t xml:space="preserve"> which provide pathways to employment</w:t>
      </w:r>
    </w:p>
    <w:p w:rsidR="0045082B" w:rsidRPr="003A58CF" w:rsidRDefault="0045082B" w:rsidP="00CA6478">
      <w:pPr>
        <w:pStyle w:val="btbullet"/>
      </w:pPr>
      <w:r w:rsidRPr="003A58CF">
        <w:t>Plan for the facilities and infrastructure needed for delivery of education and training to support growth</w:t>
      </w:r>
    </w:p>
    <w:bookmarkEnd w:id="270"/>
    <w:bookmarkEnd w:id="271"/>
    <w:p w:rsidR="002D2356" w:rsidRPr="006D2AB8" w:rsidRDefault="00200032" w:rsidP="009F08CB">
      <w:pPr>
        <w:pStyle w:val="Heading4"/>
        <w:rPr>
          <w:rStyle w:val="Strong"/>
          <w:b/>
          <w:bCs/>
        </w:rPr>
      </w:pPr>
      <w:r w:rsidRPr="006D2AB8">
        <w:rPr>
          <w:rStyle w:val="Strong"/>
          <w:b/>
          <w:bCs/>
        </w:rPr>
        <w:t>Rationale</w:t>
      </w:r>
    </w:p>
    <w:p w:rsidR="00872431" w:rsidRPr="003A58CF" w:rsidRDefault="00872431" w:rsidP="00854F5E">
      <w:pPr>
        <w:pStyle w:val="bt"/>
      </w:pPr>
      <w:r w:rsidRPr="003A58CF">
        <w:t>Current and future population change</w:t>
      </w:r>
      <w:r w:rsidR="00C41BBB" w:rsidRPr="003A58CF">
        <w:t xml:space="preserve"> and </w:t>
      </w:r>
      <w:r w:rsidRPr="003A58CF">
        <w:t>composition and location disadvantage will affect our towns and small settlements. Some of our towns will face pressure on their existing services and will need to plan for new and additional services. Populations in other towns and smaller settlements that are facing a decrease in population require creative solutions to ensure access to social infrastructure to support community participation, health and wellbeing.</w:t>
      </w:r>
    </w:p>
    <w:p w:rsidR="002D2356" w:rsidRPr="006D2AB8" w:rsidRDefault="00200032" w:rsidP="009F08CB">
      <w:pPr>
        <w:pStyle w:val="Heading4"/>
        <w:rPr>
          <w:rStyle w:val="Strong"/>
          <w:b/>
          <w:bCs/>
        </w:rPr>
      </w:pPr>
      <w:r w:rsidRPr="006D2AB8">
        <w:rPr>
          <w:rStyle w:val="Strong"/>
          <w:b/>
          <w:bCs/>
        </w:rPr>
        <w:t>How</w:t>
      </w:r>
    </w:p>
    <w:p w:rsidR="00FD633C" w:rsidRPr="003A58CF" w:rsidRDefault="00872431" w:rsidP="00854F5E">
      <w:pPr>
        <w:pStyle w:val="bt"/>
        <w:rPr>
          <w:rFonts w:eastAsia="MS ????"/>
        </w:rPr>
      </w:pPr>
      <w:r w:rsidRPr="003A58CF">
        <w:t>Refer to Maps</w:t>
      </w:r>
      <w:r w:rsidR="00BA6E4B" w:rsidRPr="003A58CF">
        <w:t xml:space="preserve"> </w:t>
      </w:r>
      <w:r w:rsidR="00C375C3" w:rsidRPr="003A58CF">
        <w:t xml:space="preserve">1, </w:t>
      </w:r>
      <w:r w:rsidR="00BA6E4B" w:rsidRPr="003A58CF">
        <w:t xml:space="preserve">9, </w:t>
      </w:r>
      <w:r w:rsidR="00C375C3" w:rsidRPr="003A58CF">
        <w:t xml:space="preserve">15 and 16 </w:t>
      </w:r>
      <w:r w:rsidR="004E1447" w:rsidRPr="003A58CF">
        <w:t>that</w:t>
      </w:r>
      <w:r w:rsidR="00EA57DF" w:rsidRPr="003A58CF">
        <w:t xml:space="preserve"> highlight the role and function of the Loddon Mallee South region’s communities, especially its small towns, and the infrastructure needed to support growth and change.</w:t>
      </w:r>
    </w:p>
    <w:p w:rsidR="0075620F" w:rsidRPr="006D2AB8" w:rsidRDefault="00200032" w:rsidP="009F08CB">
      <w:pPr>
        <w:pStyle w:val="Heading4"/>
        <w:rPr>
          <w:rStyle w:val="Strong"/>
          <w:b/>
          <w:bCs/>
        </w:rPr>
      </w:pPr>
      <w:r w:rsidRPr="006D2AB8">
        <w:rPr>
          <w:rStyle w:val="Strong"/>
          <w:b/>
          <w:bCs/>
        </w:rPr>
        <w:t>Principle</w:t>
      </w:r>
      <w:r w:rsidR="0075620F" w:rsidRPr="006D2AB8">
        <w:rPr>
          <w:rStyle w:val="Strong"/>
          <w:b/>
          <w:bCs/>
        </w:rPr>
        <w:t xml:space="preserve"> 3. Strengthen and diversify our economy</w:t>
      </w:r>
    </w:p>
    <w:p w:rsidR="00200032" w:rsidRPr="003A58CF" w:rsidRDefault="0075620F" w:rsidP="00854F5E">
      <w:pPr>
        <w:pStyle w:val="bt"/>
        <w:rPr>
          <w:b/>
        </w:rPr>
      </w:pPr>
      <w:r w:rsidRPr="003A58CF">
        <w:t>Ensuring access to diverse employment, recreation, retail and cultural activities will develop the Loddon Mallee South region as a preferred destination and self-sustaining region. Strategic opportunities for the growth of the region’s economic base, including agricultural diversification</w:t>
      </w:r>
      <w:r w:rsidR="00797B02" w:rsidRPr="003A58CF">
        <w:t>, the minerals industry</w:t>
      </w:r>
      <w:r w:rsidRPr="003A58CF">
        <w:t xml:space="preserve"> and new industries, will also be facilitated.</w:t>
      </w:r>
    </w:p>
    <w:p w:rsidR="002D2356" w:rsidRPr="006D2AB8" w:rsidRDefault="00200032">
      <w:pPr>
        <w:pStyle w:val="btbold"/>
        <w:rPr>
          <w:rStyle w:val="Strong"/>
          <w:b/>
          <w:bCs/>
        </w:rPr>
      </w:pPr>
      <w:r w:rsidRPr="006D2AB8">
        <w:rPr>
          <w:rStyle w:val="Strong"/>
          <w:b/>
          <w:bCs/>
        </w:rPr>
        <w:t>Future directions</w:t>
      </w:r>
    </w:p>
    <w:p w:rsidR="0075620F" w:rsidRPr="00A82A4D" w:rsidRDefault="0075620F" w:rsidP="00A82A4D">
      <w:pPr>
        <w:pStyle w:val="btbullet"/>
      </w:pPr>
      <w:bookmarkStart w:id="272" w:name="OLE_LINK149"/>
      <w:r w:rsidRPr="00A82A4D">
        <w:t>Enable residents to work and participate in the region by continuing to expand the region’s diverse economy</w:t>
      </w:r>
    </w:p>
    <w:p w:rsidR="0075620F" w:rsidRPr="00A82A4D" w:rsidRDefault="0075620F" w:rsidP="00A82A4D">
      <w:pPr>
        <w:pStyle w:val="btbullet"/>
      </w:pPr>
      <w:r w:rsidRPr="00A82A4D">
        <w:t>Leverage greater employment and investment outcomes from growth sectors such as health, education and professional services</w:t>
      </w:r>
    </w:p>
    <w:p w:rsidR="007A03A2" w:rsidRPr="00A82A4D" w:rsidRDefault="007A03A2" w:rsidP="00A82A4D">
      <w:pPr>
        <w:pStyle w:val="btbullet"/>
      </w:pPr>
      <w:r w:rsidRPr="00A82A4D">
        <w:t xml:space="preserve">Develop employment areas that are located, serviced and </w:t>
      </w:r>
      <w:r w:rsidR="007C7365" w:rsidRPr="00A82A4D">
        <w:t xml:space="preserve">sited </w:t>
      </w:r>
      <w:r w:rsidRPr="00A82A4D">
        <w:t>to take advantage of water, infrastructure, transport and energy connections</w:t>
      </w:r>
    </w:p>
    <w:p w:rsidR="002D2356" w:rsidRPr="00A82A4D" w:rsidRDefault="007A03A2" w:rsidP="00A82A4D">
      <w:pPr>
        <w:pStyle w:val="btbullet"/>
      </w:pPr>
      <w:r w:rsidRPr="00A82A4D">
        <w:lastRenderedPageBreak/>
        <w:t>Support and develop emerging and potential growth sectors such as tourism, renewable energy, resource recovery and other green industries</w:t>
      </w:r>
      <w:bookmarkEnd w:id="272"/>
    </w:p>
    <w:p w:rsidR="002D2356" w:rsidRPr="00C727AE" w:rsidRDefault="00200032" w:rsidP="00C727AE">
      <w:pPr>
        <w:pStyle w:val="bt"/>
        <w:rPr>
          <w:rStyle w:val="Strong"/>
        </w:rPr>
      </w:pPr>
      <w:r w:rsidRPr="00C727AE">
        <w:rPr>
          <w:rStyle w:val="Strong"/>
        </w:rPr>
        <w:t>Rationale</w:t>
      </w:r>
    </w:p>
    <w:p w:rsidR="0075620F" w:rsidRPr="003A58CF" w:rsidRDefault="0075620F" w:rsidP="00854F5E">
      <w:pPr>
        <w:pStyle w:val="bt"/>
      </w:pPr>
      <w:r w:rsidRPr="003A58CF">
        <w:t>The planning and provision of infrastructure will ensure access to services for all people and enhance social and economic wellbeing and participation.</w:t>
      </w:r>
    </w:p>
    <w:p w:rsidR="002D2356" w:rsidRPr="00C727AE" w:rsidRDefault="00200032" w:rsidP="00C727AE">
      <w:pPr>
        <w:pStyle w:val="bt"/>
        <w:rPr>
          <w:rStyle w:val="Strong"/>
        </w:rPr>
      </w:pPr>
      <w:r w:rsidRPr="00C727AE">
        <w:rPr>
          <w:rStyle w:val="Strong"/>
        </w:rPr>
        <w:t>How</w:t>
      </w:r>
    </w:p>
    <w:p w:rsidR="002F32E5" w:rsidRPr="003A58CF" w:rsidRDefault="0075620F" w:rsidP="00854F5E">
      <w:pPr>
        <w:pStyle w:val="bt"/>
      </w:pPr>
      <w:r w:rsidRPr="003A58CF">
        <w:t>Refer to Maps</w:t>
      </w:r>
      <w:r w:rsidR="00BA6E4B" w:rsidRPr="003A58CF">
        <w:t xml:space="preserve"> </w:t>
      </w:r>
      <w:r w:rsidR="00C375C3" w:rsidRPr="003A58CF">
        <w:t xml:space="preserve">1, </w:t>
      </w:r>
      <w:r w:rsidR="00BA6E4B" w:rsidRPr="003A58CF">
        <w:t>6, 7</w:t>
      </w:r>
      <w:r w:rsidR="00F93361" w:rsidRPr="003A58CF">
        <w:t xml:space="preserve"> and </w:t>
      </w:r>
      <w:r w:rsidR="00BA6E4B" w:rsidRPr="003A58CF">
        <w:t>8</w:t>
      </w:r>
      <w:r w:rsidR="00EA57DF" w:rsidRPr="003A58CF">
        <w:t xml:space="preserve"> </w:t>
      </w:r>
      <w:r w:rsidR="004E1447" w:rsidRPr="003A58CF">
        <w:t>that</w:t>
      </w:r>
      <w:r w:rsidR="00EA57DF" w:rsidRPr="003A58CF">
        <w:t xml:space="preserve"> outline future directions for the economy, for rural production and for managing and leveraging off the region’s significant environmental assets.</w:t>
      </w:r>
    </w:p>
    <w:p w:rsidR="00BC4353" w:rsidRPr="00C727AE" w:rsidRDefault="002C0C87" w:rsidP="00C727AE">
      <w:pPr>
        <w:pStyle w:val="bt"/>
        <w:rPr>
          <w:rStyle w:val="Strong"/>
        </w:rPr>
      </w:pPr>
      <w:r w:rsidRPr="00C727AE">
        <w:rPr>
          <w:rStyle w:val="Strong"/>
        </w:rPr>
        <w:t>Principle</w:t>
      </w:r>
      <w:r w:rsidR="00BC4353" w:rsidRPr="00C727AE">
        <w:rPr>
          <w:rStyle w:val="Strong"/>
        </w:rPr>
        <w:t xml:space="preserve"> </w:t>
      </w:r>
      <w:bookmarkStart w:id="273" w:name="OLE_LINK131"/>
      <w:bookmarkStart w:id="274" w:name="OLE_LINK132"/>
      <w:r w:rsidR="00BC4353" w:rsidRPr="00C727AE">
        <w:rPr>
          <w:rStyle w:val="Strong"/>
        </w:rPr>
        <w:t>4. Improve our infrastructure</w:t>
      </w:r>
    </w:p>
    <w:p w:rsidR="002C0C87" w:rsidRPr="003A58CF" w:rsidRDefault="00BC4353" w:rsidP="00854F5E">
      <w:pPr>
        <w:pStyle w:val="bt"/>
        <w:rPr>
          <w:b/>
        </w:rPr>
      </w:pPr>
      <w:r w:rsidRPr="003A58CF">
        <w:t>Good infrastructure enables our communities to remain connected, sustainable and vibrant. Planning for growth is undertaken alongside planning and development in infrastructure to enable economic and settlement growth in strategic locations.</w:t>
      </w:r>
      <w:bookmarkEnd w:id="273"/>
      <w:bookmarkEnd w:id="274"/>
    </w:p>
    <w:p w:rsidR="002D2356" w:rsidRPr="00C727AE" w:rsidRDefault="002C0C87" w:rsidP="00C727AE">
      <w:pPr>
        <w:pStyle w:val="bt"/>
        <w:rPr>
          <w:rStyle w:val="Strong"/>
        </w:rPr>
      </w:pPr>
      <w:r w:rsidRPr="00C727AE">
        <w:rPr>
          <w:rStyle w:val="Strong"/>
        </w:rPr>
        <w:t>Future directions</w:t>
      </w:r>
    </w:p>
    <w:p w:rsidR="00DC5EBF" w:rsidRPr="003A58CF" w:rsidRDefault="00DC5EBF" w:rsidP="00CA6478">
      <w:pPr>
        <w:pStyle w:val="btbullet"/>
      </w:pPr>
      <w:r w:rsidRPr="003A58CF">
        <w:t>Strategically direct growth to locations with good existing infrastructure and infrastructure with the capacity for enhancement</w:t>
      </w:r>
    </w:p>
    <w:p w:rsidR="0045082B" w:rsidRPr="003A58CF" w:rsidRDefault="0045082B" w:rsidP="00CA6478">
      <w:pPr>
        <w:pStyle w:val="btbullet"/>
      </w:pPr>
      <w:r w:rsidRPr="003A58CF">
        <w:t>Provide adequate waste and resource recovery infrastructure and serv</w:t>
      </w:r>
      <w:r w:rsidR="00227940">
        <w:t>ices to support new development</w:t>
      </w:r>
      <w:r w:rsidRPr="003A58CF">
        <w:t xml:space="preserve"> and population growth in the region</w:t>
      </w:r>
    </w:p>
    <w:p w:rsidR="00DC5EBF" w:rsidRPr="003A58CF" w:rsidRDefault="00DC5EBF" w:rsidP="00CA6478">
      <w:pPr>
        <w:pStyle w:val="btbullet"/>
      </w:pPr>
      <w:r w:rsidRPr="003A58CF">
        <w:t>Ensure that the current and future operation of major infrastructure of state and regional significance</w:t>
      </w:r>
      <w:r w:rsidR="009334CD" w:rsidRPr="003A58CF">
        <w:t>,</w:t>
      </w:r>
      <w:r w:rsidRPr="003A58CF">
        <w:t xml:space="preserve"> including highways, railways, airports, communications networks and energy generation and distribution systems</w:t>
      </w:r>
      <w:r w:rsidR="009334CD" w:rsidRPr="003A58CF">
        <w:t>,</w:t>
      </w:r>
      <w:r w:rsidRPr="003A58CF">
        <w:t xml:space="preserve"> is not adversely affected by urban development in adjacent areas</w:t>
      </w:r>
    </w:p>
    <w:p w:rsidR="00BC4353" w:rsidRPr="003A58CF" w:rsidRDefault="00BC4353" w:rsidP="00CA6478">
      <w:pPr>
        <w:pStyle w:val="btbullet"/>
      </w:pPr>
      <w:r w:rsidRPr="003A58CF">
        <w:t xml:space="preserve">Prioritise infrastructure that connects </w:t>
      </w:r>
      <w:r w:rsidR="0045082B" w:rsidRPr="003A58CF">
        <w:t xml:space="preserve">the region’s </w:t>
      </w:r>
      <w:r w:rsidRPr="003A58CF">
        <w:t>communities through physical and electronic means, such as transport and internet access</w:t>
      </w:r>
    </w:p>
    <w:p w:rsidR="00DC5EBF" w:rsidRPr="003A58CF" w:rsidRDefault="00DC5EBF" w:rsidP="00CA6478">
      <w:pPr>
        <w:pStyle w:val="btbullet"/>
      </w:pPr>
      <w:r w:rsidRPr="003A58CF">
        <w:t>Strategically renew, maintain and develop infrastructure to maximise opportunities and services to meet anticipated need</w:t>
      </w:r>
    </w:p>
    <w:p w:rsidR="00BC4353" w:rsidRPr="003A58CF" w:rsidRDefault="00BC4353" w:rsidP="00CA6478">
      <w:pPr>
        <w:pStyle w:val="btbullet"/>
      </w:pPr>
      <w:r w:rsidRPr="003A58CF">
        <w:t>Protect water quality and quantity</w:t>
      </w:r>
    </w:p>
    <w:p w:rsidR="00AA6025" w:rsidRPr="003A58CF" w:rsidRDefault="00AA6025" w:rsidP="00CA6478">
      <w:pPr>
        <w:pStyle w:val="btbullet"/>
      </w:pPr>
      <w:r w:rsidRPr="003A58CF">
        <w:t>Provide for the future of waste management and resource recovery</w:t>
      </w:r>
    </w:p>
    <w:p w:rsidR="002D2356" w:rsidRPr="00C727AE" w:rsidRDefault="002C0C87" w:rsidP="00C727AE">
      <w:pPr>
        <w:pStyle w:val="bt"/>
        <w:rPr>
          <w:rStyle w:val="Strong"/>
        </w:rPr>
      </w:pPr>
      <w:r w:rsidRPr="00C727AE">
        <w:rPr>
          <w:rStyle w:val="Strong"/>
        </w:rPr>
        <w:t>Rationale</w:t>
      </w:r>
    </w:p>
    <w:p w:rsidR="00A105CD" w:rsidRPr="003A58CF" w:rsidRDefault="00A105CD" w:rsidP="00854F5E">
      <w:pPr>
        <w:pStyle w:val="bt"/>
      </w:pPr>
      <w:r w:rsidRPr="003A58CF">
        <w:t>The provision of appropriate infrastructure is a key enabler of population and economic growth. Strategically locating urban growth to locations well served by existing infrastructure helps facilitate growth. Land use planning that protects existing transport precincts and corridors supports economic growth and minimises conflict of land uses.</w:t>
      </w:r>
    </w:p>
    <w:p w:rsidR="002D2356" w:rsidRPr="00C727AE" w:rsidRDefault="002C0C87" w:rsidP="00C727AE">
      <w:pPr>
        <w:pStyle w:val="bt"/>
        <w:rPr>
          <w:rStyle w:val="Strong"/>
        </w:rPr>
      </w:pPr>
      <w:r w:rsidRPr="00C727AE">
        <w:rPr>
          <w:rStyle w:val="Strong"/>
        </w:rPr>
        <w:t>How</w:t>
      </w:r>
    </w:p>
    <w:p w:rsidR="00713A94" w:rsidRPr="003A58CF" w:rsidRDefault="00BC4353" w:rsidP="00854F5E">
      <w:pPr>
        <w:pStyle w:val="bt"/>
      </w:pPr>
      <w:r w:rsidRPr="003A58CF">
        <w:t>Refer to Maps</w:t>
      </w:r>
      <w:r w:rsidR="00BA6E4B" w:rsidRPr="003A58CF">
        <w:t xml:space="preserve"> </w:t>
      </w:r>
      <w:r w:rsidR="00C375C3" w:rsidRPr="003A58CF">
        <w:t xml:space="preserve">1, 15 and 16 </w:t>
      </w:r>
      <w:r w:rsidR="004E1447" w:rsidRPr="003A58CF">
        <w:t>that</w:t>
      </w:r>
      <w:r w:rsidR="00C375C3" w:rsidRPr="003A58CF">
        <w:t xml:space="preserve"> highlight the region’s infrastructure assets and opportunities, and </w:t>
      </w:r>
      <w:r w:rsidR="004E1447" w:rsidRPr="003A58CF">
        <w:t xml:space="preserve">provide </w:t>
      </w:r>
      <w:r w:rsidR="00C375C3" w:rsidRPr="00854F5E">
        <w:t>future</w:t>
      </w:r>
      <w:r w:rsidR="00C375C3" w:rsidRPr="003A58CF">
        <w:t xml:space="preserve"> directions for infrastructure required to support regional growth.</w:t>
      </w:r>
    </w:p>
    <w:p w:rsidR="00516E28" w:rsidRPr="00C727AE" w:rsidRDefault="002C0C87" w:rsidP="00C727AE">
      <w:pPr>
        <w:pStyle w:val="bt"/>
        <w:rPr>
          <w:rStyle w:val="Strong"/>
        </w:rPr>
      </w:pPr>
      <w:r w:rsidRPr="00C727AE">
        <w:rPr>
          <w:rStyle w:val="Strong"/>
        </w:rPr>
        <w:t>Principle</w:t>
      </w:r>
      <w:r w:rsidR="00516E28" w:rsidRPr="00C727AE">
        <w:rPr>
          <w:rStyle w:val="Strong"/>
        </w:rPr>
        <w:t xml:space="preserve"> 5. Improve education and training outcomes</w:t>
      </w:r>
    </w:p>
    <w:p w:rsidR="002C0C87" w:rsidRPr="003A58CF" w:rsidRDefault="00516E28" w:rsidP="00854F5E">
      <w:pPr>
        <w:pStyle w:val="bt"/>
      </w:pPr>
      <w:r w:rsidRPr="003A58CF">
        <w:t xml:space="preserve">Whole-of-life education and training is critical to overall health and wellbeing. Educational attainment brings personal, social and economic benefits to individuals and communities. It also creates increased access to </w:t>
      </w:r>
      <w:r w:rsidRPr="003A58CF">
        <w:lastRenderedPageBreak/>
        <w:t>employment for individuals, helps address regional skill shortages and assists in strengthening and diversifying the economy.</w:t>
      </w:r>
    </w:p>
    <w:p w:rsidR="002D2356" w:rsidRPr="00C727AE" w:rsidRDefault="002C0C87" w:rsidP="00C727AE">
      <w:pPr>
        <w:pStyle w:val="bt"/>
        <w:rPr>
          <w:rStyle w:val="Strong"/>
        </w:rPr>
      </w:pPr>
      <w:r w:rsidRPr="00C727AE">
        <w:rPr>
          <w:rStyle w:val="Strong"/>
        </w:rPr>
        <w:t>Future directions</w:t>
      </w:r>
    </w:p>
    <w:p w:rsidR="00AA6025" w:rsidRPr="00A82A4D" w:rsidRDefault="00AA6025" w:rsidP="00A82A4D">
      <w:pPr>
        <w:pStyle w:val="btbullet"/>
      </w:pPr>
      <w:bookmarkStart w:id="275" w:name="OLE_LINK152"/>
      <w:bookmarkStart w:id="276" w:name="OLE_LINK153"/>
      <w:r w:rsidRPr="00A82A4D">
        <w:t>Build a skilled and adaptable workforce by attracting skilled workers and by providing access to high quality education and training opportunities</w:t>
      </w:r>
      <w:r w:rsidR="007C7365" w:rsidRPr="00A82A4D">
        <w:t>,</w:t>
      </w:r>
      <w:r w:rsidRPr="00A82A4D">
        <w:t xml:space="preserve"> which provide pathways to employment</w:t>
      </w:r>
    </w:p>
    <w:p w:rsidR="00AA6025" w:rsidRPr="00A82A4D" w:rsidRDefault="00AA6025" w:rsidP="00A82A4D">
      <w:pPr>
        <w:pStyle w:val="btbullet"/>
      </w:pPr>
      <w:r w:rsidRPr="00A82A4D">
        <w:t>Plan for the facilities and infrastructure needed for delivery of education and training to support growth</w:t>
      </w:r>
      <w:bookmarkEnd w:id="275"/>
      <w:bookmarkEnd w:id="276"/>
    </w:p>
    <w:p w:rsidR="002D2356" w:rsidRPr="00C727AE" w:rsidRDefault="002C0C87" w:rsidP="00C727AE">
      <w:pPr>
        <w:pStyle w:val="bt"/>
        <w:rPr>
          <w:rStyle w:val="Strong"/>
        </w:rPr>
      </w:pPr>
      <w:r w:rsidRPr="00C727AE">
        <w:rPr>
          <w:rStyle w:val="Strong"/>
        </w:rPr>
        <w:t>Rationale</w:t>
      </w:r>
    </w:p>
    <w:p w:rsidR="00516E28" w:rsidRPr="003A58CF" w:rsidRDefault="00516E28" w:rsidP="00854F5E">
      <w:pPr>
        <w:pStyle w:val="bt"/>
      </w:pPr>
      <w:r w:rsidRPr="003A58CF">
        <w:t>Workforce skills gaps have been identified in key economic growth areas including construction, education, transport and logistics, and health. These gaps suggest the region should better integrate secondary school and post-secondary education with regional economic development. Ongoing training is also required to ensure workers’ skills continue to meet the changing needs of industry and are positioned to take advantage of any emerging industry opportunities.</w:t>
      </w:r>
    </w:p>
    <w:p w:rsidR="002D2356" w:rsidRPr="00C727AE" w:rsidRDefault="002C0C87" w:rsidP="00C727AE">
      <w:pPr>
        <w:pStyle w:val="bt"/>
        <w:rPr>
          <w:rStyle w:val="Strong"/>
        </w:rPr>
      </w:pPr>
      <w:r w:rsidRPr="00C727AE">
        <w:rPr>
          <w:rStyle w:val="Strong"/>
        </w:rPr>
        <w:t>How</w:t>
      </w:r>
    </w:p>
    <w:p w:rsidR="00516E28" w:rsidRPr="003A58CF" w:rsidRDefault="00516E28" w:rsidP="00854F5E">
      <w:pPr>
        <w:pStyle w:val="bt"/>
        <w:rPr>
          <w:rFonts w:eastAsia="MS ????"/>
        </w:rPr>
      </w:pPr>
      <w:r w:rsidRPr="003A58CF">
        <w:t>Refer to Map</w:t>
      </w:r>
      <w:r w:rsidR="00BA6E4B" w:rsidRPr="003A58CF">
        <w:t xml:space="preserve"> </w:t>
      </w:r>
      <w:r w:rsidR="004E1447" w:rsidRPr="003A58CF">
        <w:t>15 that provides future infrastructure directions for the development of local government land</w:t>
      </w:r>
      <w:r w:rsidR="00D763CF" w:rsidRPr="003A58CF">
        <w:t xml:space="preserve"> and</w:t>
      </w:r>
      <w:r w:rsidR="004E1447" w:rsidRPr="003A58CF">
        <w:t xml:space="preserve"> infrastructure strategies to support future development of existing and new education campuses and other social infrastructure </w:t>
      </w:r>
      <w:r w:rsidR="00D763CF" w:rsidRPr="003A58CF">
        <w:t>needed for</w:t>
      </w:r>
      <w:r w:rsidR="004E1447" w:rsidRPr="003A58CF">
        <w:t xml:space="preserve"> a skilled and adaptable workforce</w:t>
      </w:r>
      <w:r w:rsidR="002E1096" w:rsidRPr="003A58CF">
        <w:t>.</w:t>
      </w:r>
    </w:p>
    <w:p w:rsidR="00BF14FC" w:rsidRPr="00C727AE" w:rsidRDefault="002C0C87" w:rsidP="00C727AE">
      <w:pPr>
        <w:pStyle w:val="bt"/>
        <w:rPr>
          <w:rStyle w:val="Strong"/>
        </w:rPr>
      </w:pPr>
      <w:r w:rsidRPr="00C727AE">
        <w:rPr>
          <w:rStyle w:val="Strong"/>
        </w:rPr>
        <w:t>Principle</w:t>
      </w:r>
      <w:r w:rsidR="00BF14FC" w:rsidRPr="00C727AE">
        <w:rPr>
          <w:rStyle w:val="Strong"/>
        </w:rPr>
        <w:t xml:space="preserve"> </w:t>
      </w:r>
      <w:bookmarkStart w:id="277" w:name="OLE_LINK135"/>
      <w:bookmarkStart w:id="278" w:name="OLE_LINK136"/>
      <w:r w:rsidR="00BF14FC" w:rsidRPr="00C727AE">
        <w:rPr>
          <w:rStyle w:val="Strong"/>
        </w:rPr>
        <w:t>6. Protect and enhance our natural and built environment</w:t>
      </w:r>
    </w:p>
    <w:p w:rsidR="002C0C87" w:rsidRPr="003A58CF" w:rsidRDefault="00BF14FC" w:rsidP="00854F5E">
      <w:pPr>
        <w:pStyle w:val="bt"/>
      </w:pPr>
      <w:r w:rsidRPr="003A58CF">
        <w:t>Settlement growth and development will occur in sympathy with environmental and heritage assets</w:t>
      </w:r>
      <w:r w:rsidR="002E1096" w:rsidRPr="003A58CF">
        <w:t>, for example,</w:t>
      </w:r>
      <w:r w:rsidRPr="003A58CF">
        <w:t xml:space="preserve"> native habitat, waterways, wetlands, soil health, water quality and Aboriginal and post-contact heritage. </w:t>
      </w:r>
      <w:bookmarkEnd w:id="277"/>
      <w:bookmarkEnd w:id="278"/>
      <w:r w:rsidRPr="003A58CF">
        <w:t>Celebrating our natural assets contributes to the liveability of the region and attracts visitors as well as supports community wellbeing.</w:t>
      </w:r>
    </w:p>
    <w:p w:rsidR="002D2356" w:rsidRPr="00C727AE" w:rsidRDefault="002C0C87" w:rsidP="00C727AE">
      <w:pPr>
        <w:pStyle w:val="bt"/>
        <w:rPr>
          <w:rStyle w:val="Strong"/>
        </w:rPr>
      </w:pPr>
      <w:r w:rsidRPr="00C727AE">
        <w:rPr>
          <w:rStyle w:val="Strong"/>
        </w:rPr>
        <w:t>Future directions</w:t>
      </w:r>
    </w:p>
    <w:p w:rsidR="00AA6025" w:rsidRPr="003A58CF" w:rsidRDefault="00AA6025" w:rsidP="00CA6478">
      <w:pPr>
        <w:pStyle w:val="btbullet"/>
        <w:rPr>
          <w:lang w:eastAsia="en-US"/>
        </w:rPr>
      </w:pPr>
      <w:bookmarkStart w:id="279" w:name="OLE_LINK156"/>
      <w:bookmarkStart w:id="280" w:name="OLE_LINK157"/>
      <w:r w:rsidRPr="003A58CF">
        <w:rPr>
          <w:lang w:eastAsia="en-US"/>
        </w:rPr>
        <w:t>Protect and improve the condition of the region’s important environmental assets such as the forests, wetlands and rivers</w:t>
      </w:r>
    </w:p>
    <w:p w:rsidR="00BF14FC" w:rsidRPr="003A58CF" w:rsidRDefault="00BF14FC" w:rsidP="00CA6478">
      <w:pPr>
        <w:pStyle w:val="btbullet"/>
      </w:pPr>
      <w:r w:rsidRPr="003A58CF">
        <w:t>Protect identified visually important landscapes, and cultural and built heritage places</w:t>
      </w:r>
    </w:p>
    <w:p w:rsidR="00AA6025" w:rsidRPr="003A58CF" w:rsidRDefault="00AA6025" w:rsidP="00CA6478">
      <w:pPr>
        <w:pStyle w:val="btbullet"/>
        <w:rPr>
          <w:lang w:eastAsia="en-US"/>
        </w:rPr>
      </w:pPr>
      <w:r w:rsidRPr="003A58CF">
        <w:rPr>
          <w:lang w:eastAsia="en-US"/>
        </w:rPr>
        <w:t xml:space="preserve">Plan for settlement growth to occur in locations that avoid areas of high risk from natural hazards such as </w:t>
      </w:r>
      <w:r w:rsidR="002D2356" w:rsidRPr="003A58CF">
        <w:rPr>
          <w:lang w:eastAsia="en-US"/>
        </w:rPr>
        <w:t>bushfire</w:t>
      </w:r>
      <w:r w:rsidRPr="003A58CF">
        <w:rPr>
          <w:lang w:eastAsia="en-US"/>
        </w:rPr>
        <w:t xml:space="preserve"> and </w:t>
      </w:r>
      <w:r w:rsidR="002D2356" w:rsidRPr="003A58CF">
        <w:rPr>
          <w:lang w:eastAsia="en-US"/>
        </w:rPr>
        <w:t>flood</w:t>
      </w:r>
    </w:p>
    <w:p w:rsidR="00BF14FC" w:rsidRPr="003A58CF" w:rsidRDefault="00BF14FC" w:rsidP="00CA6478">
      <w:pPr>
        <w:pStyle w:val="btbullet"/>
      </w:pPr>
      <w:r w:rsidRPr="003A58CF">
        <w:t>Manage settlement growth to limit the impact on agricultural productivity, natural resources and environmental assets</w:t>
      </w:r>
    </w:p>
    <w:p w:rsidR="00BF14FC" w:rsidRPr="003A58CF" w:rsidRDefault="00BF14FC" w:rsidP="00CA6478">
      <w:pPr>
        <w:pStyle w:val="btbullet"/>
      </w:pPr>
      <w:r w:rsidRPr="003A58CF">
        <w:t>Maintain the non-urban breaks between settlements</w:t>
      </w:r>
    </w:p>
    <w:p w:rsidR="00AA6025" w:rsidRPr="003A58CF" w:rsidRDefault="00BF14FC" w:rsidP="00CA6478">
      <w:pPr>
        <w:pStyle w:val="btbullet"/>
      </w:pPr>
      <w:r w:rsidRPr="003A58CF">
        <w:t>Minimise the impacts of land use change and development on areas with significant environmental assets</w:t>
      </w:r>
    </w:p>
    <w:bookmarkEnd w:id="279"/>
    <w:bookmarkEnd w:id="280"/>
    <w:p w:rsidR="002D2356" w:rsidRPr="00C727AE" w:rsidRDefault="002C0C87" w:rsidP="00C727AE">
      <w:pPr>
        <w:pStyle w:val="bt"/>
        <w:rPr>
          <w:rStyle w:val="Strong"/>
        </w:rPr>
      </w:pPr>
      <w:r w:rsidRPr="00C727AE">
        <w:rPr>
          <w:rStyle w:val="Strong"/>
        </w:rPr>
        <w:t>Rationale</w:t>
      </w:r>
    </w:p>
    <w:p w:rsidR="006D63D8" w:rsidRPr="003A58CF" w:rsidRDefault="006D63D8" w:rsidP="00854F5E">
      <w:pPr>
        <w:pStyle w:val="bt"/>
      </w:pPr>
      <w:r w:rsidRPr="003A58CF">
        <w:t xml:space="preserve">Growth of our region will capitalise on environmental and heritage assets through advancing tourism, settlement and economic diversification opportunities, </w:t>
      </w:r>
      <w:r w:rsidR="00051021" w:rsidRPr="003A58CF">
        <w:t xml:space="preserve">while </w:t>
      </w:r>
      <w:r w:rsidRPr="003A58CF">
        <w:t>improving environmental assets, where possible.</w:t>
      </w:r>
    </w:p>
    <w:p w:rsidR="002D2356" w:rsidRPr="00C727AE" w:rsidRDefault="002C0C87" w:rsidP="00C727AE">
      <w:pPr>
        <w:pStyle w:val="bt"/>
        <w:rPr>
          <w:rStyle w:val="Strong"/>
        </w:rPr>
      </w:pPr>
      <w:r w:rsidRPr="00C727AE">
        <w:rPr>
          <w:rStyle w:val="Strong"/>
        </w:rPr>
        <w:t>How</w:t>
      </w:r>
    </w:p>
    <w:p w:rsidR="002D2356" w:rsidRPr="003A58CF" w:rsidRDefault="006D63D8" w:rsidP="00854F5E">
      <w:pPr>
        <w:pStyle w:val="bt"/>
        <w:rPr>
          <w:rStyle w:val="Strong"/>
          <w:sz w:val="22"/>
        </w:rPr>
      </w:pPr>
      <w:r w:rsidRPr="003A58CF">
        <w:lastRenderedPageBreak/>
        <w:t>Refer to Maps</w:t>
      </w:r>
      <w:r w:rsidR="00D36061" w:rsidRPr="003A58CF">
        <w:t xml:space="preserve"> </w:t>
      </w:r>
      <w:r w:rsidR="00BA6E4B" w:rsidRPr="003A58CF">
        <w:t>1, 5, 8</w:t>
      </w:r>
      <w:r w:rsidR="00F93361" w:rsidRPr="003A58CF">
        <w:t xml:space="preserve"> and </w:t>
      </w:r>
      <w:r w:rsidR="00BA6E4B" w:rsidRPr="003A58CF">
        <w:t>9</w:t>
      </w:r>
      <w:r w:rsidR="00F93361" w:rsidRPr="003A58CF">
        <w:t xml:space="preserve"> that provide direction for protecting and enhancing the region’s environmental assets and heritage features, and managing natural hazards in order to support regional growth through diversification, tourism and technological advancement.</w:t>
      </w:r>
    </w:p>
    <w:p w:rsidR="003B354E" w:rsidRPr="00C727AE" w:rsidRDefault="002C0C87" w:rsidP="00C727AE">
      <w:pPr>
        <w:pStyle w:val="bt"/>
        <w:rPr>
          <w:rStyle w:val="Strong"/>
        </w:rPr>
      </w:pPr>
      <w:r w:rsidRPr="00C727AE">
        <w:rPr>
          <w:rStyle w:val="Strong"/>
        </w:rPr>
        <w:t>Principle</w:t>
      </w:r>
      <w:r w:rsidR="003B354E" w:rsidRPr="00C727AE">
        <w:rPr>
          <w:rStyle w:val="Strong"/>
        </w:rPr>
        <w:t xml:space="preserve"> 7. Ensure our food, water and energy security</w:t>
      </w:r>
    </w:p>
    <w:p w:rsidR="002C0C87" w:rsidRPr="003A58CF" w:rsidRDefault="00D34F9B" w:rsidP="00854F5E">
      <w:pPr>
        <w:pStyle w:val="bt"/>
        <w:rPr>
          <w:b/>
        </w:rPr>
      </w:pPr>
      <w:r w:rsidRPr="003A58CF">
        <w:t>O</w:t>
      </w:r>
      <w:r w:rsidR="003B354E" w:rsidRPr="003A58CF">
        <w:t xml:space="preserve">ur farming and food production areas </w:t>
      </w:r>
      <w:r w:rsidRPr="003A58CF">
        <w:t>will be strengthened to</w:t>
      </w:r>
      <w:r w:rsidR="003B354E" w:rsidRPr="003A58CF">
        <w:t xml:space="preserve"> optimise opportunities for the production of energy. Protect</w:t>
      </w:r>
      <w:r w:rsidRPr="003A58CF">
        <w:t>ion of</w:t>
      </w:r>
      <w:r w:rsidR="003B354E" w:rsidRPr="003A58CF">
        <w:t xml:space="preserve"> our water sources and infrastructure</w:t>
      </w:r>
      <w:r w:rsidRPr="003A58CF">
        <w:t xml:space="preserve"> is </w:t>
      </w:r>
      <w:r w:rsidR="00DD085A" w:rsidRPr="003A58CF">
        <w:t>important to</w:t>
      </w:r>
      <w:r w:rsidR="003B354E" w:rsidRPr="003A58CF">
        <w:t xml:space="preserve"> sustain growth for our urban and rural areas.</w:t>
      </w:r>
    </w:p>
    <w:p w:rsidR="002D2356" w:rsidRPr="00C727AE" w:rsidRDefault="002C0C87" w:rsidP="00C727AE">
      <w:pPr>
        <w:pStyle w:val="bt"/>
        <w:rPr>
          <w:rStyle w:val="Strong"/>
        </w:rPr>
      </w:pPr>
      <w:r w:rsidRPr="00C727AE">
        <w:rPr>
          <w:rStyle w:val="Strong"/>
        </w:rPr>
        <w:t>Future directions</w:t>
      </w:r>
    </w:p>
    <w:p w:rsidR="003B354E" w:rsidRPr="003A58CF" w:rsidRDefault="003B354E" w:rsidP="00CA6478">
      <w:pPr>
        <w:pStyle w:val="btbullet"/>
      </w:pPr>
      <w:r w:rsidRPr="003A58CF">
        <w:t>Facilitate ongoing agricultural productivity and investment in high value agriculture</w:t>
      </w:r>
    </w:p>
    <w:p w:rsidR="003B354E" w:rsidRPr="003A58CF" w:rsidRDefault="003B354E" w:rsidP="00CA6478">
      <w:pPr>
        <w:pStyle w:val="btbullet"/>
        <w:rPr>
          <w:lang w:val="en-US"/>
        </w:rPr>
      </w:pPr>
      <w:bookmarkStart w:id="281" w:name="OLE_LINK108"/>
      <w:bookmarkStart w:id="282" w:name="OLE_LINK109"/>
      <w:r w:rsidRPr="003A58CF">
        <w:rPr>
          <w:lang w:val="en-US"/>
        </w:rPr>
        <w:t>Support ongoing adaptation and flexibility for the agricultural sector</w:t>
      </w:r>
    </w:p>
    <w:p w:rsidR="003B354E" w:rsidRPr="003A58CF" w:rsidRDefault="003B354E" w:rsidP="00CA6478">
      <w:pPr>
        <w:pStyle w:val="btbullet"/>
      </w:pPr>
      <w:r w:rsidRPr="003A58CF">
        <w:t>Facilitate ongoing agricultural productivity and new opportunities that respond to the potential impacts of climate change</w:t>
      </w:r>
    </w:p>
    <w:bookmarkEnd w:id="281"/>
    <w:bookmarkEnd w:id="282"/>
    <w:p w:rsidR="00AA6025" w:rsidRPr="003A58CF" w:rsidRDefault="00AA6025" w:rsidP="00CA6478">
      <w:pPr>
        <w:pStyle w:val="btbullet"/>
        <w:rPr>
          <w:lang w:eastAsia="en-US"/>
        </w:rPr>
      </w:pPr>
      <w:r w:rsidRPr="003A58CF">
        <w:rPr>
          <w:lang w:eastAsia="en-US"/>
        </w:rPr>
        <w:t>Support the sustainable use of rural land, including the development of regional catchment strategies and other suitable tools</w:t>
      </w:r>
    </w:p>
    <w:p w:rsidR="00AA6025" w:rsidRPr="003A58CF" w:rsidRDefault="00AA6025" w:rsidP="00CA6478">
      <w:pPr>
        <w:pStyle w:val="btbullet"/>
        <w:rPr>
          <w:lang w:eastAsia="en-US"/>
        </w:rPr>
      </w:pPr>
      <w:r w:rsidRPr="003A58CF">
        <w:rPr>
          <w:lang w:eastAsia="en-US"/>
        </w:rPr>
        <w:t>Encourage and facilitate development in renewable energy, waste to energy, carbon sequestration and other new energy opportunities</w:t>
      </w:r>
    </w:p>
    <w:p w:rsidR="00AA6025" w:rsidRPr="003A58CF" w:rsidRDefault="003B354E" w:rsidP="00CA6478">
      <w:pPr>
        <w:pStyle w:val="btbullet"/>
      </w:pPr>
      <w:bookmarkStart w:id="283" w:name="OLE_LINK166"/>
      <w:bookmarkStart w:id="284" w:name="OLE_LINK167"/>
      <w:r w:rsidRPr="003A58CF">
        <w:t>Protect water quality and quantity</w:t>
      </w:r>
      <w:bookmarkEnd w:id="283"/>
      <w:bookmarkEnd w:id="284"/>
    </w:p>
    <w:p w:rsidR="002D2356" w:rsidRPr="00C727AE" w:rsidRDefault="002C0C87" w:rsidP="00C727AE">
      <w:pPr>
        <w:pStyle w:val="bt"/>
        <w:rPr>
          <w:rStyle w:val="Strong"/>
        </w:rPr>
      </w:pPr>
      <w:r w:rsidRPr="00C727AE">
        <w:rPr>
          <w:rStyle w:val="Strong"/>
        </w:rPr>
        <w:t>Rationale</w:t>
      </w:r>
    </w:p>
    <w:p w:rsidR="003B354E" w:rsidRDefault="003B354E" w:rsidP="00854F5E">
      <w:pPr>
        <w:pStyle w:val="bt"/>
      </w:pPr>
      <w:r w:rsidRPr="003A58CF">
        <w:t>Agriculture provides employment and exports for the region (particularly for Loddon Shire). Beyond the economic significance, the continued viability of agricultural areas is critical to land and environmental management, social wellbeing for rural communities and an important aspect of our region’s landscape. With the climate and economy changing, the ability of farming communities and practices to adapt will be critical to a sustainable future. Support for the transitioning of towns from changes to irrigation through investments and diversification of economies is necessary.</w:t>
      </w:r>
    </w:p>
    <w:p w:rsidR="002D2356" w:rsidRPr="00C727AE" w:rsidRDefault="002C0C87" w:rsidP="00C727AE">
      <w:pPr>
        <w:pStyle w:val="bt"/>
        <w:rPr>
          <w:rStyle w:val="Strong"/>
        </w:rPr>
      </w:pPr>
      <w:r w:rsidRPr="00C727AE">
        <w:rPr>
          <w:rStyle w:val="Strong"/>
        </w:rPr>
        <w:t>How</w:t>
      </w:r>
    </w:p>
    <w:p w:rsidR="008B0EE2" w:rsidRPr="003A58CF" w:rsidRDefault="003B354E" w:rsidP="00854F5E">
      <w:pPr>
        <w:pStyle w:val="bt"/>
      </w:pPr>
      <w:r w:rsidRPr="003A58CF">
        <w:t>Refer to Maps</w:t>
      </w:r>
      <w:r w:rsidR="00F93361" w:rsidRPr="003A58CF">
        <w:t xml:space="preserve"> 1,</w:t>
      </w:r>
      <w:r w:rsidR="00BA6E4B" w:rsidRPr="003A58CF">
        <w:t xml:space="preserve"> 6, 7</w:t>
      </w:r>
      <w:r w:rsidR="00F93361" w:rsidRPr="003A58CF">
        <w:t xml:space="preserve"> and</w:t>
      </w:r>
      <w:r w:rsidR="00BA6E4B" w:rsidRPr="003A58CF">
        <w:t xml:space="preserve"> 8</w:t>
      </w:r>
      <w:r w:rsidR="00F93361" w:rsidRPr="003A58CF">
        <w:t xml:space="preserve"> that provide directions for the region’s future in farming and food production, and as an energy provider, in response to a changing climate and ongoing adaptation of the region’s economy.</w:t>
      </w:r>
    </w:p>
    <w:p w:rsidR="00421792" w:rsidRPr="00C727AE" w:rsidRDefault="002C0C87" w:rsidP="00C727AE">
      <w:pPr>
        <w:pStyle w:val="bt"/>
        <w:rPr>
          <w:rStyle w:val="Strong"/>
        </w:rPr>
      </w:pPr>
      <w:r w:rsidRPr="00C727AE">
        <w:rPr>
          <w:rStyle w:val="Strong"/>
        </w:rPr>
        <w:t>Principle</w:t>
      </w:r>
      <w:r w:rsidR="00421792" w:rsidRPr="00C727AE">
        <w:rPr>
          <w:rStyle w:val="Strong"/>
        </w:rPr>
        <w:t xml:space="preserve"> </w:t>
      </w:r>
      <w:bookmarkStart w:id="285" w:name="OLE_LINK141"/>
      <w:bookmarkStart w:id="286" w:name="OLE_LINK142"/>
      <w:r w:rsidR="00421792" w:rsidRPr="00C727AE">
        <w:rPr>
          <w:rStyle w:val="Strong"/>
        </w:rPr>
        <w:t>8. Collaborate to achieve our region’s goals</w:t>
      </w:r>
    </w:p>
    <w:bookmarkEnd w:id="285"/>
    <w:bookmarkEnd w:id="286"/>
    <w:p w:rsidR="002D2356" w:rsidRPr="00C727AE" w:rsidRDefault="002C0C87" w:rsidP="00C727AE">
      <w:pPr>
        <w:pStyle w:val="bt"/>
        <w:rPr>
          <w:rStyle w:val="Strong"/>
        </w:rPr>
      </w:pPr>
      <w:r w:rsidRPr="00C727AE">
        <w:rPr>
          <w:rStyle w:val="Strong"/>
        </w:rPr>
        <w:t>Future directions</w:t>
      </w:r>
    </w:p>
    <w:p w:rsidR="00421792" w:rsidRPr="003A58CF" w:rsidRDefault="00421792" w:rsidP="00CA6478">
      <w:pPr>
        <w:pStyle w:val="btbullet"/>
      </w:pPr>
      <w:r w:rsidRPr="003A58CF">
        <w:t xml:space="preserve">Utilise existing regional </w:t>
      </w:r>
      <w:r w:rsidR="00A105CD" w:rsidRPr="003A58CF">
        <w:t xml:space="preserve">and local </w:t>
      </w:r>
      <w:r w:rsidRPr="003A58CF">
        <w:t>networks</w:t>
      </w:r>
      <w:r w:rsidR="00460E99" w:rsidRPr="003A58CF">
        <w:t>, for example,</w:t>
      </w:r>
      <w:r w:rsidRPr="003A58CF">
        <w:t xml:space="preserve"> Regional Development Australia</w:t>
      </w:r>
      <w:r w:rsidR="00A105CD" w:rsidRPr="003A58CF">
        <w:t>,</w:t>
      </w:r>
      <w:r w:rsidRPr="003A58CF">
        <w:t xml:space="preserve"> the Regional Management </w:t>
      </w:r>
      <w:r w:rsidR="007E5DCA" w:rsidRPr="003A58CF">
        <w:t>Forum and</w:t>
      </w:r>
      <w:r w:rsidR="00A105CD" w:rsidRPr="003A58CF">
        <w:t xml:space="preserve"> local community planning networks</w:t>
      </w:r>
      <w:r w:rsidR="00460E99" w:rsidRPr="003A58CF">
        <w:t>,</w:t>
      </w:r>
      <w:r w:rsidRPr="003A58CF">
        <w:t xml:space="preserve"> and other suitable forums to share information, identify agency leads and collaborate on regional projects.</w:t>
      </w:r>
    </w:p>
    <w:p w:rsidR="002D2356" w:rsidRPr="00C727AE" w:rsidRDefault="002C0C87" w:rsidP="00C727AE">
      <w:pPr>
        <w:pStyle w:val="bt"/>
        <w:rPr>
          <w:rStyle w:val="Strong"/>
        </w:rPr>
      </w:pPr>
      <w:r w:rsidRPr="00C727AE">
        <w:rPr>
          <w:rStyle w:val="Strong"/>
        </w:rPr>
        <w:t>Rationale</w:t>
      </w:r>
    </w:p>
    <w:p w:rsidR="00421792" w:rsidRPr="003A58CF" w:rsidRDefault="00421792" w:rsidP="00854F5E">
      <w:pPr>
        <w:pStyle w:val="bt"/>
      </w:pPr>
      <w:r w:rsidRPr="003A58CF">
        <w:t xml:space="preserve">There are existing groups and forums that can be utilised to facilitate actions and further work identified in this </w:t>
      </w:r>
      <w:r w:rsidR="003F429B" w:rsidRPr="003A58CF">
        <w:t>plan</w:t>
      </w:r>
      <w:r w:rsidRPr="003A58CF">
        <w:t>. Leveraging from these forums will ensure implementation and ongoing monitoring of performance.</w:t>
      </w:r>
    </w:p>
    <w:p w:rsidR="002D2356" w:rsidRPr="00C727AE" w:rsidRDefault="002C0C87" w:rsidP="00C727AE">
      <w:pPr>
        <w:pStyle w:val="bt"/>
        <w:rPr>
          <w:rStyle w:val="Strong"/>
        </w:rPr>
      </w:pPr>
      <w:r w:rsidRPr="00C727AE">
        <w:rPr>
          <w:rStyle w:val="Strong"/>
        </w:rPr>
        <w:t>How</w:t>
      </w:r>
    </w:p>
    <w:p w:rsidR="002C0C87" w:rsidRDefault="00421792" w:rsidP="00854F5E">
      <w:pPr>
        <w:pStyle w:val="bt"/>
      </w:pPr>
      <w:r w:rsidRPr="003A58CF">
        <w:t xml:space="preserve">Refer to </w:t>
      </w:r>
      <w:r w:rsidR="00660EAB">
        <w:t>Part</w:t>
      </w:r>
      <w:r w:rsidR="00C734A1" w:rsidRPr="003A58CF">
        <w:t xml:space="preserve"> E that outlines proposed actions to deliver this plan through collaboration between regional partners, industry and the community.</w:t>
      </w:r>
    </w:p>
    <w:p w:rsidR="00482349" w:rsidRPr="004809DF" w:rsidRDefault="00482349" w:rsidP="00482349">
      <w:pPr>
        <w:pStyle w:val="bt"/>
      </w:pPr>
      <w:bookmarkStart w:id="287" w:name="_Toc373228914"/>
      <w:r w:rsidRPr="004809DF">
        <w:lastRenderedPageBreak/>
        <w:t xml:space="preserve">Map </w:t>
      </w:r>
      <w:r>
        <w:t xml:space="preserve">1 is located here in the document and it shows - </w:t>
      </w:r>
      <w:r w:rsidRPr="00715EDA">
        <w:t>Future growth framework</w:t>
      </w:r>
      <w:bookmarkEnd w:id="287"/>
    </w:p>
    <w:p w:rsidR="00DE58DB" w:rsidRPr="003A58CF" w:rsidRDefault="00DE58DB" w:rsidP="009C1193">
      <w:pPr>
        <w:rPr>
          <w:rFonts w:cstheme="minorHAnsi"/>
          <w:sz w:val="22"/>
          <w:szCs w:val="22"/>
        </w:rPr>
      </w:pPr>
    </w:p>
    <w:p w:rsidR="00DE58DB" w:rsidRPr="003A58CF" w:rsidRDefault="00DE58DB" w:rsidP="00854F5E">
      <w:pPr>
        <w:pStyle w:val="bt"/>
        <w:rPr>
          <w:lang w:eastAsia="en-US"/>
        </w:rPr>
        <w:sectPr w:rsidR="00DE58DB" w:rsidRPr="003A58CF" w:rsidSect="003D7F8F">
          <w:headerReference w:type="default" r:id="rId20"/>
          <w:pgSz w:w="11906" w:h="16838"/>
          <w:pgMar w:top="1440" w:right="1440" w:bottom="851" w:left="1440" w:header="709" w:footer="708" w:gutter="0"/>
          <w:cols w:space="708"/>
          <w:docGrid w:linePitch="360"/>
        </w:sectPr>
      </w:pPr>
    </w:p>
    <w:p w:rsidR="00DE58DB" w:rsidRPr="00B50B52" w:rsidRDefault="00DE58DB" w:rsidP="00B50B52">
      <w:pPr>
        <w:pStyle w:val="Heading1"/>
      </w:pPr>
      <w:bookmarkStart w:id="288" w:name="_Toc377026352"/>
      <w:r w:rsidRPr="00B50B52">
        <w:lastRenderedPageBreak/>
        <w:t>PART E</w:t>
      </w:r>
      <w:r w:rsidRPr="00B50B52">
        <w:tab/>
        <w:t>D</w:t>
      </w:r>
      <w:bookmarkEnd w:id="269"/>
      <w:r w:rsidRPr="00B50B52">
        <w:t>ELIVERING REGIONAL GROWTH</w:t>
      </w:r>
      <w:bookmarkEnd w:id="288"/>
    </w:p>
    <w:p w:rsidR="00DE58DB" w:rsidRPr="003A58CF" w:rsidRDefault="00DE58DB" w:rsidP="00B50B52">
      <w:pPr>
        <w:pStyle w:val="Heading11"/>
      </w:pPr>
      <w:bookmarkStart w:id="289" w:name="_Toc336871238"/>
      <w:bookmarkStart w:id="290" w:name="_Toc377026353"/>
      <w:r w:rsidRPr="003A58CF">
        <w:t>Implementation</w:t>
      </w:r>
      <w:bookmarkEnd w:id="289"/>
      <w:bookmarkEnd w:id="290"/>
    </w:p>
    <w:p w:rsidR="002D2356" w:rsidRPr="003A58CF" w:rsidRDefault="00DE58DB" w:rsidP="00B50B52">
      <w:pPr>
        <w:pStyle w:val="Heading4"/>
      </w:pPr>
      <w:r w:rsidRPr="003A58CF">
        <w:t>F</w:t>
      </w:r>
      <w:r w:rsidR="008B0EE2" w:rsidRPr="003A58CF">
        <w:t>uture directions</w:t>
      </w:r>
    </w:p>
    <w:p w:rsidR="00135CA1" w:rsidRPr="003A58CF" w:rsidRDefault="00633C0F" w:rsidP="002410E3">
      <w:pPr>
        <w:pStyle w:val="btbullet"/>
      </w:pPr>
      <w:r w:rsidRPr="003A58CF">
        <w:t>Engage in regional development and thinking – decisions should not only consider the impact on one place, but the region as a whole</w:t>
      </w:r>
    </w:p>
    <w:p w:rsidR="00135CA1" w:rsidRPr="003A58CF" w:rsidRDefault="00DE58DB" w:rsidP="002410E3">
      <w:pPr>
        <w:pStyle w:val="btbullet"/>
      </w:pPr>
      <w:r w:rsidRPr="003A58CF">
        <w:t>Utilise our people, networks and strengths to achieve our region’s goals</w:t>
      </w:r>
    </w:p>
    <w:p w:rsidR="002F32E5" w:rsidRPr="003A58CF" w:rsidRDefault="002F32E5" w:rsidP="00B50B52">
      <w:pPr>
        <w:pStyle w:val="Heading2"/>
      </w:pPr>
      <w:bookmarkStart w:id="291" w:name="_Toc365300554"/>
      <w:bookmarkStart w:id="292" w:name="_Toc367196706"/>
      <w:bookmarkStart w:id="293" w:name="_Toc377026354"/>
      <w:bookmarkStart w:id="294" w:name="_Toc352687619"/>
      <w:r w:rsidRPr="003A58CF">
        <w:t>Planning schemes</w:t>
      </w:r>
      <w:bookmarkEnd w:id="291"/>
      <w:bookmarkEnd w:id="292"/>
      <w:bookmarkEnd w:id="293"/>
    </w:p>
    <w:p w:rsidR="002F32E5" w:rsidRPr="003A58CF" w:rsidRDefault="002F32E5" w:rsidP="00854F5E">
      <w:pPr>
        <w:pStyle w:val="bt"/>
      </w:pPr>
      <w:r w:rsidRPr="003A58CF">
        <w:t>The Loddon Mallee South Regional Growth Plan will have status as part of the Victoria Planning Provisions and planning schemes. This will give the plan’s strategic directions status in each local government area’s planning scheme.</w:t>
      </w:r>
    </w:p>
    <w:p w:rsidR="00827DD1" w:rsidRPr="003A58CF" w:rsidRDefault="00827DD1" w:rsidP="00854F5E">
      <w:pPr>
        <w:pStyle w:val="bt"/>
      </w:pPr>
      <w:r w:rsidRPr="003A58CF">
        <w:t>An Advisory Committee has been appointed to conduct a review of the State Planning Policy Framework in order to deliver regional growth plans and other</w:t>
      </w:r>
      <w:r w:rsidR="00B74E0E">
        <w:t xml:space="preserve"> major planning policies, </w:t>
      </w:r>
      <w:r w:rsidRPr="003A58CF">
        <w:t xml:space="preserve">such as the </w:t>
      </w:r>
      <w:r w:rsidR="00D52A87">
        <w:t>m</w:t>
      </w:r>
      <w:r w:rsidRPr="003A58CF">
        <w:t xml:space="preserve">etropolitan </w:t>
      </w:r>
      <w:r w:rsidR="00D52A87">
        <w:t>p</w:t>
      </w:r>
      <w:r w:rsidRPr="003A58CF">
        <w:t xml:space="preserve">lanning </w:t>
      </w:r>
      <w:r w:rsidR="00D52A87">
        <w:t>s</w:t>
      </w:r>
      <w:r w:rsidRPr="003A58CF">
        <w:t>trategy</w:t>
      </w:r>
      <w:r w:rsidR="00DC716F">
        <w:t xml:space="preserve">, </w:t>
      </w:r>
      <w:r w:rsidR="00DC716F" w:rsidRPr="00DC716F">
        <w:rPr>
          <w:i/>
        </w:rPr>
        <w:t>Plan Melbourne</w:t>
      </w:r>
      <w:r w:rsidRPr="003A58CF">
        <w:t>.</w:t>
      </w:r>
    </w:p>
    <w:p w:rsidR="002F32E5" w:rsidRPr="003A58CF" w:rsidRDefault="002F32E5" w:rsidP="00854F5E">
      <w:pPr>
        <w:pStyle w:val="bt"/>
      </w:pPr>
      <w:r w:rsidRPr="003A58CF">
        <w:t xml:space="preserve">The Loddon Mallee South region councils will work in partnership with </w:t>
      </w:r>
      <w:r w:rsidR="00E90798" w:rsidRPr="003A58CF">
        <w:t xml:space="preserve">State Government </w:t>
      </w:r>
      <w:r w:rsidRPr="003A58CF">
        <w:t>to facilitate the required planning scheme amendment process and content as an immediate priority.</w:t>
      </w:r>
    </w:p>
    <w:p w:rsidR="001F16ED" w:rsidRPr="003A58CF" w:rsidRDefault="002F32E5" w:rsidP="00854F5E">
      <w:pPr>
        <w:pStyle w:val="bt"/>
      </w:pPr>
      <w:r w:rsidRPr="003A58CF">
        <w:t>The plan will guide and inform future strategic planning across the Loddon Mallee South region, including future reviews of each council’s Municipal Strategic Statement. The plan will help provide justification for future planning scheme amendments that are consistent with the plan.</w:t>
      </w:r>
    </w:p>
    <w:p w:rsidR="00827DD1" w:rsidRPr="003A58CF" w:rsidRDefault="00827DD1" w:rsidP="00854F5E">
      <w:pPr>
        <w:pStyle w:val="bt"/>
      </w:pPr>
      <w:r w:rsidRPr="003A58CF">
        <w:t xml:space="preserve">The plan will provide local councils and agencies in the region with a clearer regional land use context to inform and influence future local strategic planning, planning scheme amendments and local decisions. As the plan indicates preferred locations for future urban development and valued areas for protection, it can be used as a high level context for regional and local infrastructure planning and investment. </w:t>
      </w:r>
    </w:p>
    <w:p w:rsidR="00827DD1" w:rsidRPr="003A58CF" w:rsidRDefault="00827DD1" w:rsidP="00854F5E">
      <w:pPr>
        <w:pStyle w:val="bt"/>
      </w:pPr>
      <w:r w:rsidRPr="003A58CF">
        <w:t xml:space="preserve">The plan establishes a context for growth and settlement planning that can inform and assist in frameworks for town and city growth plans and infrastructure requirements. This more detailed level of planning will continue in partnership between local and state planning authorities. Careful monitoring of urban projects, land development and population change during the life of this plan will be established to assist </w:t>
      </w:r>
      <w:r w:rsidR="00DC716F">
        <w:t>its</w:t>
      </w:r>
      <w:r w:rsidR="00DC716F" w:rsidRPr="003A58CF">
        <w:t xml:space="preserve"> </w:t>
      </w:r>
      <w:r w:rsidRPr="003A58CF">
        <w:t xml:space="preserve">delivery. </w:t>
      </w:r>
    </w:p>
    <w:p w:rsidR="00721E70" w:rsidRPr="003A58CF" w:rsidRDefault="00813A9B" w:rsidP="00B50B52">
      <w:pPr>
        <w:pStyle w:val="Heading2"/>
      </w:pPr>
      <w:bookmarkStart w:id="295" w:name="_Toc367196707"/>
      <w:bookmarkStart w:id="296" w:name="_Toc377026355"/>
      <w:r w:rsidRPr="003A58CF">
        <w:t xml:space="preserve">Links to </w:t>
      </w:r>
      <w:r w:rsidR="00A73E5E">
        <w:t>Regional Strategic Plan</w:t>
      </w:r>
      <w:r w:rsidRPr="003A58CF">
        <w:t xml:space="preserve"> implementation</w:t>
      </w:r>
      <w:bookmarkEnd w:id="295"/>
      <w:bookmarkEnd w:id="296"/>
    </w:p>
    <w:p w:rsidR="00813A9B" w:rsidRPr="003A58CF" w:rsidRDefault="00813A9B" w:rsidP="00854F5E">
      <w:pPr>
        <w:pStyle w:val="bt"/>
      </w:pPr>
      <w:r w:rsidRPr="003A58CF">
        <w:t xml:space="preserve">The plan is closely aligned with the </w:t>
      </w:r>
      <w:r w:rsidR="00D763CF" w:rsidRPr="003A58CF">
        <w:t xml:space="preserve">Loddon Mallee </w:t>
      </w:r>
      <w:r w:rsidRPr="003A58CF">
        <w:t>Strategic Plan</w:t>
      </w:r>
      <w:r w:rsidR="00D763CF" w:rsidRPr="003A58CF">
        <w:t xml:space="preserve"> – Southern Region</w:t>
      </w:r>
      <w:r w:rsidRPr="003A58CF">
        <w:t xml:space="preserve"> 2010. Implementation of this plan will also be considered in relation to other ongoing work to implement the strategic directions of the Strategic Plan 2010. This will strengthen the capacity for achieving shared objectives and targeting efforts to secure endorsement and funding for the highest priorities in the region.</w:t>
      </w:r>
    </w:p>
    <w:p w:rsidR="00813A9B" w:rsidRPr="003A58CF" w:rsidRDefault="00813A9B" w:rsidP="00854F5E">
      <w:pPr>
        <w:pStyle w:val="bt"/>
      </w:pPr>
      <w:r w:rsidRPr="003A58CF">
        <w:t xml:space="preserve">Other related and relevant work includes the Regional Economic Outlook and Profiles, which have been developed for the region, and the work being undertaken on regional cities by Regional Development Victoria. Further work is being undertaken to develop economic assessment tools </w:t>
      </w:r>
      <w:r w:rsidR="00E90798" w:rsidRPr="003A58CF">
        <w:t xml:space="preserve">that </w:t>
      </w:r>
      <w:r w:rsidRPr="003A58CF">
        <w:t xml:space="preserve">will help identify key economic opportunities for the region. As identified in this plan, the development of a Loddon Mallee South Economic Development Strategy is a priority. </w:t>
      </w:r>
    </w:p>
    <w:p w:rsidR="00813A9B" w:rsidRPr="003A58CF" w:rsidRDefault="00813A9B" w:rsidP="00854F5E">
      <w:pPr>
        <w:pStyle w:val="bt"/>
      </w:pPr>
      <w:r w:rsidRPr="003A58CF">
        <w:lastRenderedPageBreak/>
        <w:t xml:space="preserve">Further, opportunities for implementation of key directions and actions expressed in this plan will be explored with the Loddon Mallee Regional Management Forum and the Loddon Mallee Regional Development Australia group. The Regional Management Forum and Regional Development Australia group are key stakeholders in overseeing the ongoing development and implementation of the Strategic Plan 2010. It is appropriate to facilitate and ensure alignment between the regional growth plan and the regional strategic plan in order to promote outcomes that are consistent with common directions expressed in each plan. </w:t>
      </w:r>
    </w:p>
    <w:p w:rsidR="0018446E" w:rsidRPr="003A58CF" w:rsidRDefault="0018446E" w:rsidP="00854F5E">
      <w:pPr>
        <w:pStyle w:val="bt"/>
      </w:pPr>
      <w:r w:rsidRPr="003A58CF">
        <w:t xml:space="preserve">Possible regional governance arrangements to promote integrated planning and delivery </w:t>
      </w:r>
      <w:r w:rsidR="00D34F9B" w:rsidRPr="003A58CF">
        <w:t xml:space="preserve">of </w:t>
      </w:r>
      <w:r w:rsidRPr="003A58CF">
        <w:t xml:space="preserve">agreed future land use include </w:t>
      </w:r>
      <w:r w:rsidR="00D34F9B" w:rsidRPr="003A58CF">
        <w:t xml:space="preserve">actions </w:t>
      </w:r>
      <w:r w:rsidRPr="003A58CF">
        <w:t>partnering</w:t>
      </w:r>
      <w:r w:rsidR="00D34F9B" w:rsidRPr="003A58CF">
        <w:t xml:space="preserve"> and </w:t>
      </w:r>
      <w:r w:rsidRPr="003A58CF">
        <w:t xml:space="preserve">integrating with an existing </w:t>
      </w:r>
      <w:r w:rsidR="00E90798" w:rsidRPr="003A58CF">
        <w:t>cross-</w:t>
      </w:r>
      <w:r w:rsidRPr="003A58CF">
        <w:t xml:space="preserve">government group that has alignment with the focus of the regional growth plan or establishing a new </w:t>
      </w:r>
      <w:r w:rsidR="00E90798" w:rsidRPr="003A58CF">
        <w:t>cross-</w:t>
      </w:r>
      <w:r w:rsidRPr="003A58CF">
        <w:t xml:space="preserve">government stakeholder group </w:t>
      </w:r>
      <w:r w:rsidR="00E90798" w:rsidRPr="003A58CF">
        <w:t xml:space="preserve">that </w:t>
      </w:r>
      <w:r w:rsidRPr="003A58CF">
        <w:t>has links to an existing regional planning governance structure.</w:t>
      </w:r>
    </w:p>
    <w:p w:rsidR="00DE58DB" w:rsidRPr="003A58CF" w:rsidRDefault="00813A9B" w:rsidP="00B50B52">
      <w:pPr>
        <w:pStyle w:val="Heading2"/>
      </w:pPr>
      <w:bookmarkStart w:id="297" w:name="_Toc365300555"/>
      <w:bookmarkStart w:id="298" w:name="_Toc367196708"/>
      <w:bookmarkStart w:id="299" w:name="_Toc377026356"/>
      <w:bookmarkEnd w:id="294"/>
      <w:r w:rsidRPr="003A58CF">
        <w:t>A plan for implementation of actions</w:t>
      </w:r>
      <w:bookmarkEnd w:id="297"/>
      <w:bookmarkEnd w:id="298"/>
      <w:bookmarkEnd w:id="299"/>
    </w:p>
    <w:p w:rsidR="00813A9B" w:rsidRPr="003A58CF" w:rsidRDefault="00813A9B" w:rsidP="00854F5E">
      <w:pPr>
        <w:pStyle w:val="bt"/>
      </w:pPr>
      <w:r w:rsidRPr="003A58CF">
        <w:t>Implementation of this plan is critical to achieve its strategic directions for growth and change. An implementation plan will ensure that the region is able to respond to key regional challenges and strategic directions of the plan relating to infrastructure provision, key asset protection and mana</w:t>
      </w:r>
      <w:r w:rsidR="003C32B0">
        <w:t>gement of future growth.</w:t>
      </w:r>
    </w:p>
    <w:p w:rsidR="00813A9B" w:rsidRPr="003A58CF" w:rsidRDefault="00813A9B" w:rsidP="00854F5E">
      <w:pPr>
        <w:pStyle w:val="bt"/>
      </w:pPr>
      <w:r w:rsidRPr="003A58CF">
        <w:t>Short-term implementation priorities include:</w:t>
      </w:r>
    </w:p>
    <w:p w:rsidR="00813A9B" w:rsidRPr="003A58CF" w:rsidRDefault="00813A9B" w:rsidP="002410E3">
      <w:pPr>
        <w:pStyle w:val="btbullet"/>
      </w:pPr>
      <w:r w:rsidRPr="003A58CF">
        <w:t>amending planning schemes to include key elements of this plan</w:t>
      </w:r>
    </w:p>
    <w:p w:rsidR="00813A9B" w:rsidRPr="003A58CF" w:rsidRDefault="00813A9B" w:rsidP="002410E3">
      <w:pPr>
        <w:pStyle w:val="btbullet"/>
      </w:pPr>
      <w:r w:rsidRPr="003A58CF">
        <w:t>developing a more detailed implementation plan focusing on infrastructure planning to identify and guide the timing of future planning and regional infrastructure investment priorities</w:t>
      </w:r>
    </w:p>
    <w:p w:rsidR="00145D17" w:rsidRPr="003A58CF" w:rsidRDefault="00813A9B" w:rsidP="002410E3">
      <w:pPr>
        <w:pStyle w:val="btbullet"/>
      </w:pPr>
      <w:r w:rsidRPr="003A58CF">
        <w:t>where required, facilitating further detailed work and investigati</w:t>
      </w:r>
      <w:r w:rsidR="003C32B0">
        <w:t>ons as identified in this plan.</w:t>
      </w:r>
    </w:p>
    <w:p w:rsidR="00813A9B" w:rsidRDefault="000B2F32" w:rsidP="00854F5E">
      <w:pPr>
        <w:pStyle w:val="bt"/>
      </w:pPr>
      <w:r w:rsidRPr="003A58CF">
        <w:t xml:space="preserve">Table </w:t>
      </w:r>
      <w:r w:rsidR="00145D17" w:rsidRPr="003A58CF">
        <w:t>4</w:t>
      </w:r>
      <w:r w:rsidRPr="003A58CF">
        <w:t xml:space="preserve"> sets out </w:t>
      </w:r>
      <w:r w:rsidR="0018446E" w:rsidRPr="003A58CF">
        <w:t>actions</w:t>
      </w:r>
      <w:r w:rsidRPr="003A58CF">
        <w:t xml:space="preserve"> identified in the development of this plan that will </w:t>
      </w:r>
      <w:r w:rsidR="00145D17" w:rsidRPr="003A58CF">
        <w:t xml:space="preserve">further </w:t>
      </w:r>
      <w:r w:rsidRPr="003A58CF">
        <w:t>support delivery of the plan’s strate</w:t>
      </w:r>
      <w:r w:rsidR="002410E3">
        <w:t>gic directions.</w:t>
      </w:r>
    </w:p>
    <w:p w:rsidR="0018446E" w:rsidRPr="004809DF" w:rsidRDefault="000B2F32" w:rsidP="00C50E1E">
      <w:pPr>
        <w:pStyle w:val="Caption"/>
      </w:pPr>
      <w:bookmarkStart w:id="300" w:name="_Toc373757218"/>
      <w:r w:rsidRPr="004809DF">
        <w:t xml:space="preserve">Table </w:t>
      </w:r>
      <w:r w:rsidR="00F06CD8" w:rsidRPr="004809DF">
        <w:fldChar w:fldCharType="begin"/>
      </w:r>
      <w:r w:rsidRPr="004809DF">
        <w:instrText xml:space="preserve"> SEQ Table \* ARABIC </w:instrText>
      </w:r>
      <w:r w:rsidR="00F06CD8" w:rsidRPr="004809DF">
        <w:fldChar w:fldCharType="separate"/>
      </w:r>
      <w:r w:rsidR="006707B1">
        <w:t>4</w:t>
      </w:r>
      <w:r w:rsidR="00F06CD8" w:rsidRPr="004809DF">
        <w:fldChar w:fldCharType="end"/>
      </w:r>
      <w:r w:rsidR="002411E0">
        <w:t xml:space="preserve">: </w:t>
      </w:r>
      <w:r w:rsidRPr="00C9550D">
        <w:rPr>
          <w:b w:val="0"/>
        </w:rPr>
        <w:t xml:space="preserve">Land use </w:t>
      </w:r>
      <w:r w:rsidR="0018446E" w:rsidRPr="00C9550D">
        <w:rPr>
          <w:b w:val="0"/>
        </w:rPr>
        <w:t>actions</w:t>
      </w:r>
      <w:bookmarkEnd w:id="300"/>
    </w:p>
    <w:p w:rsidR="0044186F" w:rsidRPr="00076837" w:rsidRDefault="0044186F" w:rsidP="00076837">
      <w:pPr>
        <w:pStyle w:val="Heading4"/>
        <w:rPr>
          <w:rStyle w:val="Strong"/>
          <w:b/>
          <w:bCs/>
        </w:rPr>
      </w:pPr>
      <w:bookmarkStart w:id="301" w:name="_Toc365300556"/>
      <w:bookmarkStart w:id="302" w:name="_Toc367196709"/>
      <w:r w:rsidRPr="00076837">
        <w:rPr>
          <w:rStyle w:val="Strong"/>
          <w:b/>
          <w:bCs/>
        </w:rPr>
        <w:t>Recommended actions</w:t>
      </w:r>
      <w:bookmarkEnd w:id="301"/>
      <w:bookmarkEnd w:id="302"/>
    </w:p>
    <w:p w:rsidR="0044186F" w:rsidRPr="00076837" w:rsidRDefault="0044186F" w:rsidP="0044186F">
      <w:pPr>
        <w:pStyle w:val="bt"/>
        <w:rPr>
          <w:rStyle w:val="Strong"/>
        </w:rPr>
      </w:pPr>
      <w:bookmarkStart w:id="303" w:name="_Toc365300558"/>
      <w:bookmarkStart w:id="304" w:name="_Toc367196711"/>
      <w:r w:rsidRPr="00076837">
        <w:rPr>
          <w:rStyle w:val="Strong"/>
        </w:rPr>
        <w:t>Regional economy</w:t>
      </w:r>
      <w:bookmarkEnd w:id="303"/>
      <w:bookmarkEnd w:id="304"/>
    </w:p>
    <w:p w:rsidR="0044186F" w:rsidRPr="003A58CF" w:rsidRDefault="0044186F" w:rsidP="00B01FC7">
      <w:pPr>
        <w:pStyle w:val="btbullet"/>
        <w:rPr>
          <w:lang w:val="en-US" w:eastAsia="en-US"/>
        </w:rPr>
      </w:pPr>
      <w:r w:rsidRPr="003A58CF">
        <w:rPr>
          <w:lang w:val="en-US" w:eastAsia="en-US"/>
        </w:rPr>
        <w:t>Support the growth of Bendigo as the regional city and major employment and services hub</w:t>
      </w:r>
    </w:p>
    <w:p w:rsidR="0044186F" w:rsidRPr="003A58CF" w:rsidRDefault="0044186F" w:rsidP="00B01FC7">
      <w:pPr>
        <w:pStyle w:val="btbullet"/>
        <w:rPr>
          <w:lang w:val="en-US" w:eastAsia="en-US"/>
        </w:rPr>
      </w:pPr>
      <w:r w:rsidRPr="003A58CF">
        <w:rPr>
          <w:lang w:val="en-US" w:eastAsia="en-US"/>
        </w:rPr>
        <w:t>Ensure there is adequate zoned and serviced commercial and industrial land for employment in the regional city and centres as sub-regional hubs</w:t>
      </w:r>
    </w:p>
    <w:p w:rsidR="0044186F" w:rsidRPr="003A58CF" w:rsidRDefault="0044186F" w:rsidP="00B01FC7">
      <w:pPr>
        <w:pStyle w:val="btbullet"/>
        <w:rPr>
          <w:lang w:val="en-US" w:eastAsia="en-US"/>
        </w:rPr>
      </w:pPr>
      <w:r w:rsidRPr="003A58CF">
        <w:rPr>
          <w:lang w:val="en-US" w:eastAsia="en-US"/>
        </w:rPr>
        <w:t>Accelerate the development of the Marong Business Park as a key new location for industry and business</w:t>
      </w:r>
    </w:p>
    <w:p w:rsidR="0044186F" w:rsidRPr="003A58CF" w:rsidRDefault="0044186F" w:rsidP="00B01FC7">
      <w:pPr>
        <w:pStyle w:val="btbullet"/>
        <w:rPr>
          <w:lang w:val="en-US" w:eastAsia="en-US"/>
        </w:rPr>
      </w:pPr>
      <w:r w:rsidRPr="003A58CF">
        <w:rPr>
          <w:lang w:val="en-US" w:eastAsia="en-US"/>
        </w:rPr>
        <w:t>Achieve designation of Castlemaine Diggings National Heritage Park as a World Heritage place to underpin tourism</w:t>
      </w:r>
    </w:p>
    <w:p w:rsidR="0044186F" w:rsidRPr="003A58CF" w:rsidRDefault="0044186F" w:rsidP="00B01FC7">
      <w:pPr>
        <w:pStyle w:val="btbullet"/>
      </w:pPr>
      <w:r w:rsidRPr="003A58CF">
        <w:t>Identify emerging agribusinesses and location clusters including the equine industry, and intensive animal industries such as cattle feed lots, piggeries and poultry farms</w:t>
      </w:r>
    </w:p>
    <w:p w:rsidR="0044186F" w:rsidRPr="003A58CF" w:rsidRDefault="0044186F" w:rsidP="00B01FC7">
      <w:pPr>
        <w:pStyle w:val="btbullet"/>
      </w:pPr>
      <w:r w:rsidRPr="003A58CF">
        <w:t xml:space="preserve">Identify agribusiness and tourism clusters in the region and implement appropriate land use measures to facilitate agricultural tourism activities through the application of </w:t>
      </w:r>
      <w:r>
        <w:t xml:space="preserve">the reformed </w:t>
      </w:r>
      <w:r w:rsidRPr="003A58CF">
        <w:t>zones</w:t>
      </w:r>
    </w:p>
    <w:p w:rsidR="0044186F" w:rsidRPr="003A58CF" w:rsidRDefault="0044186F" w:rsidP="00B01FC7">
      <w:pPr>
        <w:pStyle w:val="btbullet"/>
      </w:pPr>
      <w:r w:rsidRPr="003A58CF">
        <w:t xml:space="preserve">Develop a regional approach to small lot development using </w:t>
      </w:r>
      <w:r>
        <w:t>the reformed</w:t>
      </w:r>
      <w:r w:rsidRPr="003A58CF">
        <w:t xml:space="preserve"> rural zones implementation</w:t>
      </w:r>
    </w:p>
    <w:p w:rsidR="0044186F" w:rsidRPr="00B50B52" w:rsidRDefault="0044186F" w:rsidP="00B01FC7">
      <w:pPr>
        <w:pStyle w:val="btbullet"/>
        <w:rPr>
          <w:rFonts w:cs="Times New Roman"/>
        </w:rPr>
      </w:pPr>
      <w:r w:rsidRPr="003A58CF">
        <w:t>Work cooperatively with catchment management authorities to develop a Carbon Action Plan</w:t>
      </w:r>
    </w:p>
    <w:p w:rsidR="0044186F" w:rsidRPr="00076837" w:rsidRDefault="0044186F" w:rsidP="00076837">
      <w:pPr>
        <w:pStyle w:val="Heading4"/>
        <w:rPr>
          <w:rStyle w:val="Strong"/>
          <w:b/>
          <w:bCs/>
        </w:rPr>
      </w:pPr>
      <w:bookmarkStart w:id="305" w:name="_Toc365300557"/>
      <w:bookmarkStart w:id="306" w:name="_Toc367196710"/>
      <w:bookmarkStart w:id="307" w:name="_Toc367196712"/>
      <w:r w:rsidRPr="00076837">
        <w:rPr>
          <w:rStyle w:val="Strong"/>
          <w:b/>
          <w:bCs/>
        </w:rPr>
        <w:t>Reference to future direction, land use strategy, action or policy (Part C)</w:t>
      </w:r>
      <w:bookmarkEnd w:id="305"/>
      <w:bookmarkEnd w:id="306"/>
    </w:p>
    <w:p w:rsidR="0044186F" w:rsidRDefault="0044186F" w:rsidP="00B01FC7">
      <w:pPr>
        <w:pStyle w:val="btbullet"/>
      </w:pPr>
      <w:r w:rsidRPr="003A58CF">
        <w:lastRenderedPageBreak/>
        <w:t>Section 11.2 Working in the Loddon Mallee South region</w:t>
      </w:r>
      <w:bookmarkEnd w:id="307"/>
    </w:p>
    <w:p w:rsidR="0044186F" w:rsidRPr="003A58CF" w:rsidRDefault="0044186F" w:rsidP="00B01FC7">
      <w:pPr>
        <w:pStyle w:val="btbullet"/>
        <w:rPr>
          <w:rFonts w:cs="Times New Roman"/>
        </w:rPr>
      </w:pPr>
      <w:r w:rsidRPr="003A58CF">
        <w:t>Section 11.3 Agriculture</w:t>
      </w:r>
    </w:p>
    <w:p w:rsidR="00CD3A38" w:rsidRPr="009F0EFA" w:rsidRDefault="00CD3A38" w:rsidP="00076837">
      <w:pPr>
        <w:pStyle w:val="Heading4"/>
        <w:rPr>
          <w:rStyle w:val="Strong"/>
          <w:b/>
          <w:bCs/>
        </w:rPr>
      </w:pPr>
      <w:r w:rsidRPr="009F0EFA">
        <w:rPr>
          <w:rStyle w:val="Strong"/>
          <w:b/>
          <w:bCs/>
        </w:rPr>
        <w:t>Recommended actions</w:t>
      </w:r>
    </w:p>
    <w:p w:rsidR="0044186F" w:rsidRPr="00076837" w:rsidRDefault="0044186F" w:rsidP="0044186F">
      <w:pPr>
        <w:pStyle w:val="bt"/>
        <w:rPr>
          <w:rStyle w:val="Strong"/>
        </w:rPr>
      </w:pPr>
      <w:r w:rsidRPr="00076837">
        <w:rPr>
          <w:rStyle w:val="Strong"/>
        </w:rPr>
        <w:t>Environment and heritage</w:t>
      </w:r>
    </w:p>
    <w:p w:rsidR="0044186F" w:rsidRPr="0097677F" w:rsidRDefault="0044186F" w:rsidP="00B01FC7">
      <w:pPr>
        <w:pStyle w:val="btbullet"/>
      </w:pPr>
      <w:r w:rsidRPr="0097677F">
        <w:t>Undertake flood mapping and implement flood overlays into planning schemes in the City of Greater Bendigo and Loddon, Mount Alexander and Central Goldfields shires</w:t>
      </w:r>
    </w:p>
    <w:p w:rsidR="0044186F" w:rsidRPr="0097677F" w:rsidRDefault="0044186F" w:rsidP="00B01FC7">
      <w:pPr>
        <w:pStyle w:val="btbullet"/>
      </w:pPr>
      <w:r w:rsidRPr="0097677F">
        <w:t>Monitor, assess and act on the potential impacts and opportunities of climate change across the region and collaborate with other climate change adaptation planning activities, such as the ‘Creating a climate-resilient Southern Loddon Mallee project’, to inform future land use planning decisions</w:t>
      </w:r>
    </w:p>
    <w:p w:rsidR="0044186F" w:rsidRPr="0097677F" w:rsidRDefault="0044186F" w:rsidP="00B01FC7">
      <w:pPr>
        <w:pStyle w:val="btbullet"/>
      </w:pPr>
      <w:r w:rsidRPr="0097677F">
        <w:t>Undertake a domestic wastewater management pilot study regarding the impact of activity and development on open potable water supplies</w:t>
      </w:r>
    </w:p>
    <w:p w:rsidR="0044186F" w:rsidRPr="0097677F" w:rsidRDefault="0044186F" w:rsidP="00B01FC7">
      <w:pPr>
        <w:pStyle w:val="btbullet"/>
      </w:pPr>
      <w:r w:rsidRPr="0097677F">
        <w:t>Encourage tourism opportunities, in appropriate locations, around cultural heritage and natural environments</w:t>
      </w:r>
    </w:p>
    <w:p w:rsidR="0044186F" w:rsidRPr="0097677F" w:rsidRDefault="0044186F" w:rsidP="00B01FC7">
      <w:pPr>
        <w:pStyle w:val="btbullet"/>
        <w:rPr>
          <w:rFonts w:cs="Times New Roman"/>
        </w:rPr>
      </w:pPr>
      <w:r w:rsidRPr="0097677F">
        <w:t>Support the sustainable use of rural land, including the development of regional catchment strategies and other suitable tools</w:t>
      </w:r>
    </w:p>
    <w:p w:rsidR="00076837" w:rsidRPr="00076837" w:rsidRDefault="00076837" w:rsidP="00076837">
      <w:pPr>
        <w:pStyle w:val="Heading4"/>
        <w:rPr>
          <w:rStyle w:val="Strong"/>
          <w:b/>
          <w:bCs/>
        </w:rPr>
      </w:pPr>
      <w:bookmarkStart w:id="308" w:name="_Toc365300559"/>
      <w:bookmarkStart w:id="309" w:name="_Toc367196713"/>
      <w:r w:rsidRPr="00076837">
        <w:rPr>
          <w:rStyle w:val="Strong"/>
          <w:b/>
          <w:bCs/>
        </w:rPr>
        <w:t>Reference to future direction, land use strategy, action or policy (Part C)</w:t>
      </w:r>
    </w:p>
    <w:p w:rsidR="0044186F" w:rsidRPr="003A58CF" w:rsidRDefault="0044186F" w:rsidP="00B01FC7">
      <w:pPr>
        <w:pStyle w:val="btbullet"/>
        <w:rPr>
          <w:rFonts w:cs="Times New Roman"/>
        </w:rPr>
      </w:pPr>
      <w:r w:rsidRPr="003A58CF">
        <w:t>Section 12.3</w:t>
      </w:r>
      <w:bookmarkEnd w:id="308"/>
      <w:r w:rsidRPr="003A58CF">
        <w:t xml:space="preserve"> Approach to our settlement planning and environmental management</w:t>
      </w:r>
      <w:bookmarkEnd w:id="309"/>
    </w:p>
    <w:p w:rsidR="00076837" w:rsidRPr="00076837" w:rsidRDefault="00076837" w:rsidP="00076837">
      <w:pPr>
        <w:pStyle w:val="Heading4"/>
        <w:rPr>
          <w:rStyle w:val="Strong"/>
          <w:b/>
          <w:bCs/>
        </w:rPr>
      </w:pPr>
      <w:r w:rsidRPr="00076837">
        <w:rPr>
          <w:rStyle w:val="Strong"/>
          <w:b/>
          <w:bCs/>
        </w:rPr>
        <w:t>Recommended actions</w:t>
      </w:r>
    </w:p>
    <w:p w:rsidR="0044186F" w:rsidRPr="00076837" w:rsidRDefault="0044186F" w:rsidP="00076837">
      <w:pPr>
        <w:pStyle w:val="bt"/>
        <w:rPr>
          <w:rStyle w:val="Strong"/>
        </w:rPr>
      </w:pPr>
      <w:r w:rsidRPr="00076837">
        <w:rPr>
          <w:rStyle w:val="Strong"/>
        </w:rPr>
        <w:t>Living in the region</w:t>
      </w:r>
    </w:p>
    <w:p w:rsidR="0044186F" w:rsidRPr="008711A1" w:rsidRDefault="0044186F" w:rsidP="008711A1">
      <w:pPr>
        <w:pStyle w:val="bt"/>
        <w:rPr>
          <w:rStyle w:val="Strong"/>
        </w:rPr>
      </w:pPr>
      <w:r w:rsidRPr="008711A1">
        <w:rPr>
          <w:rStyle w:val="Strong"/>
        </w:rPr>
        <w:t>Bendigo – the regional city</w:t>
      </w:r>
    </w:p>
    <w:p w:rsidR="0044186F" w:rsidRPr="003A58CF" w:rsidRDefault="0044186F" w:rsidP="00B01FC7">
      <w:pPr>
        <w:pStyle w:val="btbullet"/>
      </w:pPr>
      <w:r w:rsidRPr="003A58CF">
        <w:t xml:space="preserve">Prioritise the implementation of the Marong Plan and Marong Business Park development </w:t>
      </w:r>
    </w:p>
    <w:p w:rsidR="0044186F" w:rsidRPr="003A58CF" w:rsidRDefault="0044186F" w:rsidP="00B01FC7">
      <w:pPr>
        <w:pStyle w:val="btbullet"/>
      </w:pPr>
      <w:r w:rsidRPr="003A58CF">
        <w:t>Support the development of the Bendigo Integrated Transport and Land Use Strategy and associated land use recommendations</w:t>
      </w:r>
    </w:p>
    <w:p w:rsidR="0044186F" w:rsidRPr="003A58CF" w:rsidRDefault="0044186F" w:rsidP="00B01FC7">
      <w:pPr>
        <w:pStyle w:val="btbullet"/>
      </w:pPr>
      <w:r w:rsidRPr="003A58CF">
        <w:t>Support the Bendigo Residential Development Strategy (2004) review, and resulting land use planning initiatives and changes</w:t>
      </w:r>
    </w:p>
    <w:p w:rsidR="0044186F" w:rsidRPr="003A58CF" w:rsidRDefault="0044186F" w:rsidP="00B01FC7">
      <w:pPr>
        <w:pStyle w:val="btbullet"/>
      </w:pPr>
      <w:r w:rsidRPr="003A58CF">
        <w:t>Support the Bendigo Hospital precinct planning project, and housing and mixed use planning and developments within the precinct</w:t>
      </w:r>
    </w:p>
    <w:p w:rsidR="0044186F" w:rsidRPr="003A58CF" w:rsidRDefault="0044186F" w:rsidP="00B01FC7">
      <w:pPr>
        <w:pStyle w:val="btbullet"/>
      </w:pPr>
      <w:r w:rsidRPr="003A58CF">
        <w:t>Facilitate a student accommodation demonstration project in the city</w:t>
      </w:r>
    </w:p>
    <w:p w:rsidR="008711A1" w:rsidRDefault="008711A1" w:rsidP="008711A1">
      <w:pPr>
        <w:pStyle w:val="Heading4"/>
        <w:rPr>
          <w:rStyle w:val="Strong"/>
          <w:b/>
          <w:bCs/>
        </w:rPr>
      </w:pPr>
      <w:r w:rsidRPr="00076837">
        <w:rPr>
          <w:rStyle w:val="Strong"/>
          <w:b/>
          <w:bCs/>
        </w:rPr>
        <w:t>Reference to future direction, land use strategy, action or policy (Part C)</w:t>
      </w:r>
    </w:p>
    <w:p w:rsidR="008711A1" w:rsidRPr="003A58CF" w:rsidRDefault="008711A1" w:rsidP="00B01FC7">
      <w:pPr>
        <w:pStyle w:val="btbullet"/>
      </w:pPr>
      <w:r w:rsidRPr="003A58CF">
        <w:t>Section 13.2 Bendigo the regional city</w:t>
      </w:r>
    </w:p>
    <w:p w:rsidR="0044186F" w:rsidRPr="006F2AD4" w:rsidRDefault="0044186F" w:rsidP="006F2AD4">
      <w:pPr>
        <w:pStyle w:val="bt"/>
        <w:rPr>
          <w:rStyle w:val="Strong"/>
        </w:rPr>
      </w:pPr>
      <w:r w:rsidRPr="006F2AD4">
        <w:rPr>
          <w:rStyle w:val="Strong"/>
        </w:rPr>
        <w:t>Enhance economic activity, especially in the following locations:</w:t>
      </w:r>
    </w:p>
    <w:p w:rsidR="0044186F" w:rsidRPr="003A58CF" w:rsidRDefault="0044186F" w:rsidP="00B01FC7">
      <w:pPr>
        <w:pStyle w:val="btbullet"/>
      </w:pPr>
      <w:r w:rsidRPr="003A58CF">
        <w:t>Bendigo Central Business District including the Gillies and Crystal Ice sites</w:t>
      </w:r>
    </w:p>
    <w:p w:rsidR="0044186F" w:rsidRPr="003A58CF" w:rsidRDefault="0044186F" w:rsidP="00B01FC7">
      <w:pPr>
        <w:pStyle w:val="btbullet"/>
      </w:pPr>
      <w:r w:rsidRPr="003A58CF">
        <w:t>Bendigo railway station precinct</w:t>
      </w:r>
    </w:p>
    <w:p w:rsidR="0044186F" w:rsidRPr="003A58CF" w:rsidRDefault="0044186F" w:rsidP="00B01FC7">
      <w:pPr>
        <w:pStyle w:val="btbullet"/>
      </w:pPr>
      <w:r w:rsidRPr="003A58CF">
        <w:t>Bendigo Hospital precinct</w:t>
      </w:r>
    </w:p>
    <w:p w:rsidR="0044186F" w:rsidRPr="003A58CF" w:rsidRDefault="0044186F" w:rsidP="00B01FC7">
      <w:pPr>
        <w:pStyle w:val="btbullet"/>
      </w:pPr>
      <w:r>
        <w:t>Latrobe University precinct</w:t>
      </w:r>
    </w:p>
    <w:p w:rsidR="0044186F" w:rsidRPr="003A58CF" w:rsidRDefault="0044186F" w:rsidP="00B01FC7">
      <w:pPr>
        <w:pStyle w:val="btbullet"/>
      </w:pPr>
      <w:r w:rsidRPr="003A58CF">
        <w:t xml:space="preserve">Bendigo Theatre precinct </w:t>
      </w:r>
    </w:p>
    <w:p w:rsidR="008711A1" w:rsidRDefault="008711A1" w:rsidP="008711A1">
      <w:pPr>
        <w:pStyle w:val="Heading4"/>
        <w:rPr>
          <w:rStyle w:val="Strong"/>
          <w:b/>
          <w:bCs/>
        </w:rPr>
      </w:pPr>
      <w:r w:rsidRPr="00076837">
        <w:rPr>
          <w:rStyle w:val="Strong"/>
          <w:b/>
          <w:bCs/>
        </w:rPr>
        <w:t>Reference to future direction, land use strategy, action or policy (Part C)</w:t>
      </w:r>
    </w:p>
    <w:p w:rsidR="008711A1" w:rsidRPr="003A58CF" w:rsidRDefault="008711A1" w:rsidP="00B01FC7">
      <w:pPr>
        <w:pStyle w:val="btbullet"/>
      </w:pPr>
      <w:r w:rsidRPr="003A58CF">
        <w:lastRenderedPageBreak/>
        <w:t>Section 13.2 Bendigo the regional city</w:t>
      </w:r>
    </w:p>
    <w:p w:rsidR="0044186F" w:rsidRPr="001013C1" w:rsidRDefault="0044186F" w:rsidP="001013C1">
      <w:pPr>
        <w:pStyle w:val="bt"/>
        <w:rPr>
          <w:rStyle w:val="Strong"/>
        </w:rPr>
      </w:pPr>
      <w:r w:rsidRPr="001013C1">
        <w:rPr>
          <w:rStyle w:val="Strong"/>
        </w:rPr>
        <w:t>Growth of regional centres/towns and Bendigo’s hinterland</w:t>
      </w:r>
    </w:p>
    <w:p w:rsidR="0044186F" w:rsidRPr="003A58CF" w:rsidRDefault="0044186F" w:rsidP="00B01FC7">
      <w:pPr>
        <w:pStyle w:val="btbullet"/>
      </w:pPr>
      <w:r w:rsidRPr="003A58CF">
        <w:t>Support the current structure planning for Kyneton, Woodend and Riddells Creek</w:t>
      </w:r>
    </w:p>
    <w:p w:rsidR="0044186F" w:rsidRPr="003A58CF" w:rsidRDefault="0044186F" w:rsidP="00B01FC7">
      <w:pPr>
        <w:pStyle w:val="btbullet"/>
      </w:pPr>
      <w:r w:rsidRPr="003A58CF">
        <w:t>Investigate land supply opportunities and impediments to accommodate further growth in Castlemaine</w:t>
      </w:r>
    </w:p>
    <w:p w:rsidR="0044186F" w:rsidRPr="003A58CF" w:rsidRDefault="0044186F" w:rsidP="00B01FC7">
      <w:pPr>
        <w:pStyle w:val="btbullet"/>
      </w:pPr>
      <w:r w:rsidRPr="003A58CF">
        <w:t>Undertake structure planning and programs to promote the growth of Maryborough</w:t>
      </w:r>
    </w:p>
    <w:p w:rsidR="0044186F" w:rsidRPr="003A58CF" w:rsidRDefault="0044186F" w:rsidP="00B01FC7">
      <w:pPr>
        <w:pStyle w:val="btbullet"/>
      </w:pPr>
      <w:r w:rsidRPr="003A58CF">
        <w:t>Commence investigation projects for the growth of Bridgewater, Inglewood and Harcourt</w:t>
      </w:r>
    </w:p>
    <w:p w:rsidR="0044186F" w:rsidRPr="003A58CF" w:rsidRDefault="0044186F" w:rsidP="00B01FC7">
      <w:pPr>
        <w:pStyle w:val="btbullet"/>
      </w:pPr>
      <w:r w:rsidRPr="003A58CF">
        <w:t>Support the sustainability of small towns through investment and diversification of their economies and appropriate flexible zoning provisions</w:t>
      </w:r>
    </w:p>
    <w:p w:rsidR="00076837" w:rsidRDefault="00076837" w:rsidP="00076837">
      <w:pPr>
        <w:pStyle w:val="Heading4"/>
        <w:rPr>
          <w:rStyle w:val="Strong"/>
          <w:b/>
          <w:bCs/>
        </w:rPr>
      </w:pPr>
      <w:r w:rsidRPr="00076837">
        <w:rPr>
          <w:rStyle w:val="Strong"/>
          <w:b/>
          <w:bCs/>
        </w:rPr>
        <w:t>Reference to future direction, land use strategy, action or policy (Part C)</w:t>
      </w:r>
    </w:p>
    <w:p w:rsidR="008711A1" w:rsidRPr="003A58CF" w:rsidRDefault="008711A1" w:rsidP="00B01FC7">
      <w:pPr>
        <w:pStyle w:val="btbullet"/>
      </w:pPr>
      <w:r w:rsidRPr="003A58CF">
        <w:t>Section 13.3 Growth of regional centres and towns</w:t>
      </w:r>
    </w:p>
    <w:p w:rsidR="008711A1" w:rsidRDefault="008711A1" w:rsidP="00B01FC7">
      <w:pPr>
        <w:pStyle w:val="btbullet"/>
      </w:pPr>
      <w:r w:rsidRPr="003A58CF">
        <w:t>Section 13.4 Growth of Bendigo’s hinterland towns</w:t>
      </w:r>
    </w:p>
    <w:p w:rsidR="0044186F" w:rsidRPr="006F2AD4" w:rsidRDefault="0044186F" w:rsidP="0044186F">
      <w:pPr>
        <w:pStyle w:val="bt"/>
        <w:rPr>
          <w:rStyle w:val="Strong"/>
        </w:rPr>
      </w:pPr>
      <w:r w:rsidRPr="006F2AD4">
        <w:rPr>
          <w:rStyle w:val="Strong"/>
        </w:rPr>
        <w:t>Social inclusion</w:t>
      </w:r>
    </w:p>
    <w:p w:rsidR="0044186F" w:rsidRPr="003A58CF" w:rsidRDefault="0044186F" w:rsidP="00B01FC7">
      <w:pPr>
        <w:pStyle w:val="btbullet"/>
      </w:pPr>
      <w:r w:rsidRPr="003A58CF">
        <w:rPr>
          <w:lang w:val="en-GB"/>
        </w:rPr>
        <w:t>Coordinate government agencies’ land and infrastructure strategies to align the provision of public and community facilities, including existing and new education facilities</w:t>
      </w:r>
    </w:p>
    <w:p w:rsidR="00076837" w:rsidRPr="00076837" w:rsidRDefault="00076837" w:rsidP="00076837">
      <w:pPr>
        <w:pStyle w:val="Heading4"/>
        <w:rPr>
          <w:rStyle w:val="Strong"/>
          <w:b/>
          <w:bCs/>
        </w:rPr>
      </w:pPr>
      <w:r w:rsidRPr="00076837">
        <w:rPr>
          <w:rStyle w:val="Strong"/>
          <w:b/>
          <w:bCs/>
        </w:rPr>
        <w:t>Reference to future direction, land use strategy, action or policy (Part C)</w:t>
      </w:r>
    </w:p>
    <w:p w:rsidR="0044186F" w:rsidRPr="003A58CF" w:rsidRDefault="0044186F" w:rsidP="00B01FC7">
      <w:pPr>
        <w:pStyle w:val="btbullet"/>
        <w:rPr>
          <w:rFonts w:cs="Times New Roman"/>
        </w:rPr>
      </w:pPr>
      <w:r w:rsidRPr="003A58CF">
        <w:t>Section 13.5 Social inclusion</w:t>
      </w:r>
    </w:p>
    <w:p w:rsidR="008711A1" w:rsidRPr="00076837" w:rsidRDefault="008711A1" w:rsidP="008711A1">
      <w:pPr>
        <w:pStyle w:val="Heading4"/>
        <w:rPr>
          <w:rStyle w:val="Strong"/>
          <w:b/>
          <w:bCs/>
        </w:rPr>
      </w:pPr>
      <w:r w:rsidRPr="00076837">
        <w:rPr>
          <w:rStyle w:val="Strong"/>
          <w:b/>
          <w:bCs/>
        </w:rPr>
        <w:t>Recommended actions</w:t>
      </w:r>
    </w:p>
    <w:p w:rsidR="0044186F" w:rsidRPr="00DD7E99" w:rsidRDefault="0044186F" w:rsidP="00DD7E99">
      <w:pPr>
        <w:pStyle w:val="bt"/>
        <w:rPr>
          <w:rStyle w:val="Strong"/>
        </w:rPr>
      </w:pPr>
      <w:r w:rsidRPr="00DD7E99">
        <w:rPr>
          <w:rStyle w:val="Strong"/>
        </w:rPr>
        <w:t>Regional infrastructure</w:t>
      </w:r>
    </w:p>
    <w:p w:rsidR="0044186F" w:rsidRPr="002410E3" w:rsidRDefault="0044186F" w:rsidP="002410E3">
      <w:pPr>
        <w:pStyle w:val="btbullet"/>
      </w:pPr>
      <w:r w:rsidRPr="002410E3">
        <w:t>Agree on a target for regional energy generation</w:t>
      </w:r>
    </w:p>
    <w:p w:rsidR="0044186F" w:rsidRPr="002410E3" w:rsidRDefault="0044186F" w:rsidP="002410E3">
      <w:pPr>
        <w:pStyle w:val="btbullet"/>
      </w:pPr>
      <w:r w:rsidRPr="002410E3">
        <w:t>Support the provision of facilities that efficiently manage the region’s solid waste</w:t>
      </w:r>
    </w:p>
    <w:p w:rsidR="0044186F" w:rsidRPr="002410E3" w:rsidRDefault="0044186F" w:rsidP="002410E3">
      <w:pPr>
        <w:pStyle w:val="btbullet"/>
      </w:pPr>
      <w:r w:rsidRPr="002410E3">
        <w:t>Initiate a study to gain an understanding of the economic and social opportunities provided by improved telecommunications, and the potential land use implications</w:t>
      </w:r>
    </w:p>
    <w:p w:rsidR="0044186F" w:rsidRPr="002410E3" w:rsidRDefault="0044186F" w:rsidP="002410E3">
      <w:pPr>
        <w:pStyle w:val="btbullet"/>
      </w:pPr>
      <w:r w:rsidRPr="002410E3">
        <w:t>Support investigation of sewering for townships including Talbot and Newbridge</w:t>
      </w:r>
    </w:p>
    <w:p w:rsidR="0044186F" w:rsidRPr="002410E3" w:rsidRDefault="0044186F" w:rsidP="002410E3">
      <w:pPr>
        <w:pStyle w:val="btbullet"/>
      </w:pPr>
      <w:r w:rsidRPr="002410E3">
        <w:t>Support ongoing investment in water infrastructure and management of water resources to enhance security and efficiency of water supply to irrigators, farms and urban areas</w:t>
      </w:r>
    </w:p>
    <w:p w:rsidR="0044186F" w:rsidRPr="002410E3" w:rsidRDefault="0044186F" w:rsidP="002410E3">
      <w:pPr>
        <w:pStyle w:val="btbullet"/>
      </w:pPr>
      <w:r w:rsidRPr="002410E3">
        <w:t>Support the Harcourt modernisation project to replace the existing concrete and earthen gravity channel system with a pressurised pipeline reticulation network</w:t>
      </w:r>
    </w:p>
    <w:p w:rsidR="0044186F" w:rsidRPr="002410E3" w:rsidRDefault="0044186F" w:rsidP="002410E3">
      <w:pPr>
        <w:pStyle w:val="btbullet"/>
      </w:pPr>
      <w:r w:rsidRPr="002410E3">
        <w:t>Support reticulated water mains renewals and replacement for New Gisborne, Woodend, Mount Macedon and Riddells Creek</w:t>
      </w:r>
    </w:p>
    <w:p w:rsidR="0044186F" w:rsidRPr="002410E3" w:rsidRDefault="0044186F" w:rsidP="002410E3">
      <w:pPr>
        <w:pStyle w:val="btbullet"/>
      </w:pPr>
      <w:r w:rsidRPr="002410E3">
        <w:t>Support the development of the New Bendigo Hospital to provide additional crucial facilities in preparation for growth in the region</w:t>
      </w:r>
    </w:p>
    <w:p w:rsidR="0044186F" w:rsidRPr="002410E3" w:rsidRDefault="0044186F" w:rsidP="002410E3">
      <w:pPr>
        <w:pStyle w:val="btbullet"/>
      </w:pPr>
      <w:r w:rsidRPr="002410E3">
        <w:t>Support upgrades to Bendigo Airport to improve access and infrastructure to support emergency services</w:t>
      </w:r>
    </w:p>
    <w:p w:rsidR="0044186F" w:rsidRPr="002410E3" w:rsidRDefault="0044186F" w:rsidP="002410E3">
      <w:pPr>
        <w:pStyle w:val="btbullet"/>
      </w:pPr>
      <w:r w:rsidRPr="002410E3">
        <w:t>Support the NBN rollout</w:t>
      </w:r>
    </w:p>
    <w:p w:rsidR="0044186F" w:rsidRPr="002410E3" w:rsidRDefault="0044186F" w:rsidP="002410E3">
      <w:pPr>
        <w:pStyle w:val="btbullet"/>
      </w:pPr>
      <w:r w:rsidRPr="002410E3">
        <w:t>Improve water quality for Bridgewater, Laanecoorie, Tarnagulla, Inglewood, Dunolly and Bealiba</w:t>
      </w:r>
    </w:p>
    <w:p w:rsidR="0044186F" w:rsidRPr="002410E3" w:rsidRDefault="0044186F" w:rsidP="002410E3">
      <w:pPr>
        <w:pStyle w:val="btbullet"/>
      </w:pPr>
      <w:r w:rsidRPr="002410E3">
        <w:t>Improve transport connections between Geelong, Ballarat and Bendigo (via Maryborough and Castlemaine).</w:t>
      </w:r>
    </w:p>
    <w:p w:rsidR="0044186F" w:rsidRPr="002410E3" w:rsidRDefault="0044186F" w:rsidP="002410E3">
      <w:pPr>
        <w:pStyle w:val="btbullet"/>
      </w:pPr>
      <w:r w:rsidRPr="002410E3">
        <w:lastRenderedPageBreak/>
        <w:t>Undertake infrastructure planning as part of the structure plans for Harcourt, Bridgewater, Heathcote and Inglewood</w:t>
      </w:r>
    </w:p>
    <w:p w:rsidR="0044186F" w:rsidRPr="002410E3" w:rsidRDefault="0044186F" w:rsidP="002410E3">
      <w:pPr>
        <w:pStyle w:val="btbullet"/>
      </w:pPr>
      <w:r w:rsidRPr="002410E3">
        <w:t>Investigate the extension of reticulated gas</w:t>
      </w:r>
    </w:p>
    <w:p w:rsidR="0044186F" w:rsidRPr="002410E3" w:rsidRDefault="0044186F" w:rsidP="002410E3">
      <w:pPr>
        <w:pStyle w:val="btbullet"/>
      </w:pPr>
      <w:r w:rsidRPr="002410E3">
        <w:t>Investigate extended public transport networks from towns in Bendigo’s hinterland to Bendigo City</w:t>
      </w:r>
    </w:p>
    <w:p w:rsidR="0044186F" w:rsidRPr="002410E3" w:rsidRDefault="0044186F" w:rsidP="002410E3">
      <w:pPr>
        <w:pStyle w:val="btbullet"/>
      </w:pPr>
      <w:r w:rsidRPr="002410E3">
        <w:t>Support the capacity and functioning of the transport network through maintenance and upgrade works that facilitate increased transport movements and ensure safety</w:t>
      </w:r>
    </w:p>
    <w:p w:rsidR="008711A1" w:rsidRPr="00076837" w:rsidRDefault="008711A1" w:rsidP="008711A1">
      <w:pPr>
        <w:pStyle w:val="Heading4"/>
        <w:rPr>
          <w:rStyle w:val="Strong"/>
          <w:b/>
          <w:bCs/>
        </w:rPr>
      </w:pPr>
      <w:bookmarkStart w:id="310" w:name="_Toc367196714"/>
      <w:r w:rsidRPr="00076837">
        <w:rPr>
          <w:rStyle w:val="Strong"/>
          <w:b/>
          <w:bCs/>
        </w:rPr>
        <w:t>Reference to future direction, land use strategy, action or policy (Part C)</w:t>
      </w:r>
    </w:p>
    <w:p w:rsidR="0044186F" w:rsidRPr="002410E3" w:rsidRDefault="0044186F" w:rsidP="002410E3">
      <w:pPr>
        <w:pStyle w:val="btbullet"/>
      </w:pPr>
      <w:r w:rsidRPr="002410E3">
        <w:t>Section 14.1 Water, energy and utilities</w:t>
      </w:r>
      <w:bookmarkEnd w:id="310"/>
    </w:p>
    <w:p w:rsidR="008711A1" w:rsidRPr="002410E3" w:rsidRDefault="0044186F" w:rsidP="002410E3">
      <w:pPr>
        <w:pStyle w:val="btbullet"/>
      </w:pPr>
      <w:bookmarkStart w:id="311" w:name="_Toc367196715"/>
      <w:r w:rsidRPr="002410E3">
        <w:t>Section 14.2 Transport networks</w:t>
      </w:r>
      <w:bookmarkEnd w:id="311"/>
    </w:p>
    <w:p w:rsidR="00813A9B" w:rsidRPr="00A746A7" w:rsidRDefault="00813A9B" w:rsidP="00A746A7">
      <w:pPr>
        <w:pStyle w:val="bt"/>
      </w:pPr>
      <w:r w:rsidRPr="003A58CF">
        <w:t xml:space="preserve">A number of issues have been identified during the development of this plan that require further detailed planning and investigation to support implementation. Many of these are identified in </w:t>
      </w:r>
      <w:r w:rsidR="000952D4" w:rsidRPr="003A58CF">
        <w:t>Section 14 Regional infrastructure</w:t>
      </w:r>
      <w:r w:rsidRPr="003A58CF">
        <w:t xml:space="preserve">. In addition, the following projects are identified as region-wide priorities for further investigation and facilitation; not all are the responsibility of this plan to implement. Some of these projects will require funding, state agency collaboration and local council support. The outcomes of these projects will assist in the delivery of many actions identified in this plan. </w:t>
      </w:r>
    </w:p>
    <w:p w:rsidR="00813A9B" w:rsidRPr="003A58CF" w:rsidRDefault="00813A9B" w:rsidP="00854F5E">
      <w:pPr>
        <w:pStyle w:val="bt"/>
      </w:pPr>
      <w:r w:rsidRPr="003A58CF">
        <w:t xml:space="preserve">These projects include: </w:t>
      </w:r>
    </w:p>
    <w:p w:rsidR="00813A9B" w:rsidRPr="003A58CF" w:rsidRDefault="00813A9B" w:rsidP="002410E3">
      <w:pPr>
        <w:pStyle w:val="btbullet"/>
      </w:pPr>
      <w:r w:rsidRPr="003A58CF">
        <w:t xml:space="preserve">preparation of a Loddon Mallee Economic Development Strategy </w:t>
      </w:r>
    </w:p>
    <w:p w:rsidR="00813A9B" w:rsidRPr="003A58CF" w:rsidRDefault="00813A9B" w:rsidP="002410E3">
      <w:pPr>
        <w:pStyle w:val="btbullet"/>
      </w:pPr>
      <w:r w:rsidRPr="003A58CF">
        <w:t xml:space="preserve">developing a regional approach to small lot development, using the </w:t>
      </w:r>
      <w:r w:rsidR="001307FE">
        <w:t>reformed</w:t>
      </w:r>
      <w:r w:rsidR="001307FE" w:rsidRPr="003A58CF">
        <w:t xml:space="preserve"> </w:t>
      </w:r>
      <w:r w:rsidRPr="003A58CF">
        <w:t xml:space="preserve">rural zones </w:t>
      </w:r>
    </w:p>
    <w:p w:rsidR="00813A9B" w:rsidRPr="003A58CF" w:rsidRDefault="00813A9B" w:rsidP="002410E3">
      <w:pPr>
        <w:pStyle w:val="btbullet"/>
      </w:pPr>
      <w:r w:rsidRPr="003A58CF">
        <w:t>preparation of a combined food, freight and energy strategy for the region, classifying strategically important agricultural land, land use clusters and links to processing</w:t>
      </w:r>
      <w:r w:rsidR="00D34F9B" w:rsidRPr="003A58CF">
        <w:t xml:space="preserve"> and </w:t>
      </w:r>
      <w:r w:rsidRPr="003A58CF">
        <w:t xml:space="preserve">manufacturing and freight opportunities in the region. This strategy will inform many of the actions identified for rural areas and transport </w:t>
      </w:r>
    </w:p>
    <w:p w:rsidR="00813A9B" w:rsidRPr="003A58CF" w:rsidRDefault="00813A9B" w:rsidP="002410E3">
      <w:pPr>
        <w:pStyle w:val="btbullet"/>
      </w:pPr>
      <w:r w:rsidRPr="003A58CF">
        <w:t>work</w:t>
      </w:r>
      <w:r w:rsidR="001307FE">
        <w:t>ing</w:t>
      </w:r>
      <w:r w:rsidRPr="003A58CF">
        <w:t xml:space="preserve"> cooperatively with the North Central Catchment Management Authority to develop a Carbon Action Plan that includes the majority of the Loddon Mallee South region. This will aid in the delivery of actions such as carbon farming, on-farm bioenergy and renewable energy initiatives</w:t>
      </w:r>
    </w:p>
    <w:p w:rsidR="00813A9B" w:rsidRPr="003A58CF" w:rsidRDefault="00813A9B" w:rsidP="002410E3">
      <w:pPr>
        <w:pStyle w:val="btbullet"/>
      </w:pPr>
      <w:r w:rsidRPr="003A58CF">
        <w:t>supporting the ‘Creating a climate resilient Southern Loddon Mallee project’</w:t>
      </w:r>
    </w:p>
    <w:p w:rsidR="00813A9B" w:rsidRPr="003A58CF" w:rsidRDefault="00813A9B" w:rsidP="002410E3">
      <w:pPr>
        <w:pStyle w:val="btbullet"/>
      </w:pPr>
      <w:r w:rsidRPr="003A58CF">
        <w:t>facilitat</w:t>
      </w:r>
      <w:r w:rsidR="001307FE">
        <w:t>ing</w:t>
      </w:r>
      <w:r w:rsidRPr="003A58CF">
        <w:t xml:space="preserve"> a pilot catchment study regarding the impact of activity and development on open potable water supplies </w:t>
      </w:r>
    </w:p>
    <w:p w:rsidR="0018446E" w:rsidRPr="003A58CF" w:rsidRDefault="00813A9B" w:rsidP="002410E3">
      <w:pPr>
        <w:pStyle w:val="btbullet"/>
      </w:pPr>
      <w:r w:rsidRPr="003A58CF">
        <w:t>develop</w:t>
      </w:r>
      <w:r w:rsidR="001307FE">
        <w:t>ing</w:t>
      </w:r>
      <w:r w:rsidRPr="003A58CF">
        <w:t xml:space="preserve"> an e-strategy for the region to better understand economic and land use implications and potential change.</w:t>
      </w:r>
    </w:p>
    <w:p w:rsidR="00813A9B" w:rsidRPr="003A58CF" w:rsidRDefault="00813A9B" w:rsidP="00A746A7">
      <w:pPr>
        <w:pStyle w:val="Heading2"/>
      </w:pPr>
      <w:bookmarkStart w:id="312" w:name="_Toc365300561"/>
      <w:bookmarkStart w:id="313" w:name="_Toc367196716"/>
      <w:bookmarkStart w:id="314" w:name="_Toc377026357"/>
      <w:r w:rsidRPr="003A58CF">
        <w:t>Review and performance</w:t>
      </w:r>
      <w:bookmarkEnd w:id="312"/>
      <w:bookmarkEnd w:id="313"/>
      <w:bookmarkEnd w:id="314"/>
    </w:p>
    <w:p w:rsidR="00A3351D" w:rsidRPr="003A58CF" w:rsidRDefault="00A3351D" w:rsidP="00854F5E">
      <w:pPr>
        <w:pStyle w:val="bt"/>
      </w:pPr>
      <w:r w:rsidRPr="003A58CF">
        <w:t xml:space="preserve">This plan sets out a growth framework for the next 30 years. It is impossible to anticipate exactly what will occur in the future, and there may be substantial ‘game changers’ that dramatically influence aspects of the Loddon Mallee South economy and its settlements. Significant shifts in policy, major investment, natural disasters and the impact of climate change all have the capacity to impact </w:t>
      </w:r>
      <w:r w:rsidR="001307FE">
        <w:t xml:space="preserve">upon </w:t>
      </w:r>
      <w:r w:rsidRPr="003A58CF">
        <w:t xml:space="preserve">the region. </w:t>
      </w:r>
    </w:p>
    <w:p w:rsidR="00813A9B" w:rsidRPr="003A58CF" w:rsidRDefault="00813A9B" w:rsidP="00854F5E">
      <w:pPr>
        <w:pStyle w:val="bt"/>
      </w:pPr>
      <w:r w:rsidRPr="003A58CF">
        <w:t>The plan is intended to be a living and adaptable plan, able to respond to</w:t>
      </w:r>
      <w:r w:rsidR="00A3351D" w:rsidRPr="003A58CF">
        <w:t xml:space="preserve"> unpredictable events and</w:t>
      </w:r>
      <w:r w:rsidRPr="003A58CF">
        <w:t xml:space="preserve"> new data and information as it arises, including information from state or regional strategies and programs. The plan is to be reviewed on a four</w:t>
      </w:r>
      <w:r w:rsidR="00732ECC" w:rsidRPr="003A58CF">
        <w:t>-</w:t>
      </w:r>
      <w:r w:rsidRPr="003A58CF">
        <w:t xml:space="preserve"> to </w:t>
      </w:r>
      <w:r w:rsidR="00732ECC" w:rsidRPr="003A58CF">
        <w:t>five-</w:t>
      </w:r>
      <w:r w:rsidRPr="003A58CF">
        <w:t>year cycle. Any review process will involve broad community and stakeholder engagement.</w:t>
      </w:r>
    </w:p>
    <w:p w:rsidR="00A3351D" w:rsidRPr="003A58CF" w:rsidRDefault="00A3351D" w:rsidP="00854F5E">
      <w:pPr>
        <w:pStyle w:val="bt"/>
      </w:pPr>
      <w:r w:rsidRPr="003A58CF">
        <w:t>It is intended that this plan will inform any subsequent review of the Strategic Plan 2010.</w:t>
      </w:r>
    </w:p>
    <w:p w:rsidR="008711A1" w:rsidRDefault="00813A9B" w:rsidP="00854F5E">
      <w:pPr>
        <w:pStyle w:val="bt"/>
      </w:pPr>
      <w:r w:rsidRPr="003A58CF">
        <w:lastRenderedPageBreak/>
        <w:t>Implementation of this plan will be integrated with the overall implementation of the Strategic Plan 2010 and included in the performance monitoring framework already established or</w:t>
      </w:r>
      <w:r w:rsidRPr="003A58CF">
        <w:rPr>
          <w:i/>
        </w:rPr>
        <w:t xml:space="preserve"> </w:t>
      </w:r>
      <w:r w:rsidRPr="003A58CF">
        <w:t>being established in future for the implementation of the Strategic Plan 2010. This framework includes an assessment of performance and project progress and sets out performance measures for the key directions of the Strategic Plan 2010.</w:t>
      </w:r>
    </w:p>
    <w:p w:rsidR="00813A9B" w:rsidRPr="00A746A7" w:rsidRDefault="00813A9B" w:rsidP="00A746A7">
      <w:pPr>
        <w:pStyle w:val="Heading2"/>
      </w:pPr>
      <w:bookmarkStart w:id="315" w:name="_Toc365300562"/>
      <w:bookmarkStart w:id="316" w:name="_Toc367196717"/>
      <w:bookmarkStart w:id="317" w:name="_Toc377026358"/>
      <w:r w:rsidRPr="00A746A7">
        <w:t>Implementation summary</w:t>
      </w:r>
      <w:bookmarkEnd w:id="315"/>
      <w:bookmarkEnd w:id="316"/>
      <w:bookmarkEnd w:id="317"/>
    </w:p>
    <w:p w:rsidR="00813A9B" w:rsidRPr="003A58CF" w:rsidRDefault="00813A9B" w:rsidP="00854F5E">
      <w:pPr>
        <w:pStyle w:val="bt"/>
      </w:pPr>
      <w:r w:rsidRPr="003A58CF">
        <w:t>The key implementation actions, priorities, partners and responsibilities are summarised below:</w:t>
      </w:r>
    </w:p>
    <w:p w:rsidR="001F16ED" w:rsidRPr="004809DF" w:rsidRDefault="00E978E8" w:rsidP="00C50E1E">
      <w:pPr>
        <w:pStyle w:val="Caption"/>
      </w:pPr>
      <w:bookmarkStart w:id="318" w:name="_Toc373757219"/>
      <w:r w:rsidRPr="004809DF">
        <w:t xml:space="preserve">Table </w:t>
      </w:r>
      <w:r w:rsidR="00F06CD8" w:rsidRPr="004809DF">
        <w:fldChar w:fldCharType="begin"/>
      </w:r>
      <w:r w:rsidRPr="004809DF">
        <w:instrText xml:space="preserve"> SEQ Table \* ARABIC </w:instrText>
      </w:r>
      <w:r w:rsidR="00F06CD8" w:rsidRPr="004809DF">
        <w:fldChar w:fldCharType="separate"/>
      </w:r>
      <w:r w:rsidR="006707B1">
        <w:t>5</w:t>
      </w:r>
      <w:r w:rsidR="00F06CD8" w:rsidRPr="004809DF">
        <w:fldChar w:fldCharType="end"/>
      </w:r>
      <w:r w:rsidR="009E00F0">
        <w:t xml:space="preserve">: </w:t>
      </w:r>
      <w:r w:rsidRPr="00C9550D">
        <w:rPr>
          <w:b w:val="0"/>
        </w:rPr>
        <w:t>Key implementation actions, priorities, partners and responsibilities</w:t>
      </w:r>
      <w:bookmarkEnd w:id="318"/>
    </w:p>
    <w:p w:rsidR="008711A1" w:rsidRDefault="008711A1" w:rsidP="008711A1">
      <w:pPr>
        <w:pStyle w:val="Heading4"/>
      </w:pPr>
      <w:bookmarkStart w:id="319" w:name="_Toc367196718"/>
      <w:r w:rsidRPr="00B0122E">
        <w:t>Action</w:t>
      </w:r>
      <w:bookmarkEnd w:id="319"/>
    </w:p>
    <w:p w:rsidR="008711A1" w:rsidRPr="00B0122E" w:rsidRDefault="008711A1" w:rsidP="00F657E9">
      <w:pPr>
        <w:pStyle w:val="ListNumber"/>
        <w:numPr>
          <w:ilvl w:val="0"/>
          <w:numId w:val="85"/>
        </w:numPr>
        <w:rPr>
          <w:rFonts w:cs="Times New Roman"/>
        </w:rPr>
      </w:pPr>
      <w:bookmarkStart w:id="320" w:name="_Toc367196723"/>
      <w:r w:rsidRPr="00B0122E">
        <w:t>Planning scheme implementation of regional growth plan</w:t>
      </w:r>
      <w:bookmarkEnd w:id="320"/>
    </w:p>
    <w:p w:rsidR="008711A1" w:rsidRDefault="008711A1" w:rsidP="008711A1">
      <w:pPr>
        <w:pStyle w:val="Heading4"/>
      </w:pPr>
      <w:bookmarkStart w:id="321" w:name="_Toc367196719"/>
      <w:r w:rsidRPr="00B0122E">
        <w:t>Priority</w:t>
      </w:r>
      <w:bookmarkEnd w:id="321"/>
    </w:p>
    <w:p w:rsidR="008711A1" w:rsidRPr="003A58CF" w:rsidRDefault="008711A1" w:rsidP="00B01FC7">
      <w:pPr>
        <w:pStyle w:val="bt"/>
        <w:rPr>
          <w:rFonts w:cs="Times New Roman"/>
        </w:rPr>
      </w:pPr>
      <w:bookmarkStart w:id="322" w:name="_Toc367196724"/>
      <w:r w:rsidRPr="003A58CF">
        <w:t>High</w:t>
      </w:r>
      <w:bookmarkEnd w:id="322"/>
    </w:p>
    <w:p w:rsidR="008711A1" w:rsidRDefault="008711A1" w:rsidP="008711A1">
      <w:pPr>
        <w:pStyle w:val="Heading4"/>
      </w:pPr>
      <w:bookmarkStart w:id="323" w:name="_Toc367196720"/>
      <w:r w:rsidRPr="00B0122E">
        <w:t>Timing</w:t>
      </w:r>
      <w:bookmarkEnd w:id="323"/>
    </w:p>
    <w:p w:rsidR="008711A1" w:rsidRPr="003A58CF" w:rsidRDefault="008711A1" w:rsidP="00B01FC7">
      <w:pPr>
        <w:pStyle w:val="bt"/>
        <w:rPr>
          <w:rFonts w:cs="Times New Roman"/>
        </w:rPr>
      </w:pPr>
      <w:r w:rsidRPr="003A58CF">
        <w:t>2013–2014</w:t>
      </w:r>
    </w:p>
    <w:p w:rsidR="008711A1" w:rsidRPr="00B0122E" w:rsidRDefault="008711A1" w:rsidP="008711A1">
      <w:pPr>
        <w:pStyle w:val="Heading4"/>
        <w:rPr>
          <w:rFonts w:cs="Times New Roman"/>
        </w:rPr>
      </w:pPr>
      <w:bookmarkStart w:id="324" w:name="_Toc367196721"/>
      <w:r w:rsidRPr="00B0122E">
        <w:t>Lead responsibility</w:t>
      </w:r>
      <w:bookmarkEnd w:id="324"/>
    </w:p>
    <w:p w:rsidR="008711A1" w:rsidRPr="003A58CF" w:rsidRDefault="008711A1" w:rsidP="00B01FC7">
      <w:pPr>
        <w:pStyle w:val="bt"/>
        <w:rPr>
          <w:rFonts w:cs="Times New Roman"/>
        </w:rPr>
      </w:pPr>
      <w:bookmarkStart w:id="325" w:name="_Toc367196722"/>
      <w:r w:rsidRPr="003A58CF">
        <w:t>Department of Transport, Planning and Local Infrastructure</w:t>
      </w:r>
    </w:p>
    <w:p w:rsidR="008711A1" w:rsidRPr="00B0122E" w:rsidRDefault="008711A1" w:rsidP="008711A1">
      <w:pPr>
        <w:pStyle w:val="Heading4"/>
        <w:rPr>
          <w:rFonts w:cs="Times New Roman"/>
        </w:rPr>
      </w:pPr>
      <w:r w:rsidRPr="00B0122E">
        <w:t>Key partners</w:t>
      </w:r>
      <w:bookmarkEnd w:id="325"/>
    </w:p>
    <w:p w:rsidR="008711A1" w:rsidRDefault="008711A1" w:rsidP="00B01FC7">
      <w:pPr>
        <w:pStyle w:val="bt"/>
      </w:pPr>
      <w:r w:rsidRPr="003A58CF">
        <w:t>Loddon Mallee South region councils</w:t>
      </w:r>
    </w:p>
    <w:p w:rsidR="008711A1" w:rsidRPr="00B0122E" w:rsidRDefault="008711A1" w:rsidP="008711A1">
      <w:pPr>
        <w:pStyle w:val="Heading4"/>
        <w:rPr>
          <w:rFonts w:cs="Times New Roman"/>
        </w:rPr>
      </w:pPr>
      <w:r w:rsidRPr="00B0122E">
        <w:t>Action</w:t>
      </w:r>
    </w:p>
    <w:p w:rsidR="00583B7F" w:rsidRPr="00B0122E" w:rsidRDefault="00583B7F" w:rsidP="00F657E9">
      <w:pPr>
        <w:pStyle w:val="bt"/>
        <w:numPr>
          <w:ilvl w:val="0"/>
          <w:numId w:val="85"/>
        </w:numPr>
        <w:rPr>
          <w:rFonts w:cs="Times New Roman"/>
        </w:rPr>
      </w:pPr>
      <w:r w:rsidRPr="00B0122E">
        <w:t>Implementation plan</w:t>
      </w:r>
    </w:p>
    <w:p w:rsidR="008711A1" w:rsidRPr="00B0122E" w:rsidRDefault="008711A1" w:rsidP="008711A1">
      <w:pPr>
        <w:pStyle w:val="Heading4"/>
        <w:rPr>
          <w:rFonts w:cs="Times New Roman"/>
        </w:rPr>
      </w:pPr>
      <w:r w:rsidRPr="00B0122E">
        <w:t>Priority</w:t>
      </w:r>
    </w:p>
    <w:p w:rsidR="00583B7F" w:rsidRPr="003A58CF" w:rsidRDefault="00583B7F" w:rsidP="00B01FC7">
      <w:pPr>
        <w:pStyle w:val="bt"/>
        <w:rPr>
          <w:rFonts w:cs="Times New Roman"/>
        </w:rPr>
      </w:pPr>
      <w:r w:rsidRPr="003A58CF">
        <w:t>High</w:t>
      </w:r>
    </w:p>
    <w:p w:rsidR="008711A1" w:rsidRPr="00B0122E" w:rsidRDefault="008711A1" w:rsidP="008711A1">
      <w:pPr>
        <w:pStyle w:val="Heading4"/>
        <w:rPr>
          <w:rFonts w:cs="Times New Roman"/>
        </w:rPr>
      </w:pPr>
      <w:r w:rsidRPr="00B0122E">
        <w:t>Timing</w:t>
      </w:r>
    </w:p>
    <w:p w:rsidR="00583B7F" w:rsidRPr="003A58CF" w:rsidRDefault="00583B7F" w:rsidP="00B01FC7">
      <w:pPr>
        <w:pStyle w:val="bt"/>
        <w:rPr>
          <w:rFonts w:cs="Times New Roman"/>
        </w:rPr>
      </w:pPr>
      <w:r w:rsidRPr="003A58CF">
        <w:t>2014–2015</w:t>
      </w:r>
    </w:p>
    <w:p w:rsidR="008711A1" w:rsidRPr="00B0122E" w:rsidRDefault="008711A1" w:rsidP="008711A1">
      <w:pPr>
        <w:pStyle w:val="Heading4"/>
        <w:rPr>
          <w:rFonts w:cs="Times New Roman"/>
        </w:rPr>
      </w:pPr>
      <w:r w:rsidRPr="00B0122E">
        <w:t>Lead responsibility</w:t>
      </w:r>
    </w:p>
    <w:p w:rsidR="00583B7F" w:rsidRPr="003A58CF" w:rsidRDefault="00583B7F" w:rsidP="00B01FC7">
      <w:pPr>
        <w:pStyle w:val="bt"/>
        <w:rPr>
          <w:rFonts w:cs="Times New Roman"/>
        </w:rPr>
      </w:pPr>
      <w:r w:rsidRPr="003A58CF">
        <w:t>Loddon Mallee South region lead governance entity</w:t>
      </w:r>
    </w:p>
    <w:p w:rsidR="008711A1" w:rsidRPr="00B0122E" w:rsidRDefault="008711A1" w:rsidP="008711A1">
      <w:pPr>
        <w:pStyle w:val="Heading4"/>
        <w:rPr>
          <w:rFonts w:cs="Times New Roman"/>
        </w:rPr>
      </w:pPr>
      <w:r w:rsidRPr="00B0122E">
        <w:t>Key partners</w:t>
      </w:r>
    </w:p>
    <w:p w:rsidR="008711A1" w:rsidRPr="003A58CF" w:rsidRDefault="008711A1" w:rsidP="00B01FC7">
      <w:pPr>
        <w:pStyle w:val="bt"/>
        <w:rPr>
          <w:rFonts w:cs="Times New Roman"/>
        </w:rPr>
      </w:pPr>
      <w:r w:rsidRPr="003A58CF">
        <w:t>Loddon Mallee South Regional Growth Plan project partners</w:t>
      </w:r>
    </w:p>
    <w:p w:rsidR="008711A1" w:rsidRPr="00B0122E" w:rsidRDefault="008711A1" w:rsidP="008711A1">
      <w:pPr>
        <w:pStyle w:val="Heading4"/>
        <w:rPr>
          <w:rFonts w:cs="Times New Roman"/>
        </w:rPr>
      </w:pPr>
      <w:r w:rsidRPr="00B0122E">
        <w:t>Action</w:t>
      </w:r>
    </w:p>
    <w:p w:rsidR="00583B7F" w:rsidRPr="00B0122E" w:rsidRDefault="00583B7F" w:rsidP="00F657E9">
      <w:pPr>
        <w:pStyle w:val="bt"/>
        <w:numPr>
          <w:ilvl w:val="0"/>
          <w:numId w:val="85"/>
        </w:numPr>
        <w:rPr>
          <w:rFonts w:cs="Times New Roman"/>
        </w:rPr>
      </w:pPr>
      <w:r w:rsidRPr="00B0122E">
        <w:lastRenderedPageBreak/>
        <w:t>Loddon Mallee South region Municipal Strategic Statement reviews</w:t>
      </w:r>
    </w:p>
    <w:p w:rsidR="008711A1" w:rsidRPr="00B0122E" w:rsidRDefault="008711A1" w:rsidP="008711A1">
      <w:pPr>
        <w:pStyle w:val="Heading4"/>
        <w:rPr>
          <w:rFonts w:cs="Times New Roman"/>
        </w:rPr>
      </w:pPr>
      <w:r w:rsidRPr="00B0122E">
        <w:t>Priority</w:t>
      </w:r>
    </w:p>
    <w:p w:rsidR="00583B7F" w:rsidRPr="003A58CF" w:rsidRDefault="00583B7F" w:rsidP="00B01FC7">
      <w:pPr>
        <w:pStyle w:val="bt"/>
        <w:rPr>
          <w:rFonts w:cs="Times New Roman"/>
        </w:rPr>
      </w:pPr>
      <w:r w:rsidRPr="003A58CF">
        <w:t>Medium</w:t>
      </w:r>
    </w:p>
    <w:p w:rsidR="008711A1" w:rsidRPr="00B0122E" w:rsidRDefault="008711A1" w:rsidP="008711A1">
      <w:pPr>
        <w:pStyle w:val="Heading4"/>
        <w:rPr>
          <w:rFonts w:cs="Times New Roman"/>
        </w:rPr>
      </w:pPr>
      <w:r w:rsidRPr="00B0122E">
        <w:t>Timing</w:t>
      </w:r>
    </w:p>
    <w:p w:rsidR="00583B7F" w:rsidRPr="003A58CF" w:rsidRDefault="00583B7F" w:rsidP="00B01FC7">
      <w:pPr>
        <w:pStyle w:val="bt"/>
        <w:rPr>
          <w:rFonts w:cs="Times New Roman"/>
        </w:rPr>
      </w:pPr>
      <w:r w:rsidRPr="003A58CF">
        <w:t>To coincide with Municipal Strategic Statement review cycles</w:t>
      </w:r>
    </w:p>
    <w:p w:rsidR="008711A1" w:rsidRPr="00B0122E" w:rsidRDefault="008711A1" w:rsidP="008711A1">
      <w:pPr>
        <w:pStyle w:val="Heading4"/>
        <w:rPr>
          <w:rFonts w:cs="Times New Roman"/>
        </w:rPr>
      </w:pPr>
      <w:r w:rsidRPr="00B0122E">
        <w:t>Lead responsibility</w:t>
      </w:r>
    </w:p>
    <w:p w:rsidR="00583B7F" w:rsidRPr="003A58CF" w:rsidRDefault="00583B7F" w:rsidP="00B01FC7">
      <w:pPr>
        <w:pStyle w:val="bt"/>
        <w:rPr>
          <w:rFonts w:cs="Times New Roman"/>
        </w:rPr>
      </w:pPr>
      <w:r w:rsidRPr="003A58CF">
        <w:t>Loddon Mallee South region councils</w:t>
      </w:r>
    </w:p>
    <w:p w:rsidR="008711A1" w:rsidRPr="00B0122E" w:rsidRDefault="008711A1" w:rsidP="008711A1">
      <w:pPr>
        <w:pStyle w:val="Heading4"/>
        <w:rPr>
          <w:rFonts w:cs="Times New Roman"/>
        </w:rPr>
      </w:pPr>
      <w:r w:rsidRPr="00B0122E">
        <w:t>Key partners</w:t>
      </w:r>
    </w:p>
    <w:p w:rsidR="008711A1" w:rsidRPr="003A58CF" w:rsidRDefault="008711A1" w:rsidP="00B01FC7">
      <w:pPr>
        <w:pStyle w:val="bt"/>
        <w:rPr>
          <w:rFonts w:cs="Times New Roman"/>
        </w:rPr>
      </w:pPr>
      <w:r w:rsidRPr="003A58CF">
        <w:t>Department of Transport, Planning and Local Infrastructure</w:t>
      </w:r>
    </w:p>
    <w:p w:rsidR="008711A1" w:rsidRPr="00B0122E" w:rsidRDefault="008711A1" w:rsidP="008711A1">
      <w:pPr>
        <w:pStyle w:val="Heading4"/>
        <w:rPr>
          <w:rFonts w:cs="Times New Roman"/>
        </w:rPr>
      </w:pPr>
      <w:r w:rsidRPr="00B0122E">
        <w:t>Action</w:t>
      </w:r>
    </w:p>
    <w:p w:rsidR="00583B7F" w:rsidRPr="00B0122E" w:rsidRDefault="00583B7F" w:rsidP="00F657E9">
      <w:pPr>
        <w:pStyle w:val="bt"/>
        <w:numPr>
          <w:ilvl w:val="0"/>
          <w:numId w:val="85"/>
        </w:numPr>
        <w:rPr>
          <w:rFonts w:cs="Times New Roman"/>
        </w:rPr>
      </w:pPr>
      <w:r w:rsidRPr="00B0122E">
        <w:t>Review</w:t>
      </w:r>
    </w:p>
    <w:p w:rsidR="008711A1" w:rsidRPr="00B0122E" w:rsidRDefault="008711A1" w:rsidP="008711A1">
      <w:pPr>
        <w:pStyle w:val="Heading4"/>
        <w:rPr>
          <w:rFonts w:cs="Times New Roman"/>
        </w:rPr>
      </w:pPr>
      <w:r w:rsidRPr="00B0122E">
        <w:t>Priority</w:t>
      </w:r>
    </w:p>
    <w:p w:rsidR="00583B7F" w:rsidRPr="003A58CF" w:rsidRDefault="00583B7F" w:rsidP="00B01FC7">
      <w:pPr>
        <w:pStyle w:val="bt"/>
        <w:rPr>
          <w:rFonts w:cs="Times New Roman"/>
        </w:rPr>
      </w:pPr>
      <w:r w:rsidRPr="003A58CF">
        <w:t>Medium</w:t>
      </w:r>
    </w:p>
    <w:p w:rsidR="008711A1" w:rsidRPr="00B0122E" w:rsidRDefault="008711A1" w:rsidP="008711A1">
      <w:pPr>
        <w:pStyle w:val="Heading4"/>
        <w:rPr>
          <w:rFonts w:cs="Times New Roman"/>
        </w:rPr>
      </w:pPr>
      <w:r w:rsidRPr="00B0122E">
        <w:t>Timing</w:t>
      </w:r>
    </w:p>
    <w:p w:rsidR="00583B7F" w:rsidRPr="003A58CF" w:rsidRDefault="00583B7F" w:rsidP="00B01FC7">
      <w:pPr>
        <w:pStyle w:val="bt"/>
        <w:rPr>
          <w:rFonts w:cs="Times New Roman"/>
        </w:rPr>
      </w:pPr>
      <w:r w:rsidRPr="003A58CF">
        <w:t>2016–18</w:t>
      </w:r>
    </w:p>
    <w:p w:rsidR="008711A1" w:rsidRPr="00B0122E" w:rsidRDefault="008711A1" w:rsidP="008711A1">
      <w:pPr>
        <w:pStyle w:val="Heading4"/>
        <w:rPr>
          <w:rFonts w:cs="Times New Roman"/>
        </w:rPr>
      </w:pPr>
      <w:r w:rsidRPr="00B0122E">
        <w:t>Lead responsibility</w:t>
      </w:r>
    </w:p>
    <w:p w:rsidR="00583B7F" w:rsidRPr="003A58CF" w:rsidRDefault="00583B7F" w:rsidP="00B01FC7">
      <w:pPr>
        <w:pStyle w:val="bt"/>
        <w:rPr>
          <w:rFonts w:cs="Times New Roman"/>
        </w:rPr>
      </w:pPr>
      <w:r w:rsidRPr="003A58CF">
        <w:t>Loddon Mallee South region lead governance entity</w:t>
      </w:r>
    </w:p>
    <w:p w:rsidR="008711A1" w:rsidRPr="00B0122E" w:rsidRDefault="008711A1" w:rsidP="008711A1">
      <w:pPr>
        <w:pStyle w:val="Heading4"/>
        <w:rPr>
          <w:rFonts w:cs="Times New Roman"/>
        </w:rPr>
      </w:pPr>
      <w:r w:rsidRPr="00B0122E">
        <w:t>Key partners</w:t>
      </w:r>
    </w:p>
    <w:p w:rsidR="00B01FC7" w:rsidRDefault="008711A1" w:rsidP="00B01FC7">
      <w:pPr>
        <w:pStyle w:val="bt"/>
        <w:sectPr w:rsidR="00B01FC7" w:rsidSect="001C3454">
          <w:headerReference w:type="default" r:id="rId21"/>
          <w:pgSz w:w="11906" w:h="16838"/>
          <w:pgMar w:top="1440" w:right="1440" w:bottom="993" w:left="1440" w:header="709" w:footer="708" w:gutter="0"/>
          <w:cols w:space="708"/>
          <w:docGrid w:linePitch="360"/>
        </w:sectPr>
      </w:pPr>
      <w:r w:rsidRPr="003A58CF">
        <w:t>Loddon Mallee South Regional Growth Plan project partners</w:t>
      </w:r>
    </w:p>
    <w:p w:rsidR="004F6A6E" w:rsidRPr="0037224A" w:rsidRDefault="004F6A6E" w:rsidP="0037224A">
      <w:pPr>
        <w:pStyle w:val="Heading1"/>
      </w:pPr>
      <w:bookmarkStart w:id="326" w:name="_Toc352685733"/>
      <w:bookmarkStart w:id="327" w:name="_Toc352687582"/>
      <w:bookmarkStart w:id="328" w:name="_Toc365300519"/>
      <w:bookmarkStart w:id="329" w:name="_Toc377026359"/>
      <w:r w:rsidRPr="0037224A">
        <w:lastRenderedPageBreak/>
        <w:t>G</w:t>
      </w:r>
      <w:bookmarkEnd w:id="326"/>
      <w:bookmarkEnd w:id="327"/>
      <w:bookmarkEnd w:id="328"/>
      <w:r w:rsidR="00343B57">
        <w:t>LOSSARY</w:t>
      </w:r>
      <w:bookmarkEnd w:id="329"/>
    </w:p>
    <w:p w:rsidR="004F6A6E" w:rsidRPr="00CE555D" w:rsidRDefault="004F6A6E" w:rsidP="004F6A6E">
      <w:pPr>
        <w:pStyle w:val="bt"/>
        <w:rPr>
          <w:rStyle w:val="Strong"/>
          <w:b w:val="0"/>
          <w:bCs w:val="0"/>
        </w:rPr>
      </w:pPr>
      <w:r w:rsidRPr="00CE555D">
        <w:rPr>
          <w:rStyle w:val="Strong"/>
          <w:bCs w:val="0"/>
        </w:rPr>
        <w:t>Aboriginal cultural heritage:</w:t>
      </w:r>
      <w:r w:rsidRPr="00CE555D">
        <w:rPr>
          <w:rStyle w:val="Strong"/>
          <w:b w:val="0"/>
          <w:bCs w:val="0"/>
        </w:rPr>
        <w:t xml:space="preserve"> means Aboriginal places, Aboriginal objects and Aboriginal human remains. They tell the story of Aboriginal use and occupation of land. An Aboriginal place can be an area of land or water, a natural feature, formation or landscape, an archaeological site, as well as a building or structure. Aboriginal cultural heritage also includes intangible places where there may be no physical evidence of past cultural activities. These include places of spiritual or ceremonial significance, places where traditional plant or mineral resources occur, or trade and travel routes.</w:t>
      </w:r>
    </w:p>
    <w:p w:rsidR="004F6A6E" w:rsidRPr="00CE555D" w:rsidRDefault="004F6A6E" w:rsidP="004F6A6E">
      <w:pPr>
        <w:pStyle w:val="bt"/>
      </w:pPr>
      <w:r w:rsidRPr="00CE555D">
        <w:rPr>
          <w:rStyle w:val="Strong"/>
          <w:bCs w:val="0"/>
        </w:rPr>
        <w:t>Bioenergy</w:t>
      </w:r>
      <w:r w:rsidRPr="00CE555D">
        <w:rPr>
          <w:rStyle w:val="Strong"/>
          <w:b w:val="0"/>
          <w:bCs w:val="0"/>
        </w:rPr>
        <w:t xml:space="preserve">: </w:t>
      </w:r>
      <w:r w:rsidRPr="00CE555D">
        <w:t>energy generated from organic matter, such as agricultural waste.</w:t>
      </w:r>
    </w:p>
    <w:p w:rsidR="004F6A6E" w:rsidRPr="00CE555D" w:rsidRDefault="004F6A6E" w:rsidP="004F6A6E">
      <w:pPr>
        <w:pStyle w:val="bt"/>
      </w:pPr>
      <w:r w:rsidRPr="00CE555D">
        <w:rPr>
          <w:b/>
        </w:rPr>
        <w:t>Biofuels:</w:t>
      </w:r>
      <w:r w:rsidRPr="00CE555D">
        <w:t xml:space="preserve"> biofuels are liquid or gaseous fuels derived from biomass.</w:t>
      </w:r>
    </w:p>
    <w:p w:rsidR="004F6A6E" w:rsidRPr="00CE555D" w:rsidRDefault="004F6A6E" w:rsidP="004F6A6E">
      <w:pPr>
        <w:pStyle w:val="bt"/>
      </w:pPr>
      <w:r w:rsidRPr="00CE555D">
        <w:rPr>
          <w:b/>
        </w:rPr>
        <w:t>Biomass:</w:t>
      </w:r>
      <w:r w:rsidRPr="00CE555D">
        <w:t xml:space="preserve"> </w:t>
      </w:r>
      <w:r>
        <w:t>b</w:t>
      </w:r>
      <w:r w:rsidRPr="00CE555D">
        <w:t>iomass includes agricultural residues and waste products, forestry residues, organic wastes, purpose-grown energy crops, woody weeds, algae and biodegradable municipal waste streams.</w:t>
      </w:r>
    </w:p>
    <w:p w:rsidR="004F6A6E" w:rsidRPr="00CE555D" w:rsidRDefault="004F6A6E" w:rsidP="004F6A6E">
      <w:pPr>
        <w:pStyle w:val="bt"/>
      </w:pPr>
      <w:r w:rsidRPr="00CE555D">
        <w:rPr>
          <w:rStyle w:val="Strong"/>
          <w:bCs w:val="0"/>
        </w:rPr>
        <w:t>Carbon farming:</w:t>
      </w:r>
      <w:r w:rsidRPr="00CE555D">
        <w:rPr>
          <w:rStyle w:val="Strong"/>
          <w:b w:val="0"/>
          <w:bCs w:val="0"/>
        </w:rPr>
        <w:t xml:space="preserve"> </w:t>
      </w:r>
      <w:r w:rsidRPr="00CE555D">
        <w:t>a method of allowing farmers and land managers to earn carbon credits by storing carbon or reducing greenhouse gas emissions on the land.</w:t>
      </w:r>
    </w:p>
    <w:p w:rsidR="004F6A6E" w:rsidRDefault="004F6A6E" w:rsidP="004F6A6E">
      <w:pPr>
        <w:pStyle w:val="bt"/>
      </w:pPr>
      <w:r w:rsidRPr="00CE555D">
        <w:rPr>
          <w:rStyle w:val="Strong"/>
          <w:bCs w:val="0"/>
        </w:rPr>
        <w:t>Central Business District (CBD):</w:t>
      </w:r>
      <w:r w:rsidRPr="00CE555D">
        <w:rPr>
          <w:rStyle w:val="Strong"/>
          <w:b w:val="0"/>
          <w:bCs w:val="0"/>
        </w:rPr>
        <w:t xml:space="preserve"> </w:t>
      </w:r>
      <w:r w:rsidRPr="00CE555D">
        <w:t>the area comprising the core commercial, civic and community functions of a town.</w:t>
      </w:r>
    </w:p>
    <w:p w:rsidR="004F6A6E" w:rsidRDefault="004F6A6E" w:rsidP="004F6A6E">
      <w:pPr>
        <w:pStyle w:val="bt"/>
      </w:pPr>
      <w:r w:rsidRPr="00CF05FF">
        <w:rPr>
          <w:rStyle w:val="Strong"/>
        </w:rPr>
        <w:t>Cultural heritage:</w:t>
      </w:r>
      <w:r w:rsidRPr="00CF05FF">
        <w:t xml:space="preserve"> captures both Aboriginal</w:t>
      </w:r>
      <w:r>
        <w:t xml:space="preserve"> cultural</w:t>
      </w:r>
      <w:r w:rsidRPr="00CF05FF">
        <w:t xml:space="preserve"> heritage and historic heritage.</w:t>
      </w:r>
    </w:p>
    <w:p w:rsidR="004F6A6E" w:rsidRDefault="004F6A6E" w:rsidP="004F6A6E">
      <w:pPr>
        <w:pStyle w:val="bt"/>
        <w:spacing w:before="120" w:after="120"/>
      </w:pPr>
      <w:r>
        <w:rPr>
          <w:b/>
        </w:rPr>
        <w:t>Declared Water Supply C</w:t>
      </w:r>
      <w:r w:rsidRPr="00A94AB1">
        <w:rPr>
          <w:b/>
        </w:rPr>
        <w:t>atchments:</w:t>
      </w:r>
      <w:r w:rsidRPr="00A94AB1">
        <w:t xml:space="preserve"> </w:t>
      </w:r>
      <w:r>
        <w:t>c</w:t>
      </w:r>
      <w:r w:rsidRPr="00A94AB1">
        <w:t xml:space="preserve">atchment areas as proclaimed under the </w:t>
      </w:r>
      <w:r w:rsidRPr="00A94AB1">
        <w:rPr>
          <w:i/>
          <w:iCs/>
        </w:rPr>
        <w:t>Soil Conservation and Land Utilization Act</w:t>
      </w:r>
      <w:r w:rsidRPr="00DC4049">
        <w:rPr>
          <w:i/>
        </w:rPr>
        <w:t xml:space="preserve"> 1958</w:t>
      </w:r>
      <w:r w:rsidRPr="00A94AB1">
        <w:t xml:space="preserve"> in conjunction with the </w:t>
      </w:r>
      <w:r w:rsidRPr="00A94AB1">
        <w:rPr>
          <w:i/>
          <w:iCs/>
        </w:rPr>
        <w:t xml:space="preserve">Land Conservation </w:t>
      </w:r>
      <w:r w:rsidRPr="00230F6B">
        <w:rPr>
          <w:i/>
          <w:iCs/>
        </w:rPr>
        <w:t>Act</w:t>
      </w:r>
      <w:r w:rsidRPr="00DC4049">
        <w:rPr>
          <w:i/>
        </w:rPr>
        <w:t xml:space="preserve"> 1970</w:t>
      </w:r>
      <w:r w:rsidRPr="00A94AB1">
        <w:t xml:space="preserve"> and subsequently incorporated into the </w:t>
      </w:r>
      <w:r w:rsidRPr="00A94AB1">
        <w:rPr>
          <w:i/>
          <w:iCs/>
        </w:rPr>
        <w:t xml:space="preserve">Catchment and Land Protection </w:t>
      </w:r>
      <w:r w:rsidRPr="00230F6B">
        <w:rPr>
          <w:i/>
          <w:iCs/>
        </w:rPr>
        <w:t>Act</w:t>
      </w:r>
      <w:r w:rsidRPr="00DC4049">
        <w:rPr>
          <w:i/>
        </w:rPr>
        <w:t xml:space="preserve"> 1994</w:t>
      </w:r>
      <w:r w:rsidRPr="0084527C">
        <w:t>.</w:t>
      </w:r>
    </w:p>
    <w:p w:rsidR="004F6A6E" w:rsidRPr="003B3A8A" w:rsidRDefault="004F6A6E" w:rsidP="004F6A6E">
      <w:pPr>
        <w:pStyle w:val="bt"/>
        <w:spacing w:before="120" w:after="120"/>
        <w:rPr>
          <w:rStyle w:val="Strong"/>
          <w:b w:val="0"/>
          <w:bCs w:val="0"/>
        </w:rPr>
      </w:pPr>
      <w:r>
        <w:rPr>
          <w:b/>
        </w:rPr>
        <w:t>Domestic wastewater management p</w:t>
      </w:r>
      <w:r w:rsidRPr="001B4F7A">
        <w:rPr>
          <w:b/>
        </w:rPr>
        <w:t>lan:</w:t>
      </w:r>
      <w:r>
        <w:t xml:space="preserve"> a document seeking to reduce</w:t>
      </w:r>
      <w:r w:rsidRPr="001B4F7A">
        <w:t xml:space="preserve"> the potential health and environmental impacts of on-site wastewater disposal. </w:t>
      </w:r>
    </w:p>
    <w:p w:rsidR="004F6A6E" w:rsidRPr="00CE555D" w:rsidRDefault="004F6A6E" w:rsidP="004F6A6E">
      <w:pPr>
        <w:pStyle w:val="bt"/>
      </w:pPr>
      <w:r w:rsidRPr="00CE555D">
        <w:rPr>
          <w:rStyle w:val="Strong"/>
          <w:bCs w:val="0"/>
        </w:rPr>
        <w:t>Earth resources:</w:t>
      </w:r>
      <w:r w:rsidRPr="00CE555D">
        <w:rPr>
          <w:rStyle w:val="Strong"/>
          <w:b w:val="0"/>
          <w:bCs w:val="0"/>
        </w:rPr>
        <w:t xml:space="preserve"> </w:t>
      </w:r>
      <w:r w:rsidRPr="00CE555D">
        <w:t xml:space="preserve">these comprise minerals, petroleum, </w:t>
      </w:r>
      <w:r>
        <w:t xml:space="preserve">gas, </w:t>
      </w:r>
      <w:r w:rsidRPr="00CE555D">
        <w:t xml:space="preserve">extractive and geothermal industries. </w:t>
      </w:r>
    </w:p>
    <w:p w:rsidR="004F6A6E" w:rsidRPr="00CE555D" w:rsidRDefault="004F6A6E" w:rsidP="004F6A6E">
      <w:pPr>
        <w:pStyle w:val="bt"/>
        <w:rPr>
          <w:rStyle w:val="Strong"/>
          <w:b w:val="0"/>
          <w:bCs w:val="0"/>
        </w:rPr>
      </w:pPr>
      <w:r w:rsidRPr="00CE555D">
        <w:rPr>
          <w:rStyle w:val="Strong"/>
          <w:bCs w:val="0"/>
        </w:rPr>
        <w:t>Ecologically Sustainable Development:</w:t>
      </w:r>
      <w:r>
        <w:rPr>
          <w:rStyle w:val="Strong"/>
          <w:b w:val="0"/>
          <w:bCs w:val="0"/>
        </w:rPr>
        <w:t xml:space="preserve"> u</w:t>
      </w:r>
      <w:r w:rsidRPr="00CE555D">
        <w:rPr>
          <w:rStyle w:val="Strong"/>
          <w:b w:val="0"/>
          <w:bCs w:val="0"/>
        </w:rPr>
        <w:t>sing, conserving and enhancing the community’s resources so that ecological processes, on which life depends, are maintained, and the total quality of life now and in the future can be increased.</w:t>
      </w:r>
    </w:p>
    <w:p w:rsidR="004F6A6E" w:rsidRPr="00CE555D" w:rsidRDefault="004F6A6E" w:rsidP="004F6A6E">
      <w:pPr>
        <w:pStyle w:val="bt"/>
        <w:rPr>
          <w:rStyle w:val="Strong"/>
          <w:b w:val="0"/>
          <w:bCs w:val="0"/>
        </w:rPr>
      </w:pPr>
      <w:r w:rsidRPr="00CE555D">
        <w:rPr>
          <w:rStyle w:val="Strong"/>
          <w:bCs w:val="0"/>
        </w:rPr>
        <w:t>Environmental asset:</w:t>
      </w:r>
      <w:r w:rsidRPr="00CE555D">
        <w:rPr>
          <w:rStyle w:val="Strong"/>
          <w:b w:val="0"/>
          <w:bCs w:val="0"/>
        </w:rPr>
        <w:t xml:space="preserve"> </w:t>
      </w:r>
      <w:r w:rsidRPr="00CE555D">
        <w:t>a tangible bio-physical element of the environment, such as terrestrial habitat, waterway</w:t>
      </w:r>
      <w:r>
        <w:t>s</w:t>
      </w:r>
      <w:r w:rsidRPr="00CE555D">
        <w:t>, significant landscape</w:t>
      </w:r>
      <w:r>
        <w:t>s and</w:t>
      </w:r>
      <w:r w:rsidRPr="00CE555D">
        <w:t xml:space="preserve"> soil</w:t>
      </w:r>
      <w:r>
        <w:t>s</w:t>
      </w:r>
      <w:r w:rsidRPr="00CE555D">
        <w:t>.</w:t>
      </w:r>
    </w:p>
    <w:p w:rsidR="004F6A6E" w:rsidRPr="00CE555D" w:rsidRDefault="004F6A6E" w:rsidP="004F6A6E">
      <w:pPr>
        <w:pStyle w:val="bt"/>
      </w:pPr>
      <w:r w:rsidRPr="00CE555D">
        <w:rPr>
          <w:rStyle w:val="Strong"/>
          <w:bCs w:val="0"/>
        </w:rPr>
        <w:t>Environmental value</w:t>
      </w:r>
      <w:r w:rsidRPr="00CE555D">
        <w:rPr>
          <w:rStyle w:val="Strong"/>
          <w:b w:val="0"/>
          <w:bCs w:val="0"/>
        </w:rPr>
        <w:t xml:space="preserve">: </w:t>
      </w:r>
      <w:r w:rsidRPr="00CE555D">
        <w:t>the attributes of an environmental asset that make it valuable or important, based on environmental, social or economic values.</w:t>
      </w:r>
    </w:p>
    <w:p w:rsidR="004F6A6E" w:rsidRPr="00CE555D" w:rsidRDefault="004F6A6E" w:rsidP="004F6A6E">
      <w:pPr>
        <w:pStyle w:val="bt"/>
      </w:pPr>
      <w:r w:rsidRPr="00CE555D">
        <w:rPr>
          <w:b/>
        </w:rPr>
        <w:t>Extractive Industry Interest Area (EIIA):</w:t>
      </w:r>
      <w:r w:rsidRPr="00CE555D">
        <w:t xml:space="preserve"> identified areas around major centres in Victoria where it is possible that a quarry could be placed within defined constraints.</w:t>
      </w:r>
    </w:p>
    <w:p w:rsidR="004F6A6E" w:rsidRPr="00CE555D" w:rsidRDefault="004F6A6E" w:rsidP="004F6A6E">
      <w:pPr>
        <w:pStyle w:val="bt"/>
        <w:rPr>
          <w:rStyle w:val="Strong"/>
          <w:b w:val="0"/>
          <w:bCs w:val="0"/>
        </w:rPr>
      </w:pPr>
      <w:r w:rsidRPr="00CE555D">
        <w:rPr>
          <w:rStyle w:val="Strong"/>
          <w:bCs w:val="0"/>
        </w:rPr>
        <w:t>Food bowl:</w:t>
      </w:r>
      <w:r w:rsidRPr="00CE555D">
        <w:rPr>
          <w:rStyle w:val="Strong"/>
          <w:b w:val="0"/>
          <w:bCs w:val="0"/>
        </w:rPr>
        <w:t xml:space="preserve"> </w:t>
      </w:r>
      <w:r>
        <w:rPr>
          <w:rStyle w:val="Strong"/>
          <w:b w:val="0"/>
          <w:bCs w:val="0"/>
        </w:rPr>
        <w:t xml:space="preserve">the </w:t>
      </w:r>
      <w:r w:rsidRPr="00CE555D">
        <w:t>Greater Shepparton, Moira, Swan Hill, Campaspe, Gannawarra</w:t>
      </w:r>
      <w:r>
        <w:t>,</w:t>
      </w:r>
      <w:r w:rsidRPr="00CE555D">
        <w:t xml:space="preserve"> </w:t>
      </w:r>
      <w:r>
        <w:t xml:space="preserve">Mildura </w:t>
      </w:r>
      <w:r w:rsidRPr="00CE555D">
        <w:t xml:space="preserve">and Loddon </w:t>
      </w:r>
      <w:r>
        <w:t>municipalities</w:t>
      </w:r>
      <w:r w:rsidRPr="00CE555D">
        <w:t xml:space="preserve"> all form part of Victoria’s food bowl, which specialises in irrigation-based industries including dairy, horticulture and viticulture, as well as dry land farming operations and agriculture-related industries, such</w:t>
      </w:r>
      <w:r>
        <w:t xml:space="preserve"> as food processing, packaging and </w:t>
      </w:r>
      <w:r w:rsidRPr="00CE555D">
        <w:t>transport.</w:t>
      </w:r>
    </w:p>
    <w:p w:rsidR="004F6A6E" w:rsidRPr="00CE555D" w:rsidRDefault="004F6A6E" w:rsidP="004F6A6E">
      <w:pPr>
        <w:pStyle w:val="bt"/>
      </w:pPr>
      <w:r w:rsidRPr="00CE555D">
        <w:rPr>
          <w:rStyle w:val="Strong"/>
          <w:bCs w:val="0"/>
        </w:rPr>
        <w:t>Freight and logistics precincts:</w:t>
      </w:r>
      <w:r w:rsidRPr="00CE555D">
        <w:rPr>
          <w:rStyle w:val="Strong"/>
          <w:b w:val="0"/>
          <w:bCs w:val="0"/>
        </w:rPr>
        <w:t xml:space="preserve"> </w:t>
      </w:r>
      <w:r w:rsidRPr="00CE555D">
        <w:t xml:space="preserve">places where large volumes of freight are received, stored and dispatched. These precincts may support port, airport or rail and road inter-modal terminals and may include </w:t>
      </w:r>
      <w:r w:rsidRPr="00CE555D">
        <w:lastRenderedPageBreak/>
        <w:t>manufacturing activity, warehouses and distribution centres within the broader precinct of complementary freight and freight-related activities.</w:t>
      </w:r>
    </w:p>
    <w:p w:rsidR="004F6A6E" w:rsidRPr="00CE555D" w:rsidRDefault="004F6A6E" w:rsidP="004F6A6E">
      <w:pPr>
        <w:pStyle w:val="bt"/>
      </w:pPr>
      <w:r w:rsidRPr="00CE555D">
        <w:rPr>
          <w:rStyle w:val="Strong"/>
          <w:bCs w:val="0"/>
        </w:rPr>
        <w:t>Goulburn-Murray Water Connections Project:</w:t>
      </w:r>
      <w:r w:rsidRPr="00CE555D">
        <w:rPr>
          <w:rStyle w:val="Strong"/>
          <w:b w:val="0"/>
          <w:bCs w:val="0"/>
        </w:rPr>
        <w:t xml:space="preserve"> </w:t>
      </w:r>
      <w:r w:rsidRPr="00CE555D">
        <w:t xml:space="preserve">formerly known as Northern Victoria Irrigation Renewal Project (NVIRP), it is a $2 billion irrigation modernisation project in Victoria’s </w:t>
      </w:r>
      <w:r>
        <w:t>food bowl</w:t>
      </w:r>
      <w:r w:rsidRPr="00CE555D">
        <w:t>.</w:t>
      </w:r>
    </w:p>
    <w:p w:rsidR="004F6A6E" w:rsidRPr="00CE555D" w:rsidRDefault="004F6A6E" w:rsidP="004F6A6E">
      <w:pPr>
        <w:pStyle w:val="bt"/>
      </w:pPr>
      <w:r w:rsidRPr="00CE555D">
        <w:rPr>
          <w:rStyle w:val="Strong"/>
          <w:bCs w:val="0"/>
        </w:rPr>
        <w:t>Greenfield land:</w:t>
      </w:r>
      <w:r w:rsidRPr="00CE555D">
        <w:rPr>
          <w:rStyle w:val="Strong"/>
          <w:b w:val="0"/>
          <w:bCs w:val="0"/>
        </w:rPr>
        <w:t xml:space="preserve"> </w:t>
      </w:r>
      <w:r w:rsidRPr="00CE555D">
        <w:t>non-urban land designated for future urban development.</w:t>
      </w:r>
    </w:p>
    <w:p w:rsidR="004F6A6E" w:rsidRPr="00CE555D" w:rsidRDefault="004F6A6E" w:rsidP="004F6A6E">
      <w:pPr>
        <w:pStyle w:val="bt"/>
      </w:pPr>
      <w:r w:rsidRPr="00CE555D">
        <w:rPr>
          <w:rStyle w:val="Strong"/>
          <w:bCs w:val="0"/>
        </w:rPr>
        <w:t>Higher order services:</w:t>
      </w:r>
      <w:r w:rsidRPr="00CE555D">
        <w:rPr>
          <w:rStyle w:val="Strong"/>
          <w:b w:val="0"/>
          <w:bCs w:val="0"/>
        </w:rPr>
        <w:t xml:space="preserve"> </w:t>
      </w:r>
      <w:r w:rsidRPr="00CE555D">
        <w:t>services that are only provided in a limited number of locations and have a large catchment area, such as a university or department store.</w:t>
      </w:r>
    </w:p>
    <w:p w:rsidR="004F6A6E" w:rsidRPr="00CE555D" w:rsidRDefault="004F6A6E" w:rsidP="004F6A6E">
      <w:pPr>
        <w:pStyle w:val="bt"/>
      </w:pPr>
      <w:r w:rsidRPr="00CE555D">
        <w:rPr>
          <w:b/>
        </w:rPr>
        <w:t>Historic heritage:</w:t>
      </w:r>
      <w:r w:rsidRPr="00CE555D">
        <w:t xml:space="preserve"> refers to the fabric of our past that we value today and includes archaeological sites, buildings and precincts, structures, gardens, trees, cemeteries, cultural landscapes, shipwrecks and significant objects and artefacts.</w:t>
      </w:r>
    </w:p>
    <w:p w:rsidR="004F6A6E" w:rsidRPr="00CE555D" w:rsidRDefault="004F6A6E" w:rsidP="004F6A6E">
      <w:pPr>
        <w:pStyle w:val="bt"/>
      </w:pPr>
      <w:r w:rsidRPr="00CE555D">
        <w:rPr>
          <w:b/>
        </w:rPr>
        <w:t>Housing diversity:</w:t>
      </w:r>
      <w:r w:rsidRPr="00CE555D">
        <w:t xml:space="preserve"> the provision of a range of different housing types to suit different ages, lifestyles and incomes.</w:t>
      </w:r>
    </w:p>
    <w:p w:rsidR="004F6A6E" w:rsidRPr="00CE555D" w:rsidRDefault="004F6A6E" w:rsidP="004F6A6E">
      <w:pPr>
        <w:pStyle w:val="bt"/>
      </w:pPr>
      <w:r w:rsidRPr="00CE555D">
        <w:rPr>
          <w:rStyle w:val="Strong"/>
          <w:bCs w:val="0"/>
        </w:rPr>
        <w:t>Industry</w:t>
      </w:r>
      <w:r>
        <w:rPr>
          <w:rStyle w:val="Strong"/>
          <w:bCs w:val="0"/>
        </w:rPr>
        <w:t xml:space="preserve"> or </w:t>
      </w:r>
      <w:r w:rsidRPr="00CE555D">
        <w:rPr>
          <w:rStyle w:val="Strong"/>
          <w:bCs w:val="0"/>
        </w:rPr>
        <w:t>agricultural clusters:</w:t>
      </w:r>
      <w:r w:rsidRPr="00CE555D">
        <w:rPr>
          <w:rStyle w:val="Strong"/>
          <w:b w:val="0"/>
          <w:bCs w:val="0"/>
        </w:rPr>
        <w:t xml:space="preserve"> </w:t>
      </w:r>
      <w:r w:rsidRPr="00CE555D">
        <w:t>geographic concentration of businesses and activities that relate to each other or work together.</w:t>
      </w:r>
    </w:p>
    <w:p w:rsidR="004F6A6E" w:rsidRPr="00CE555D" w:rsidRDefault="004F6A6E" w:rsidP="004F6A6E">
      <w:pPr>
        <w:pStyle w:val="bt"/>
        <w:rPr>
          <w:rStyle w:val="Strong"/>
          <w:b w:val="0"/>
          <w:bCs w:val="0"/>
        </w:rPr>
      </w:pPr>
      <w:r w:rsidRPr="00CE555D">
        <w:rPr>
          <w:rStyle w:val="Strong"/>
          <w:bCs w:val="0"/>
        </w:rPr>
        <w:t>Infill development:</w:t>
      </w:r>
      <w:r w:rsidRPr="00CE555D">
        <w:rPr>
          <w:rStyle w:val="Strong"/>
          <w:b w:val="0"/>
          <w:bCs w:val="0"/>
        </w:rPr>
        <w:t xml:space="preserve"> </w:t>
      </w:r>
      <w:r w:rsidRPr="00CE555D">
        <w:t>the development of additional dwellings in established urban areas.</w:t>
      </w:r>
    </w:p>
    <w:p w:rsidR="004F6A6E" w:rsidRPr="00CE555D" w:rsidRDefault="004F6A6E" w:rsidP="004F6A6E">
      <w:pPr>
        <w:pStyle w:val="bt"/>
        <w:rPr>
          <w:rStyle w:val="Strong"/>
          <w:b w:val="0"/>
          <w:bCs w:val="0"/>
        </w:rPr>
      </w:pPr>
      <w:r w:rsidRPr="00CE555D">
        <w:rPr>
          <w:rStyle w:val="Strong"/>
          <w:bCs w:val="0"/>
        </w:rPr>
        <w:t>Intensive agriculture:</w:t>
      </w:r>
      <w:r w:rsidRPr="00CE555D">
        <w:rPr>
          <w:rStyle w:val="Strong"/>
          <w:b w:val="0"/>
          <w:bCs w:val="0"/>
        </w:rPr>
        <w:t xml:space="preserve"> </w:t>
      </w:r>
      <w:r w:rsidRPr="00CE555D">
        <w:t>land used to intensively produce agricultural products through ventures such as poultry farms, piggeries, feedlots, aquaculture, hydroponics, greenhouses and glasshouses. This includes ‘intensive animal husbandry’ and intensive ‘crop raising’ as defined in planning schemes.</w:t>
      </w:r>
    </w:p>
    <w:p w:rsidR="004F6A6E" w:rsidRPr="00CE555D" w:rsidRDefault="004F6A6E" w:rsidP="004F6A6E">
      <w:pPr>
        <w:pStyle w:val="bt"/>
      </w:pPr>
      <w:r w:rsidRPr="00CE555D">
        <w:rPr>
          <w:rStyle w:val="Strong"/>
          <w:bCs w:val="0"/>
        </w:rPr>
        <w:t>Mixed use development:</w:t>
      </w:r>
      <w:r w:rsidRPr="00CE555D">
        <w:rPr>
          <w:rStyle w:val="Strong"/>
          <w:b w:val="0"/>
          <w:bCs w:val="0"/>
        </w:rPr>
        <w:t xml:space="preserve"> </w:t>
      </w:r>
      <w:r w:rsidRPr="00CE555D">
        <w:t>a development that integrates two or more uses, such as housing and retail.</w:t>
      </w:r>
    </w:p>
    <w:p w:rsidR="004F6A6E" w:rsidRPr="00CE555D" w:rsidRDefault="004F6A6E" w:rsidP="004F6A6E">
      <w:pPr>
        <w:pStyle w:val="bt"/>
      </w:pPr>
      <w:r w:rsidRPr="00CE555D">
        <w:rPr>
          <w:rStyle w:val="Strong"/>
          <w:bCs w:val="0"/>
        </w:rPr>
        <w:t>National Broadband Network (NBN):</w:t>
      </w:r>
      <w:r w:rsidRPr="00CE555D">
        <w:rPr>
          <w:rStyle w:val="Strong"/>
          <w:b w:val="0"/>
          <w:bCs w:val="0"/>
        </w:rPr>
        <w:t xml:space="preserve"> </w:t>
      </w:r>
      <w:r w:rsidRPr="00CE555D">
        <w:t xml:space="preserve">high-speed internet network being </w:t>
      </w:r>
      <w:r>
        <w:t>provided</w:t>
      </w:r>
      <w:r w:rsidRPr="00CE555D">
        <w:t xml:space="preserve"> across Australia.</w:t>
      </w:r>
    </w:p>
    <w:p w:rsidR="004F6A6E" w:rsidRPr="00CE555D" w:rsidRDefault="004F6A6E" w:rsidP="004F6A6E">
      <w:pPr>
        <w:pStyle w:val="bt"/>
        <w:rPr>
          <w:rStyle w:val="Strong"/>
          <w:b w:val="0"/>
          <w:bCs w:val="0"/>
        </w:rPr>
      </w:pPr>
      <w:r w:rsidRPr="00CE555D">
        <w:rPr>
          <w:rStyle w:val="Strong"/>
          <w:bCs w:val="0"/>
        </w:rPr>
        <w:t>Natural hazard:</w:t>
      </w:r>
      <w:r w:rsidRPr="00CE555D">
        <w:rPr>
          <w:rStyle w:val="Strong"/>
          <w:b w:val="0"/>
          <w:bCs w:val="0"/>
        </w:rPr>
        <w:t xml:space="preserve"> </w:t>
      </w:r>
      <w:r w:rsidRPr="00CE555D">
        <w:t>a naturally occurring source of potential harm or a situation with the potential to cause loss, for example bushf</w:t>
      </w:r>
      <w:r>
        <w:t xml:space="preserve">ire or </w:t>
      </w:r>
      <w:r w:rsidRPr="00CE555D">
        <w:t>flood.</w:t>
      </w:r>
    </w:p>
    <w:p w:rsidR="004F6A6E" w:rsidRDefault="004F6A6E" w:rsidP="004F6A6E">
      <w:pPr>
        <w:pStyle w:val="bt"/>
      </w:pPr>
      <w:r w:rsidRPr="00FA0B0E">
        <w:rPr>
          <w:rStyle w:val="Strong"/>
        </w:rPr>
        <w:t>Natural resources:</w:t>
      </w:r>
      <w:r w:rsidRPr="00FA0B0E">
        <w:t xml:space="preserve"> naturally occurring commodities such as oil, gas, </w:t>
      </w:r>
      <w:r>
        <w:t xml:space="preserve">sand and stone, </w:t>
      </w:r>
      <w:r w:rsidRPr="00FA0B0E">
        <w:t xml:space="preserve">minerals, fisheries, timber or places </w:t>
      </w:r>
      <w:r>
        <w:t xml:space="preserve">of solar or </w:t>
      </w:r>
      <w:r w:rsidRPr="00FA0B0E">
        <w:t>geothermal energy potential.</w:t>
      </w:r>
    </w:p>
    <w:p w:rsidR="004F6A6E" w:rsidRPr="00CE555D" w:rsidRDefault="004F6A6E" w:rsidP="004F6A6E">
      <w:pPr>
        <w:pStyle w:val="bt"/>
      </w:pPr>
      <w:r w:rsidRPr="00CE555D">
        <w:rPr>
          <w:rStyle w:val="Strong"/>
          <w:bCs w:val="0"/>
        </w:rPr>
        <w:t>Nature-based tourism:</w:t>
      </w:r>
      <w:r w:rsidRPr="00CE555D">
        <w:rPr>
          <w:rStyle w:val="Strong"/>
          <w:b w:val="0"/>
          <w:bCs w:val="0"/>
        </w:rPr>
        <w:t xml:space="preserve"> </w:t>
      </w:r>
      <w:r w:rsidRPr="00CE555D">
        <w:t>any activity that relies on experiences directly related to natural attractions including ecotourism, adventure tourism, wildlife tourism and extractive tourism, for example, fishing or gold panning.</w:t>
      </w:r>
    </w:p>
    <w:p w:rsidR="004F6A6E" w:rsidRPr="00CE555D" w:rsidRDefault="004F6A6E" w:rsidP="004F6A6E">
      <w:pPr>
        <w:pStyle w:val="bt"/>
      </w:pPr>
      <w:r w:rsidRPr="00CE555D">
        <w:rPr>
          <w:rStyle w:val="Strong"/>
          <w:bCs w:val="0"/>
        </w:rPr>
        <w:t>Overlays:</w:t>
      </w:r>
      <w:r w:rsidRPr="00CE555D">
        <w:rPr>
          <w:rStyle w:val="Strong"/>
          <w:b w:val="0"/>
          <w:bCs w:val="0"/>
        </w:rPr>
        <w:t xml:space="preserve"> </w:t>
      </w:r>
      <w:r w:rsidRPr="00CE555D">
        <w:t>planning scheme provisions generally related to a particular issue, such as heritage or flood.</w:t>
      </w:r>
    </w:p>
    <w:p w:rsidR="004F6A6E" w:rsidRPr="00CE555D" w:rsidRDefault="004F6A6E" w:rsidP="004F6A6E">
      <w:pPr>
        <w:pStyle w:val="bt"/>
        <w:rPr>
          <w:rStyle w:val="Strong"/>
          <w:b w:val="0"/>
          <w:bCs w:val="0"/>
        </w:rPr>
      </w:pPr>
      <w:r w:rsidRPr="00CE555D">
        <w:rPr>
          <w:rStyle w:val="Strong"/>
          <w:bCs w:val="0"/>
        </w:rPr>
        <w:t>Planning scheme:</w:t>
      </w:r>
      <w:r w:rsidRPr="00CE555D">
        <w:rPr>
          <w:rStyle w:val="Strong"/>
          <w:b w:val="0"/>
          <w:bCs w:val="0"/>
        </w:rPr>
        <w:t xml:space="preserve"> </w:t>
      </w:r>
      <w:r w:rsidRPr="00CE555D">
        <w:t>policies and provisions for the use, development and protection of land, prepared by councils or the Minister for Planning.</w:t>
      </w:r>
    </w:p>
    <w:p w:rsidR="004F6A6E" w:rsidRPr="00FA0B0E" w:rsidRDefault="004F6A6E" w:rsidP="004F6A6E">
      <w:pPr>
        <w:pStyle w:val="bt"/>
      </w:pPr>
      <w:r w:rsidRPr="0081780B">
        <w:rPr>
          <w:rStyle w:val="Strong"/>
        </w:rPr>
        <w:t>Regional catchment strategy:</w:t>
      </w:r>
      <w:r>
        <w:t xml:space="preserve"> a document setting out the management of natural resources, such as rivers, wetlands, terrestrial habitat and agricultural land.</w:t>
      </w:r>
    </w:p>
    <w:p w:rsidR="004F6A6E" w:rsidRPr="00CE555D" w:rsidRDefault="004F6A6E" w:rsidP="004F6A6E">
      <w:pPr>
        <w:pStyle w:val="bt"/>
        <w:rPr>
          <w:rStyle w:val="Strong"/>
          <w:b w:val="0"/>
          <w:bCs w:val="0"/>
        </w:rPr>
      </w:pPr>
      <w:r w:rsidRPr="00CE555D">
        <w:rPr>
          <w:rStyle w:val="Strong"/>
          <w:bCs w:val="0"/>
        </w:rPr>
        <w:t>Regional cities:</w:t>
      </w:r>
      <w:r w:rsidRPr="00CE555D">
        <w:rPr>
          <w:rStyle w:val="Strong"/>
          <w:b w:val="0"/>
          <w:bCs w:val="0"/>
        </w:rPr>
        <w:t xml:space="preserve"> </w:t>
      </w:r>
      <w:r w:rsidRPr="00CE555D">
        <w:t>the 10 largest cities outside metropolitan Melbourne (Ballarat, Bendigo, Geelong, Horsham, Latrobe, Mildura, Shepparton, Warrnambool, Wangaratta and Wodonga). The relevant municipalities are represented by the Regional Cities Victoria group and together they advocate a whole-of-government approach to delivering services and infrastructure.</w:t>
      </w:r>
    </w:p>
    <w:p w:rsidR="004F6A6E" w:rsidRPr="00FA0B0E" w:rsidRDefault="004F6A6E" w:rsidP="004F6A6E">
      <w:pPr>
        <w:pStyle w:val="bt"/>
      </w:pPr>
      <w:r w:rsidRPr="00CE533F">
        <w:rPr>
          <w:rStyle w:val="Strong"/>
        </w:rPr>
        <w:lastRenderedPageBreak/>
        <w:t>Registered Aboriginal Party:</w:t>
      </w:r>
      <w:r>
        <w:t xml:space="preserve"> represent Aboriginal people in the management and protection of Aboriginal cultural heritage.</w:t>
      </w:r>
    </w:p>
    <w:p w:rsidR="004F6A6E" w:rsidRPr="00CE555D" w:rsidRDefault="004F6A6E" w:rsidP="004F6A6E">
      <w:pPr>
        <w:pStyle w:val="bt"/>
      </w:pPr>
      <w:r w:rsidRPr="00CE555D">
        <w:rPr>
          <w:rStyle w:val="Strong"/>
          <w:bCs w:val="0"/>
        </w:rPr>
        <w:t>Rural land use:</w:t>
      </w:r>
      <w:r w:rsidRPr="00CE555D">
        <w:rPr>
          <w:rStyle w:val="Strong"/>
          <w:b w:val="0"/>
          <w:bCs w:val="0"/>
        </w:rPr>
        <w:t xml:space="preserve"> </w:t>
      </w:r>
      <w:r w:rsidRPr="00CE555D">
        <w:t xml:space="preserve">a broad term representing the use of land outside urban areas, and includes activities such as agriculture, rural living, forestry and extractive industry. </w:t>
      </w:r>
    </w:p>
    <w:p w:rsidR="004F6A6E" w:rsidRPr="00CE555D" w:rsidRDefault="004F6A6E" w:rsidP="004F6A6E">
      <w:pPr>
        <w:pStyle w:val="bt"/>
      </w:pPr>
      <w:r w:rsidRPr="00CE555D">
        <w:rPr>
          <w:rStyle w:val="Strong"/>
          <w:bCs w:val="0"/>
        </w:rPr>
        <w:t>Rural living:</w:t>
      </w:r>
      <w:r w:rsidRPr="00CE555D">
        <w:rPr>
          <w:rStyle w:val="Strong"/>
          <w:b w:val="0"/>
          <w:bCs w:val="0"/>
        </w:rPr>
        <w:t xml:space="preserve"> </w:t>
      </w:r>
      <w:r w:rsidRPr="00CE555D">
        <w:t>land in a rural setting that is used and developed for dwellings that are not primarily associated with agriculture.</w:t>
      </w:r>
    </w:p>
    <w:p w:rsidR="004F6A6E" w:rsidRPr="00FA0B0E" w:rsidRDefault="004F6A6E" w:rsidP="004F6A6E">
      <w:pPr>
        <w:pStyle w:val="bt"/>
      </w:pPr>
      <w:r w:rsidRPr="00FA0B0E">
        <w:rPr>
          <w:rStyle w:val="Strong"/>
        </w:rPr>
        <w:t>Social infrastructure:</w:t>
      </w:r>
      <w:r w:rsidRPr="00FA0B0E">
        <w:t xml:space="preserve"> includes community facilities, services, and networks that help communities meet their social needs and maximise their potential wellbeing such as, sports and recreation facilities, schools and hospitals.</w:t>
      </w:r>
    </w:p>
    <w:p w:rsidR="00DE58DB" w:rsidRPr="003A58CF" w:rsidRDefault="004F6A6E" w:rsidP="004F6A6E">
      <w:pPr>
        <w:pStyle w:val="bt"/>
        <w:rPr>
          <w:rFonts w:cstheme="minorHAnsi"/>
          <w:sz w:val="22"/>
          <w:szCs w:val="22"/>
        </w:rPr>
      </w:pPr>
      <w:r w:rsidRPr="00CE555D">
        <w:rPr>
          <w:b/>
        </w:rPr>
        <w:t>Terrestrial habitats:</w:t>
      </w:r>
      <w:r>
        <w:t xml:space="preserve"> </w:t>
      </w:r>
      <w:r w:rsidRPr="00CE555D">
        <w:t xml:space="preserve">combinations of biological and physical features of the landscape (including native vegetation, fallen timber and litter, soil, rocks, etc) that enable populations of each native plant or animal species (or group of species) to live and reproduce. Features can be considered at the site scale, for example, the food sources used by individuals, and the landscape scale, for example, the linkages used for movement between areas, or the refuges used </w:t>
      </w:r>
      <w:r>
        <w:t>to cope with disturbance events.</w:t>
      </w:r>
    </w:p>
    <w:sectPr w:rsidR="00DE58DB" w:rsidRPr="003A58CF" w:rsidSect="001C3454">
      <w:headerReference w:type="default" r:id="rId22"/>
      <w:pgSz w:w="11906" w:h="16838"/>
      <w:pgMar w:top="1440" w:right="1440" w:bottom="993" w:left="1440"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746" w:rsidRDefault="00777746" w:rsidP="009C1193">
      <w:r>
        <w:separator/>
      </w:r>
    </w:p>
  </w:endnote>
  <w:endnote w:type="continuationSeparator" w:id="0">
    <w:p w:rsidR="00777746" w:rsidRDefault="00777746" w:rsidP="009C11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IN">
    <w:altName w:val="DIN"/>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Gothi">
    <w:altName w:val="MS Gothic"/>
    <w:panose1 w:val="00000000000000000000"/>
    <w:charset w:val="80"/>
    <w:family w:val="modern"/>
    <w:notTrueType/>
    <w:pitch w:val="fixed"/>
    <w:sig w:usb0="00000001" w:usb1="08070000" w:usb2="00000010" w:usb3="00000000" w:csb0="00020000"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DINOT-Bold">
    <w:altName w:val="DINOT-Bold"/>
    <w:panose1 w:val="00000000000000000000"/>
    <w:charset w:val="00"/>
    <w:family w:val="swiss"/>
    <w:notTrueType/>
    <w:pitch w:val="default"/>
    <w:sig w:usb0="00000003" w:usb1="00000000" w:usb2="00000000" w:usb3="00000000" w:csb0="00000001" w:csb1="00000000"/>
  </w:font>
  <w:font w:name="DINOT-Light">
    <w:altName w:val="DINOT-Light"/>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043"/>
      <w:docPartObj>
        <w:docPartGallery w:val="Page Numbers (Bottom of Page)"/>
        <w:docPartUnique/>
      </w:docPartObj>
    </w:sdtPr>
    <w:sdtContent>
      <w:p w:rsidR="00777746" w:rsidRDefault="00F06CD8" w:rsidP="007855B2">
        <w:pPr>
          <w:pStyle w:val="Footer"/>
          <w:pBdr>
            <w:top w:val="single" w:sz="4" w:space="1" w:color="auto"/>
          </w:pBdr>
          <w:jc w:val="center"/>
        </w:pPr>
        <w:r>
          <w:fldChar w:fldCharType="begin"/>
        </w:r>
        <w:r w:rsidR="00C22A5B">
          <w:instrText xml:space="preserve"> PAGE   \* MERGEFORMAT </w:instrText>
        </w:r>
        <w:r>
          <w:fldChar w:fldCharType="separate"/>
        </w:r>
        <w:r w:rsidR="00967621">
          <w:rPr>
            <w:noProof/>
          </w:rPr>
          <w:t>ii</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7042"/>
      <w:docPartObj>
        <w:docPartGallery w:val="Page Numbers (Bottom of Page)"/>
        <w:docPartUnique/>
      </w:docPartObj>
    </w:sdtPr>
    <w:sdtContent>
      <w:p w:rsidR="00777746" w:rsidRDefault="00F06CD8" w:rsidP="004B72D1">
        <w:pPr>
          <w:pStyle w:val="Footer"/>
          <w:pBdr>
            <w:top w:val="single" w:sz="4" w:space="1" w:color="auto"/>
          </w:pBdr>
          <w:jc w:val="center"/>
        </w:pPr>
        <w:r>
          <w:fldChar w:fldCharType="begin"/>
        </w:r>
        <w:r w:rsidR="00C22A5B">
          <w:instrText xml:space="preserve"> PAGE   \* MERGEFORMAT </w:instrText>
        </w:r>
        <w:r>
          <w:fldChar w:fldCharType="separate"/>
        </w:r>
        <w:r w:rsidR="00967621">
          <w:rPr>
            <w:noProof/>
          </w:rPr>
          <w:t>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746" w:rsidRDefault="00777746" w:rsidP="009C1193">
      <w:r>
        <w:separator/>
      </w:r>
    </w:p>
  </w:footnote>
  <w:footnote w:type="continuationSeparator" w:id="0">
    <w:p w:rsidR="00777746" w:rsidRDefault="00777746" w:rsidP="009C1193">
      <w:r>
        <w:continuationSeparator/>
      </w:r>
    </w:p>
  </w:footnote>
  <w:footnote w:id="1">
    <w:p w:rsidR="00777746" w:rsidRPr="004B72D1" w:rsidRDefault="00777746" w:rsidP="004B72D1">
      <w:pPr>
        <w:pStyle w:val="FootnoteText"/>
      </w:pPr>
      <w:r w:rsidRPr="004B72D1">
        <w:rPr>
          <w:rStyle w:val="FootnoteReference"/>
          <w:szCs w:val="22"/>
          <w:vertAlign w:val="baseline"/>
        </w:rPr>
        <w:footnoteRef/>
      </w:r>
      <w:r w:rsidRPr="004B72D1">
        <w:t xml:space="preserve"> Loddon Mallee Regional Strategic Plan – Southern Region, 2010, p11</w:t>
      </w:r>
      <w:r>
        <w:t>.</w:t>
      </w:r>
    </w:p>
  </w:footnote>
  <w:footnote w:id="2">
    <w:p w:rsidR="00777746" w:rsidRPr="004B72D1" w:rsidRDefault="00777746" w:rsidP="004B72D1">
      <w:pPr>
        <w:pStyle w:val="FootnoteText"/>
        <w:rPr>
          <w:szCs w:val="22"/>
        </w:rPr>
      </w:pPr>
      <w:r w:rsidRPr="004B72D1">
        <w:rPr>
          <w:rStyle w:val="FootnoteReference"/>
          <w:szCs w:val="18"/>
          <w:vertAlign w:val="baseline"/>
        </w:rPr>
        <w:footnoteRef/>
      </w:r>
      <w:r w:rsidRPr="004B72D1">
        <w:rPr>
          <w:szCs w:val="22"/>
        </w:rPr>
        <w:t xml:space="preserve"> Total population of Loddon Mallee South Region – </w:t>
      </w:r>
      <w:r>
        <w:rPr>
          <w:szCs w:val="22"/>
        </w:rPr>
        <w:t>Victoria in Future 2012</w:t>
      </w:r>
      <w:r w:rsidRPr="004B72D1">
        <w:rPr>
          <w:szCs w:val="22"/>
        </w:rPr>
        <w:t>.</w:t>
      </w:r>
    </w:p>
  </w:footnote>
  <w:footnote w:id="3">
    <w:p w:rsidR="00777746" w:rsidRPr="004B72D1" w:rsidRDefault="00777746" w:rsidP="004B72D1">
      <w:pPr>
        <w:pStyle w:val="FootnoteText"/>
      </w:pPr>
      <w:r w:rsidRPr="004B72D1">
        <w:rPr>
          <w:rStyle w:val="FootnoteReference"/>
          <w:szCs w:val="18"/>
          <w:vertAlign w:val="baseline"/>
        </w:rPr>
        <w:footnoteRef/>
      </w:r>
      <w:r w:rsidRPr="004B72D1">
        <w:rPr>
          <w:szCs w:val="22"/>
        </w:rPr>
        <w:t xml:space="preserve"> Loddon Mallee Regional Strategic Plan </w:t>
      </w:r>
      <w:r>
        <w:rPr>
          <w:szCs w:val="22"/>
        </w:rPr>
        <w:t xml:space="preserve">– Southern Region </w:t>
      </w:r>
      <w:r w:rsidRPr="004B72D1">
        <w:rPr>
          <w:szCs w:val="22"/>
        </w:rPr>
        <w:t>2010, p7.</w:t>
      </w:r>
    </w:p>
  </w:footnote>
  <w:footnote w:id="4">
    <w:p w:rsidR="00777746" w:rsidRPr="004B72D1" w:rsidRDefault="00777746" w:rsidP="00511F47">
      <w:pPr>
        <w:pStyle w:val="FootnoteText"/>
      </w:pPr>
      <w:r w:rsidRPr="004B72D1">
        <w:rPr>
          <w:rStyle w:val="FootnoteReference"/>
          <w:szCs w:val="22"/>
          <w:vertAlign w:val="baseline"/>
        </w:rPr>
        <w:footnoteRef/>
      </w:r>
      <w:r w:rsidRPr="004B72D1">
        <w:t xml:space="preserve"> </w:t>
      </w:r>
      <w:r w:rsidRPr="004B72D1">
        <w:rPr>
          <w:rStyle w:val="FootnoteReference"/>
          <w:szCs w:val="22"/>
          <w:vertAlign w:val="baseline"/>
        </w:rPr>
        <w:t xml:space="preserve">Population of Greater Bendigo LGA – </w:t>
      </w:r>
      <w:r w:rsidRPr="004B72D1">
        <w:t xml:space="preserve">Australian Bureau of Statistics </w:t>
      </w:r>
      <w:r w:rsidRPr="004B72D1">
        <w:rPr>
          <w:rStyle w:val="FootnoteReference"/>
          <w:szCs w:val="22"/>
          <w:vertAlign w:val="baseline"/>
        </w:rPr>
        <w:t>Census 2011</w:t>
      </w:r>
      <w:r w:rsidRPr="004B72D1">
        <w:t>.</w:t>
      </w:r>
    </w:p>
  </w:footnote>
  <w:footnote w:id="5">
    <w:p w:rsidR="00777746" w:rsidRPr="004B72D1" w:rsidRDefault="00777746" w:rsidP="00511F47">
      <w:pPr>
        <w:pStyle w:val="FootnoteText"/>
        <w:rPr>
          <w:rStyle w:val="FootnoteReference"/>
          <w:szCs w:val="22"/>
          <w:vertAlign w:val="baseline"/>
        </w:rPr>
      </w:pPr>
      <w:r w:rsidRPr="004B72D1">
        <w:rPr>
          <w:rStyle w:val="FootnoteReference"/>
          <w:szCs w:val="22"/>
          <w:vertAlign w:val="baseline"/>
        </w:rPr>
        <w:footnoteRef/>
      </w:r>
      <w:r w:rsidRPr="004B72D1">
        <w:t xml:space="preserve"> </w:t>
      </w:r>
      <w:r w:rsidRPr="004B72D1">
        <w:rPr>
          <w:rStyle w:val="FootnoteReference"/>
          <w:szCs w:val="22"/>
          <w:vertAlign w:val="baseline"/>
        </w:rPr>
        <w:t xml:space="preserve">Population of Urban Centre/Locality of Bendigo – </w:t>
      </w:r>
      <w:r w:rsidRPr="004B72D1">
        <w:t>Australian Bureau of Statistics</w:t>
      </w:r>
      <w:r w:rsidRPr="004B72D1">
        <w:rPr>
          <w:rStyle w:val="FootnoteReference"/>
          <w:szCs w:val="22"/>
          <w:vertAlign w:val="baseline"/>
        </w:rPr>
        <w:t xml:space="preserve"> Census 2011</w:t>
      </w:r>
      <w:r w:rsidRPr="004B72D1">
        <w:t>.</w:t>
      </w:r>
    </w:p>
  </w:footnote>
  <w:footnote w:id="6">
    <w:p w:rsidR="00777746" w:rsidRPr="004B72D1" w:rsidRDefault="00777746" w:rsidP="004B72D1">
      <w:pPr>
        <w:pStyle w:val="FootnoteText"/>
      </w:pPr>
      <w:r w:rsidRPr="004B72D1">
        <w:rPr>
          <w:rStyle w:val="FootnoteReference"/>
          <w:szCs w:val="22"/>
          <w:vertAlign w:val="baseline"/>
        </w:rPr>
        <w:footnoteRef/>
      </w:r>
      <w:r w:rsidRPr="004B72D1">
        <w:t xml:space="preserve"> VIF 2012 population projections are only available at local level for the period 2011 until 2031. Only a regional total projection is provided for 2041.</w:t>
      </w:r>
    </w:p>
  </w:footnote>
  <w:footnote w:id="7">
    <w:p w:rsidR="00777746" w:rsidRPr="00C50FC7" w:rsidRDefault="00777746" w:rsidP="00C50FC7">
      <w:pPr>
        <w:pStyle w:val="FootnoteText"/>
      </w:pPr>
      <w:r w:rsidRPr="00C50FC7">
        <w:rPr>
          <w:rStyle w:val="FootnoteReference"/>
          <w:szCs w:val="22"/>
          <w:vertAlign w:val="baseline"/>
        </w:rPr>
        <w:footnoteRef/>
      </w:r>
      <w:r w:rsidRPr="00C50FC7">
        <w:t xml:space="preserve"> </w:t>
      </w:r>
      <w:r w:rsidRPr="00C50FC7">
        <w:rPr>
          <w:rStyle w:val="FootnoteReference"/>
          <w:szCs w:val="22"/>
          <w:vertAlign w:val="baseline"/>
        </w:rPr>
        <w:t>Regional Economic Profile, Loddon Mallee South, Regional Development Victoria, 2012</w:t>
      </w:r>
      <w:r w:rsidRPr="00C50FC7">
        <w:t>.</w:t>
      </w:r>
    </w:p>
  </w:footnote>
  <w:footnote w:id="8">
    <w:p w:rsidR="00777746" w:rsidRPr="00C50FC7" w:rsidRDefault="00777746" w:rsidP="00C50FC7">
      <w:pPr>
        <w:pStyle w:val="FootnoteText"/>
      </w:pPr>
      <w:r w:rsidRPr="00C50FC7">
        <w:rPr>
          <w:rStyle w:val="FootnoteReference"/>
          <w:szCs w:val="22"/>
          <w:vertAlign w:val="baseline"/>
        </w:rPr>
        <w:footnoteRef/>
      </w:r>
      <w:r w:rsidRPr="00C50FC7">
        <w:rPr>
          <w:szCs w:val="22"/>
        </w:rPr>
        <w:t xml:space="preserve"> </w:t>
      </w:r>
      <w:r w:rsidRPr="00C50FC7">
        <w:rPr>
          <w:rStyle w:val="FootnoteReference"/>
          <w:vertAlign w:val="baseline"/>
        </w:rPr>
        <w:t>Street Ryan,</w:t>
      </w:r>
      <w:r>
        <w:t xml:space="preserve"> </w:t>
      </w:r>
      <w:r w:rsidRPr="00C50FC7">
        <w:rPr>
          <w:rStyle w:val="FootnoteReference"/>
          <w:vertAlign w:val="baseline"/>
        </w:rPr>
        <w:t>2012</w:t>
      </w:r>
      <w:r>
        <w:t xml:space="preserve">, </w:t>
      </w:r>
      <w:r>
        <w:rPr>
          <w:rFonts w:ascii="Calibri" w:hAnsi="Calibri" w:cs="Calibri"/>
          <w:sz w:val="15"/>
          <w:szCs w:val="15"/>
        </w:rPr>
        <w:t>Loddon Mallee South Economic Profile and Outlook,</w:t>
      </w:r>
      <w:r w:rsidRPr="00C50FC7">
        <w:rPr>
          <w:rStyle w:val="FootnoteReference"/>
          <w:vertAlign w:val="baseline"/>
        </w:rPr>
        <w:t xml:space="preserve"> p12</w:t>
      </w:r>
      <w:r w:rsidRPr="00C50FC7">
        <w:t>.</w:t>
      </w:r>
    </w:p>
  </w:footnote>
  <w:footnote w:id="9">
    <w:p w:rsidR="00777746" w:rsidRPr="00C50FC7" w:rsidRDefault="00777746" w:rsidP="00C50FC7">
      <w:pPr>
        <w:pStyle w:val="FootnoteText"/>
      </w:pPr>
      <w:r w:rsidRPr="00C50FC7">
        <w:rPr>
          <w:rStyle w:val="FootnoteReference"/>
          <w:szCs w:val="22"/>
          <w:vertAlign w:val="baseline"/>
        </w:rPr>
        <w:footnoteRef/>
      </w:r>
      <w:r w:rsidRPr="00C50FC7">
        <w:rPr>
          <w:szCs w:val="22"/>
        </w:rPr>
        <w:t xml:space="preserve"> </w:t>
      </w:r>
      <w:r w:rsidRPr="00C50FC7">
        <w:rPr>
          <w:rStyle w:val="FootnoteReference"/>
          <w:vertAlign w:val="baseline"/>
        </w:rPr>
        <w:t>D</w:t>
      </w:r>
      <w:r w:rsidRPr="00C50FC7">
        <w:t>epartment of Business and Industry, 2011, “Loddon Mallee region, Victoria Australia, an ideal investment location”</w:t>
      </w:r>
    </w:p>
  </w:footnote>
  <w:footnote w:id="10">
    <w:p w:rsidR="00777746" w:rsidRPr="00C50FC7" w:rsidRDefault="00777746" w:rsidP="00615CF6">
      <w:pPr>
        <w:pStyle w:val="FootnoteText"/>
      </w:pPr>
      <w:r w:rsidRPr="00C50FC7">
        <w:rPr>
          <w:rStyle w:val="FootnoteReference"/>
          <w:szCs w:val="22"/>
          <w:vertAlign w:val="baseline"/>
        </w:rPr>
        <w:footnoteRef/>
      </w:r>
      <w:r w:rsidRPr="00C50FC7">
        <w:t xml:space="preserve"> </w:t>
      </w:r>
      <w:r w:rsidRPr="00C50FC7">
        <w:rPr>
          <w:rStyle w:val="FootnoteReference"/>
          <w:szCs w:val="22"/>
          <w:vertAlign w:val="baseline"/>
        </w:rPr>
        <w:t>Loddon Shire Rural Zones Review 2012</w:t>
      </w:r>
      <w:proofErr w:type="gramStart"/>
      <w:r>
        <w:rPr>
          <w:szCs w:val="22"/>
        </w:rPr>
        <w:t>, p30</w:t>
      </w:r>
      <w:r w:rsidRPr="00C50FC7">
        <w:t>.</w:t>
      </w:r>
      <w:proofErr w:type="gramEnd"/>
    </w:p>
  </w:footnote>
  <w:footnote w:id="11">
    <w:p w:rsidR="00777746" w:rsidRPr="00C50FC7" w:rsidRDefault="00777746" w:rsidP="00C50FC7">
      <w:pPr>
        <w:pStyle w:val="FootnoteText"/>
      </w:pPr>
      <w:r w:rsidRPr="00C50FC7">
        <w:rPr>
          <w:rStyle w:val="FootnoteReference"/>
          <w:vertAlign w:val="baseline"/>
        </w:rPr>
        <w:footnoteRef/>
      </w:r>
      <w:r w:rsidRPr="00C50FC7">
        <w:t xml:space="preserve"> Macedon Ranges Equine Strategy 2012, p2</w:t>
      </w:r>
      <w:r>
        <w:t>.</w:t>
      </w:r>
    </w:p>
  </w:footnote>
  <w:footnote w:id="12">
    <w:p w:rsidR="00777746" w:rsidRPr="0052225A" w:rsidRDefault="00777746" w:rsidP="0052225A">
      <w:pPr>
        <w:pStyle w:val="FootnoteText"/>
      </w:pPr>
      <w:r w:rsidRPr="0052225A">
        <w:rPr>
          <w:rStyle w:val="FootnoteReference"/>
          <w:szCs w:val="22"/>
          <w:vertAlign w:val="baseline"/>
        </w:rPr>
        <w:footnoteRef/>
      </w:r>
      <w:r w:rsidRPr="0052225A">
        <w:t xml:space="preserve"> </w:t>
      </w:r>
      <w:r w:rsidRPr="0052225A">
        <w:rPr>
          <w:rStyle w:val="FootnoteReference"/>
          <w:szCs w:val="22"/>
          <w:vertAlign w:val="baseline"/>
        </w:rPr>
        <w:t>P</w:t>
      </w:r>
      <w:proofErr w:type="gramStart"/>
      <w:r w:rsidRPr="0052225A">
        <w:rPr>
          <w:szCs w:val="22"/>
        </w:rPr>
        <w:t>roviding</w:t>
      </w:r>
      <w:proofErr w:type="gramEnd"/>
      <w:r w:rsidRPr="0052225A">
        <w:rPr>
          <w:szCs w:val="22"/>
        </w:rPr>
        <w:t xml:space="preserve"> ecosystem services through market-based approaches (including competitive tenders such as </w:t>
      </w:r>
      <w:proofErr w:type="spellStart"/>
      <w:r w:rsidRPr="0052225A">
        <w:rPr>
          <w:szCs w:val="22"/>
        </w:rPr>
        <w:t>EcoTender</w:t>
      </w:r>
      <w:proofErr w:type="spellEnd"/>
      <w:r w:rsidRPr="0052225A">
        <w:rPr>
          <w:szCs w:val="22"/>
        </w:rPr>
        <w:t xml:space="preserve"> and </w:t>
      </w:r>
      <w:proofErr w:type="spellStart"/>
      <w:r w:rsidRPr="0052225A">
        <w:rPr>
          <w:szCs w:val="22"/>
        </w:rPr>
        <w:t>BushTender</w:t>
      </w:r>
      <w:proofErr w:type="spellEnd"/>
      <w:r w:rsidRPr="0052225A">
        <w:rPr>
          <w:szCs w:val="22"/>
        </w:rPr>
        <w:t>) can provide farmers with income for undertaking environmental works that conserve and enhance the environment.</w:t>
      </w:r>
    </w:p>
  </w:footnote>
  <w:footnote w:id="13">
    <w:p w:rsidR="00777746" w:rsidRPr="0052225A" w:rsidRDefault="00777746" w:rsidP="0052225A">
      <w:pPr>
        <w:pStyle w:val="FootnoteText"/>
        <w:rPr>
          <w:rStyle w:val="FootnoteReference"/>
          <w:szCs w:val="22"/>
          <w:vertAlign w:val="baseline"/>
        </w:rPr>
      </w:pPr>
      <w:r w:rsidRPr="0052225A">
        <w:rPr>
          <w:rStyle w:val="FootnoteReference"/>
          <w:szCs w:val="22"/>
          <w:vertAlign w:val="baseline"/>
        </w:rPr>
        <w:footnoteRef/>
      </w:r>
      <w:r w:rsidRPr="0052225A">
        <w:t xml:space="preserve"> </w:t>
      </w:r>
      <w:r w:rsidRPr="0052225A">
        <w:rPr>
          <w:rStyle w:val="FootnoteReference"/>
          <w:szCs w:val="22"/>
          <w:vertAlign w:val="baseline"/>
        </w:rPr>
        <w:t>For the purpose of this plan, regionally significant environmental assets cover all assets that are of regional, state, national or international significance.</w:t>
      </w:r>
    </w:p>
  </w:footnote>
  <w:footnote w:id="14">
    <w:p w:rsidR="00777746" w:rsidRPr="00C50FC7" w:rsidRDefault="00777746" w:rsidP="00C50FC7">
      <w:pPr>
        <w:pStyle w:val="FootnoteText"/>
      </w:pPr>
      <w:r w:rsidRPr="00C50FC7">
        <w:rPr>
          <w:rStyle w:val="FootnoteReference"/>
          <w:szCs w:val="22"/>
          <w:vertAlign w:val="baseline"/>
        </w:rPr>
        <w:footnoteRef/>
      </w:r>
      <w:r w:rsidRPr="00C50FC7">
        <w:t xml:space="preserve"> </w:t>
      </w:r>
      <w:r w:rsidRPr="00C50FC7">
        <w:rPr>
          <w:rStyle w:val="FootnoteReference"/>
          <w:szCs w:val="22"/>
          <w:vertAlign w:val="baseline"/>
        </w:rPr>
        <w:t>Australian Bureau of Statistics defined Urban Centre/Locality</w:t>
      </w:r>
      <w:r w:rsidRPr="00C50FC7">
        <w:t>.</w:t>
      </w:r>
    </w:p>
  </w:footnote>
  <w:footnote w:id="15">
    <w:p w:rsidR="00777746" w:rsidRPr="00C50FC7" w:rsidRDefault="00777746" w:rsidP="00C50FC7">
      <w:pPr>
        <w:pStyle w:val="FootnoteText"/>
      </w:pPr>
      <w:r w:rsidRPr="00C50FC7">
        <w:rPr>
          <w:rStyle w:val="FootnoteReference"/>
          <w:szCs w:val="22"/>
          <w:vertAlign w:val="baseline"/>
        </w:rPr>
        <w:footnoteRef/>
      </w:r>
      <w:r w:rsidRPr="00C50FC7">
        <w:t xml:space="preserve"> </w:t>
      </w:r>
      <w:r w:rsidRPr="00C50FC7">
        <w:rPr>
          <w:rStyle w:val="FootnoteReference"/>
          <w:szCs w:val="22"/>
          <w:vertAlign w:val="baseline"/>
        </w:rPr>
        <w:t>Macedon Ranges Settlement Strategy 2010</w:t>
      </w:r>
      <w:r w:rsidRPr="00C50FC7">
        <w:t>.</w:t>
      </w:r>
    </w:p>
  </w:footnote>
  <w:footnote w:id="16">
    <w:p w:rsidR="00777746" w:rsidRPr="00A322D4" w:rsidRDefault="00777746" w:rsidP="00A322D4">
      <w:pPr>
        <w:pStyle w:val="FootnoteText"/>
        <w:rPr>
          <w:rStyle w:val="FootnoteReference"/>
          <w:szCs w:val="22"/>
          <w:vertAlign w:val="baseline"/>
        </w:rPr>
      </w:pPr>
      <w:r w:rsidRPr="00A322D4">
        <w:rPr>
          <w:rStyle w:val="FootnoteReference"/>
          <w:szCs w:val="22"/>
          <w:vertAlign w:val="baseline"/>
        </w:rPr>
        <w:footnoteRef/>
      </w:r>
      <w:r w:rsidRPr="00A322D4">
        <w:rPr>
          <w:rStyle w:val="FootnoteReference"/>
          <w:szCs w:val="22"/>
          <w:vertAlign w:val="baseline"/>
        </w:rPr>
        <w:t xml:space="preserve"> Macedon Ranges Settlement Strategy, Gisborne S</w:t>
      </w:r>
      <w:proofErr w:type="gramStart"/>
      <w:r w:rsidRPr="00A322D4">
        <w:t xml:space="preserve">tructure </w:t>
      </w:r>
      <w:proofErr w:type="gramEnd"/>
      <w:r w:rsidRPr="00A322D4">
        <w:rPr>
          <w:rStyle w:val="FootnoteReference"/>
          <w:szCs w:val="22"/>
          <w:vertAlign w:val="baseline"/>
        </w:rPr>
        <w:t>Plan</w:t>
      </w:r>
      <w:r w:rsidRPr="00A322D4">
        <w:t>.</w:t>
      </w:r>
    </w:p>
  </w:footnote>
  <w:footnote w:id="17">
    <w:p w:rsidR="00777746" w:rsidRPr="00A322D4" w:rsidRDefault="00777746" w:rsidP="00A322D4">
      <w:pPr>
        <w:pStyle w:val="FootnoteText"/>
        <w:rPr>
          <w:rStyle w:val="FootnoteReference"/>
          <w:szCs w:val="22"/>
          <w:vertAlign w:val="baseline"/>
        </w:rPr>
      </w:pPr>
      <w:r w:rsidRPr="00A322D4">
        <w:rPr>
          <w:rStyle w:val="FootnoteReference"/>
          <w:szCs w:val="22"/>
          <w:vertAlign w:val="baseline"/>
        </w:rPr>
        <w:footnoteRef/>
      </w:r>
      <w:r w:rsidRPr="00A322D4">
        <w:rPr>
          <w:rStyle w:val="FootnoteReference"/>
          <w:szCs w:val="22"/>
          <w:vertAlign w:val="baseline"/>
        </w:rPr>
        <w:t xml:space="preserve"> Macedon Ranges Settlement Strategy, Kyneton S</w:t>
      </w:r>
      <w:r w:rsidRPr="00A322D4">
        <w:t>tructure</w:t>
      </w:r>
      <w:r w:rsidRPr="00A322D4">
        <w:rPr>
          <w:rStyle w:val="FootnoteReference"/>
          <w:szCs w:val="22"/>
          <w:vertAlign w:val="baseline"/>
        </w:rPr>
        <w:t xml:space="preserve"> Plan</w:t>
      </w:r>
      <w:r w:rsidRPr="00A322D4">
        <w:t>.</w:t>
      </w:r>
    </w:p>
  </w:footnote>
  <w:footnote w:id="18">
    <w:p w:rsidR="00777746" w:rsidRPr="00A322D4" w:rsidRDefault="00777746" w:rsidP="00A322D4">
      <w:pPr>
        <w:pStyle w:val="FootnoteText"/>
        <w:rPr>
          <w:rStyle w:val="FootnoteReference"/>
          <w:szCs w:val="22"/>
          <w:vertAlign w:val="baseline"/>
        </w:rPr>
      </w:pPr>
      <w:r w:rsidRPr="00A322D4">
        <w:rPr>
          <w:rStyle w:val="FootnoteReference"/>
          <w:szCs w:val="22"/>
          <w:vertAlign w:val="baseline"/>
        </w:rPr>
        <w:footnoteRef/>
      </w:r>
      <w:r w:rsidRPr="00A322D4">
        <w:rPr>
          <w:rStyle w:val="FootnoteReference"/>
          <w:szCs w:val="22"/>
          <w:vertAlign w:val="baseline"/>
        </w:rPr>
        <w:t xml:space="preserve"> Macedon Ranges Settlement Strategy, Riddells Creek Outline Development Plan</w:t>
      </w:r>
      <w:r w:rsidRPr="00A322D4">
        <w:t xml:space="preserve"> 2011.</w:t>
      </w:r>
    </w:p>
  </w:footnote>
  <w:footnote w:id="19">
    <w:p w:rsidR="00777746" w:rsidRPr="00A322D4" w:rsidRDefault="00777746" w:rsidP="00A322D4">
      <w:pPr>
        <w:pStyle w:val="FootnoteText"/>
      </w:pPr>
      <w:r w:rsidRPr="00A322D4">
        <w:rPr>
          <w:rStyle w:val="FootnoteReference"/>
          <w:szCs w:val="22"/>
          <w:vertAlign w:val="baseline"/>
        </w:rPr>
        <w:footnoteRef/>
      </w:r>
      <w:r w:rsidRPr="00A322D4">
        <w:rPr>
          <w:rStyle w:val="FootnoteReference"/>
          <w:szCs w:val="22"/>
          <w:vertAlign w:val="baseline"/>
        </w:rPr>
        <w:t xml:space="preserve"> Macedon Ranges Settlement Strategy, Romsey Outline Development Plan</w:t>
      </w:r>
      <w:r w:rsidRPr="00A322D4">
        <w:t>.</w:t>
      </w:r>
    </w:p>
  </w:footnote>
  <w:footnote w:id="20">
    <w:p w:rsidR="00777746" w:rsidRPr="00A322D4" w:rsidRDefault="00777746" w:rsidP="00A322D4">
      <w:pPr>
        <w:pStyle w:val="FootnoteText"/>
        <w:rPr>
          <w:rStyle w:val="FootnoteReference"/>
          <w:szCs w:val="22"/>
          <w:vertAlign w:val="baseline"/>
        </w:rPr>
      </w:pPr>
      <w:r w:rsidRPr="00A322D4">
        <w:rPr>
          <w:rStyle w:val="FootnoteReference"/>
          <w:szCs w:val="22"/>
          <w:vertAlign w:val="baseline"/>
        </w:rPr>
        <w:footnoteRef/>
      </w:r>
      <w:r w:rsidRPr="00A322D4">
        <w:rPr>
          <w:rStyle w:val="FootnoteReference"/>
          <w:szCs w:val="22"/>
          <w:vertAlign w:val="baseline"/>
        </w:rPr>
        <w:t xml:space="preserve"> Harcourt Town Centre Masterplan, M</w:t>
      </w:r>
      <w:proofErr w:type="gramStart"/>
      <w:r w:rsidRPr="00A322D4">
        <w:t>ount</w:t>
      </w:r>
      <w:proofErr w:type="gramEnd"/>
      <w:r w:rsidRPr="00A322D4">
        <w:t xml:space="preserve"> Alexander Shire.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Default="00777746" w:rsidP="009C1193">
    <w:pPr>
      <w:pStyle w:val="Header"/>
    </w:pPr>
    <w:r w:rsidRPr="00801EF3">
      <w:rPr>
        <w:noProof/>
      </w:rPr>
      <w:drawing>
        <wp:anchor distT="0" distB="0" distL="114300" distR="114300" simplePos="0" relativeHeight="251659264" behindDoc="1" locked="0" layoutInCell="1" allowOverlap="1">
          <wp:simplePos x="0" y="0"/>
          <wp:positionH relativeFrom="column">
            <wp:posOffset>-742950</wp:posOffset>
          </wp:positionH>
          <wp:positionV relativeFrom="paragraph">
            <wp:posOffset>7620</wp:posOffset>
          </wp:positionV>
          <wp:extent cx="7156450" cy="1473200"/>
          <wp:effectExtent l="19050" t="0" r="6350" b="0"/>
          <wp:wrapTight wrapText="bothSides">
            <wp:wrapPolygon edited="0">
              <wp:start x="-57" y="0"/>
              <wp:lineTo x="-57" y="21228"/>
              <wp:lineTo x="21619" y="21228"/>
              <wp:lineTo x="21619" y="0"/>
              <wp:lineTo x="-57" y="0"/>
            </wp:wrapPolygon>
          </wp:wrapTight>
          <wp:docPr id="13" name="Picture 2" descr="C:\Users\rw78\Desktop\LoddonMalleeSouth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w78\Desktop\LoddonMalleeSouth_banner.jpg"/>
                  <pic:cNvPicPr>
                    <a:picLocks noChangeAspect="1" noChangeArrowheads="1"/>
                  </pic:cNvPicPr>
                </pic:nvPicPr>
                <pic:blipFill>
                  <a:blip r:embed="rId1"/>
                  <a:srcRect/>
                  <a:stretch>
                    <a:fillRect/>
                  </a:stretch>
                </pic:blipFill>
                <pic:spPr bwMode="auto">
                  <a:xfrm>
                    <a:off x="0" y="0"/>
                    <a:ext cx="7156450" cy="1473200"/>
                  </a:xfrm>
                  <a:prstGeom prst="rect">
                    <a:avLst/>
                  </a:prstGeom>
                  <a:noFill/>
                  <a:ln w="9525">
                    <a:noFill/>
                    <a:miter lim="800000"/>
                    <a:headEnd/>
                    <a:tailEnd/>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B01FC7">
    <w:pPr>
      <w:pStyle w:val="Header-Sub"/>
      <w:pBdr>
        <w:bottom w:val="none" w:sz="0" w:space="0" w:color="auto"/>
        <w:between w:val="none" w:sz="0" w:space="0" w:color="auto"/>
      </w:pBdr>
    </w:pPr>
    <w:r w:rsidRPr="001E1D15">
      <w:rPr>
        <w:rStyle w:val="Header-MainChar"/>
      </w:rPr>
      <w:t>Loddon Mallee South Regional Growth Plan</w:t>
    </w:r>
  </w:p>
  <w:p w:rsidR="00777746" w:rsidRDefault="00777746" w:rsidP="00453A9F">
    <w:pPr>
      <w:pStyle w:val="Header-Sub"/>
      <w:pBdr>
        <w:bottom w:val="none" w:sz="0" w:space="0" w:color="auto"/>
      </w:pBdr>
    </w:pPr>
    <w:r w:rsidRPr="003B4400">
      <w:t xml:space="preserve">Part </w:t>
    </w:r>
    <w:r>
      <w:t>E</w:t>
    </w:r>
    <w:r w:rsidRPr="003B4400">
      <w:t>:</w:t>
    </w:r>
    <w:r>
      <w:t xml:space="preserve"> Delivering</w:t>
    </w:r>
    <w:r w:rsidRPr="003B4400">
      <w:t xml:space="preserve"> </w:t>
    </w:r>
    <w:r>
      <w:t>regional growth</w:t>
    </w:r>
  </w:p>
  <w:p w:rsidR="00777746" w:rsidRPr="003B4400" w:rsidRDefault="00777746" w:rsidP="00B50B52">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B01FC7">
    <w:pPr>
      <w:pStyle w:val="Header-Sub"/>
      <w:pBdr>
        <w:bottom w:val="none" w:sz="0" w:space="0" w:color="auto"/>
        <w:between w:val="none" w:sz="0" w:space="0" w:color="auto"/>
      </w:pBdr>
    </w:pPr>
    <w:r w:rsidRPr="001E1D15">
      <w:rPr>
        <w:rStyle w:val="Header-MainChar"/>
      </w:rPr>
      <w:t>Loddon Mallee South Regional Growth Plan</w:t>
    </w:r>
  </w:p>
  <w:p w:rsidR="00777746" w:rsidRDefault="00777746" w:rsidP="00453A9F">
    <w:pPr>
      <w:pStyle w:val="Header-Sub"/>
      <w:pBdr>
        <w:bottom w:val="none" w:sz="0" w:space="0" w:color="auto"/>
      </w:pBdr>
    </w:pPr>
    <w:r>
      <w:t>Glossary</w:t>
    </w:r>
  </w:p>
  <w:p w:rsidR="00777746" w:rsidRPr="003B4400" w:rsidRDefault="00777746" w:rsidP="00B50B52">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Default="007777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7855B2" w:rsidRDefault="00777746" w:rsidP="007855B2">
    <w:pPr>
      <w:pStyle w:val="Header"/>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Default="00777746" w:rsidP="009755B8">
    <w:pPr>
      <w:pStyle w:val="Header"/>
      <w:ind w:left="-1418" w:firstLine="142"/>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99553E">
    <w:pPr>
      <w:pStyle w:val="Header"/>
      <w:tabs>
        <w:tab w:val="clear" w:pos="9026"/>
        <w:tab w:val="right" w:pos="9072"/>
      </w:tabs>
      <w:spacing w:line="276" w:lineRule="auto"/>
      <w:jc w:val="center"/>
      <w:rPr>
        <w:rStyle w:val="Header-MainChar"/>
      </w:rPr>
    </w:pPr>
    <w:r w:rsidRPr="001E1D15">
      <w:rPr>
        <w:rStyle w:val="Header-MainChar"/>
      </w:rPr>
      <w:t>Loddon Mallee South Regional Growth Plan</w:t>
    </w:r>
  </w:p>
  <w:p w:rsidR="00777746" w:rsidRDefault="00777746" w:rsidP="0099553E">
    <w:pPr>
      <w:pStyle w:val="Header-Sub"/>
      <w:pBdr>
        <w:bottom w:val="none" w:sz="0" w:space="0" w:color="auto"/>
      </w:pBdr>
    </w:pPr>
    <w:r>
      <w:t>Executive summary</w:t>
    </w:r>
  </w:p>
  <w:p w:rsidR="00777746" w:rsidRPr="003B4400" w:rsidRDefault="00777746" w:rsidP="00E1797F">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99553E">
    <w:pPr>
      <w:pStyle w:val="Header"/>
      <w:tabs>
        <w:tab w:val="clear" w:pos="9026"/>
        <w:tab w:val="right" w:pos="9072"/>
      </w:tabs>
      <w:spacing w:line="276" w:lineRule="auto"/>
      <w:jc w:val="center"/>
      <w:rPr>
        <w:rStyle w:val="Header-MainChar"/>
      </w:rPr>
    </w:pPr>
    <w:r w:rsidRPr="001E1D15">
      <w:rPr>
        <w:rStyle w:val="Header-MainChar"/>
      </w:rPr>
      <w:t>Loddon Mallee South Regional Growth Plan</w:t>
    </w:r>
  </w:p>
  <w:p w:rsidR="00777746" w:rsidRDefault="00777746" w:rsidP="0099553E">
    <w:pPr>
      <w:pStyle w:val="Header-Sub"/>
      <w:pBdr>
        <w:bottom w:val="none" w:sz="0" w:space="0" w:color="auto"/>
      </w:pBdr>
    </w:pPr>
    <w:r w:rsidRPr="003B4400">
      <w:t>Part A: Introduction</w:t>
    </w:r>
  </w:p>
  <w:p w:rsidR="00777746" w:rsidRPr="003B4400" w:rsidRDefault="00777746" w:rsidP="00E1797F">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99553E">
    <w:pPr>
      <w:pStyle w:val="Header"/>
      <w:tabs>
        <w:tab w:val="clear" w:pos="9026"/>
        <w:tab w:val="right" w:pos="9072"/>
      </w:tabs>
      <w:spacing w:line="276" w:lineRule="auto"/>
      <w:jc w:val="center"/>
      <w:rPr>
        <w:rStyle w:val="Header-MainChar"/>
      </w:rPr>
    </w:pPr>
    <w:r w:rsidRPr="001E1D15">
      <w:rPr>
        <w:rStyle w:val="Header-MainChar"/>
      </w:rPr>
      <w:t>Loddon Mallee South Regional Growth Plan</w:t>
    </w:r>
  </w:p>
  <w:p w:rsidR="00777746" w:rsidRDefault="00777746" w:rsidP="0099553E">
    <w:pPr>
      <w:pStyle w:val="Header-Sub"/>
      <w:pBdr>
        <w:bottom w:val="none" w:sz="0" w:space="0" w:color="auto"/>
      </w:pBdr>
    </w:pPr>
    <w:r w:rsidRPr="003B4400">
      <w:t xml:space="preserve">Part </w:t>
    </w:r>
    <w:r>
      <w:t>B</w:t>
    </w:r>
    <w:r w:rsidRPr="003B4400">
      <w:t xml:space="preserve">: </w:t>
    </w:r>
    <w:r>
      <w:t>Regional overview</w:t>
    </w:r>
  </w:p>
  <w:p w:rsidR="00777746" w:rsidRPr="003B4400" w:rsidRDefault="00777746" w:rsidP="004809DF">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99553E">
    <w:pPr>
      <w:pStyle w:val="Header"/>
      <w:tabs>
        <w:tab w:val="clear" w:pos="9026"/>
        <w:tab w:val="right" w:pos="9072"/>
      </w:tabs>
      <w:spacing w:line="276" w:lineRule="auto"/>
      <w:jc w:val="center"/>
      <w:rPr>
        <w:rStyle w:val="Header-MainChar"/>
      </w:rPr>
    </w:pPr>
    <w:r w:rsidRPr="001E1D15">
      <w:rPr>
        <w:rStyle w:val="Header-MainChar"/>
      </w:rPr>
      <w:t>Loddon Mallee South Regional Growth Plan</w:t>
    </w:r>
  </w:p>
  <w:p w:rsidR="00777746" w:rsidRDefault="00777746" w:rsidP="0099553E">
    <w:pPr>
      <w:pStyle w:val="Header-Sub"/>
      <w:pBdr>
        <w:bottom w:val="none" w:sz="0" w:space="0" w:color="auto"/>
      </w:pBdr>
    </w:pPr>
    <w:r w:rsidRPr="003B4400">
      <w:t xml:space="preserve">Part </w:t>
    </w:r>
    <w:r>
      <w:t>C</w:t>
    </w:r>
    <w:r w:rsidRPr="003B4400">
      <w:t xml:space="preserve">: </w:t>
    </w:r>
    <w:r>
      <w:t>Towards the regional growth plan - Regional land use framework</w:t>
    </w:r>
  </w:p>
  <w:p w:rsidR="00777746" w:rsidRPr="003B4400" w:rsidRDefault="00777746" w:rsidP="00C23818">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746" w:rsidRPr="001E1D15" w:rsidRDefault="00777746" w:rsidP="0099553E">
    <w:pPr>
      <w:pStyle w:val="Header"/>
      <w:tabs>
        <w:tab w:val="clear" w:pos="9026"/>
        <w:tab w:val="right" w:pos="9072"/>
      </w:tabs>
      <w:spacing w:line="276" w:lineRule="auto"/>
      <w:jc w:val="center"/>
      <w:rPr>
        <w:rStyle w:val="Header-MainChar"/>
      </w:rPr>
    </w:pPr>
    <w:r w:rsidRPr="001E1D15">
      <w:rPr>
        <w:rStyle w:val="Header-MainChar"/>
      </w:rPr>
      <w:t>Loddon Mallee South Regional Growth Plan</w:t>
    </w:r>
  </w:p>
  <w:p w:rsidR="00777746" w:rsidRDefault="00777746" w:rsidP="0099553E">
    <w:pPr>
      <w:pStyle w:val="Header-Sub"/>
      <w:pBdr>
        <w:bottom w:val="none" w:sz="0" w:space="0" w:color="auto"/>
      </w:pBdr>
    </w:pPr>
    <w:r w:rsidRPr="003B4400">
      <w:t xml:space="preserve">Part </w:t>
    </w:r>
    <w:r>
      <w:t>D</w:t>
    </w:r>
    <w:r w:rsidRPr="003B4400">
      <w:t xml:space="preserve">: </w:t>
    </w:r>
    <w:r>
      <w:t>Regional growth plan</w:t>
    </w:r>
  </w:p>
  <w:p w:rsidR="00777746" w:rsidRPr="003B4400" w:rsidRDefault="00777746" w:rsidP="009F08CB">
    <w:pPr>
      <w:pStyle w:val="Header"/>
      <w:pBdr>
        <w:top w:val="single" w:sz="4" w:space="1" w:color="auto"/>
      </w:pBdr>
      <w:tabs>
        <w:tab w:val="clear" w:pos="9026"/>
        <w:tab w:val="right" w:pos="9072"/>
      </w:tabs>
      <w:spacing w:before="0" w:line="276" w:lineRule="auto"/>
      <w:rPr>
        <w:rFonts w:ascii="Calibri" w:hAnsi="Calibri" w:cs="Calibr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AA9495A2"/>
    <w:lvl w:ilvl="0">
      <w:start w:val="1"/>
      <w:numFmt w:val="decimal"/>
      <w:pStyle w:val="PMheading1"/>
      <w:lvlText w:val="%1."/>
      <w:lvlJc w:val="left"/>
      <w:pPr>
        <w:tabs>
          <w:tab w:val="num" w:pos="926"/>
        </w:tabs>
        <w:ind w:left="926" w:hanging="360"/>
      </w:pPr>
      <w:rPr>
        <w:rFonts w:cs="Times New Roman"/>
      </w:rPr>
    </w:lvl>
  </w:abstractNum>
  <w:abstractNum w:abstractNumId="1">
    <w:nsid w:val="FFFFFF7F"/>
    <w:multiLevelType w:val="singleLevel"/>
    <w:tmpl w:val="D302A5CE"/>
    <w:lvl w:ilvl="0">
      <w:start w:val="1"/>
      <w:numFmt w:val="decimal"/>
      <w:pStyle w:val="ListNumber4"/>
      <w:lvlText w:val="%1."/>
      <w:lvlJc w:val="left"/>
      <w:pPr>
        <w:tabs>
          <w:tab w:val="num" w:pos="643"/>
        </w:tabs>
        <w:ind w:left="643" w:hanging="360"/>
      </w:pPr>
      <w:rPr>
        <w:rFonts w:cs="Times New Roman"/>
      </w:rPr>
    </w:lvl>
  </w:abstractNum>
  <w:abstractNum w:abstractNumId="2">
    <w:nsid w:val="FFFFFF82"/>
    <w:multiLevelType w:val="singleLevel"/>
    <w:tmpl w:val="E3D4EACA"/>
    <w:lvl w:ilvl="0">
      <w:start w:val="1"/>
      <w:numFmt w:val="bullet"/>
      <w:pStyle w:val="ListNumber2"/>
      <w:lvlText w:val=""/>
      <w:lvlJc w:val="left"/>
      <w:pPr>
        <w:tabs>
          <w:tab w:val="num" w:pos="926"/>
        </w:tabs>
        <w:ind w:left="926" w:hanging="360"/>
      </w:pPr>
      <w:rPr>
        <w:rFonts w:ascii="Symbol" w:hAnsi="Symbol" w:hint="default"/>
      </w:rPr>
    </w:lvl>
  </w:abstractNum>
  <w:abstractNum w:abstractNumId="3">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4">
    <w:nsid w:val="FFFFFF88"/>
    <w:multiLevelType w:val="singleLevel"/>
    <w:tmpl w:val="45041084"/>
    <w:lvl w:ilvl="0">
      <w:start w:val="1"/>
      <w:numFmt w:val="decimal"/>
      <w:pStyle w:val="ListNumber3"/>
      <w:lvlText w:val="%1."/>
      <w:lvlJc w:val="left"/>
      <w:pPr>
        <w:tabs>
          <w:tab w:val="num" w:pos="360"/>
        </w:tabs>
        <w:ind w:left="360" w:hanging="360"/>
      </w:pPr>
      <w:rPr>
        <w:rFonts w:cs="Times New Roman"/>
      </w:rPr>
    </w:lvl>
  </w:abstractNum>
  <w:abstractNum w:abstractNumId="5">
    <w:nsid w:val="FFFFFF89"/>
    <w:multiLevelType w:val="singleLevel"/>
    <w:tmpl w:val="5CCA2D0E"/>
    <w:lvl w:ilvl="0">
      <w:start w:val="1"/>
      <w:numFmt w:val="bullet"/>
      <w:pStyle w:val="ListBullet2"/>
      <w:lvlText w:val=""/>
      <w:lvlJc w:val="left"/>
      <w:pPr>
        <w:tabs>
          <w:tab w:val="num" w:pos="360"/>
        </w:tabs>
        <w:ind w:left="360" w:hanging="360"/>
      </w:pPr>
      <w:rPr>
        <w:rFonts w:ascii="Symbol" w:hAnsi="Symbol" w:hint="default"/>
      </w:rPr>
    </w:lvl>
  </w:abstractNum>
  <w:abstractNum w:abstractNumId="6">
    <w:nsid w:val="00EE528E"/>
    <w:multiLevelType w:val="hybridMultilevel"/>
    <w:tmpl w:val="04B6F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3BD1373"/>
    <w:multiLevelType w:val="hybridMultilevel"/>
    <w:tmpl w:val="10DAF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1C1E37"/>
    <w:multiLevelType w:val="hybridMultilevel"/>
    <w:tmpl w:val="CEEE31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0A453AA3"/>
    <w:multiLevelType w:val="hybridMultilevel"/>
    <w:tmpl w:val="8A82048E"/>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C170AC2"/>
    <w:multiLevelType w:val="hybridMultilevel"/>
    <w:tmpl w:val="C4F6C7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CAB3660"/>
    <w:multiLevelType w:val="hybridMultilevel"/>
    <w:tmpl w:val="95F0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220427"/>
    <w:multiLevelType w:val="hybridMultilevel"/>
    <w:tmpl w:val="DC2E8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E025D3"/>
    <w:multiLevelType w:val="hybridMultilevel"/>
    <w:tmpl w:val="75DA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3321B93"/>
    <w:multiLevelType w:val="hybridMultilevel"/>
    <w:tmpl w:val="41D4CB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7C7617D"/>
    <w:multiLevelType w:val="hybridMultilevel"/>
    <w:tmpl w:val="959C05B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8424B35"/>
    <w:multiLevelType w:val="hybridMultilevel"/>
    <w:tmpl w:val="D2129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ADC28BC"/>
    <w:multiLevelType w:val="hybridMultilevel"/>
    <w:tmpl w:val="640A574E"/>
    <w:lvl w:ilvl="0" w:tplc="C4DA61D6">
      <w:start w:val="1"/>
      <w:numFmt w:val="bullet"/>
      <w:pStyle w:val="b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1C6C13C6"/>
    <w:multiLevelType w:val="hybridMultilevel"/>
    <w:tmpl w:val="B3C0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564365"/>
    <w:multiLevelType w:val="hybridMultilevel"/>
    <w:tmpl w:val="79FA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881FD1"/>
    <w:multiLevelType w:val="hybridMultilevel"/>
    <w:tmpl w:val="83248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34E1439"/>
    <w:multiLevelType w:val="hybridMultilevel"/>
    <w:tmpl w:val="D228F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418559F"/>
    <w:multiLevelType w:val="hybridMultilevel"/>
    <w:tmpl w:val="E7C4D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4464EF8"/>
    <w:multiLevelType w:val="hybridMultilevel"/>
    <w:tmpl w:val="91A4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58473BF"/>
    <w:multiLevelType w:val="hybridMultilevel"/>
    <w:tmpl w:val="91E0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6C6401E"/>
    <w:multiLevelType w:val="hybridMultilevel"/>
    <w:tmpl w:val="F4527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9FD0A59"/>
    <w:multiLevelType w:val="hybridMultilevel"/>
    <w:tmpl w:val="756E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C5877E4"/>
    <w:multiLevelType w:val="hybridMultilevel"/>
    <w:tmpl w:val="2470554E"/>
    <w:lvl w:ilvl="0" w:tplc="FFFFFFFF">
      <w:start w:val="1"/>
      <w:numFmt w:val="bullet"/>
      <w:pStyle w:val="ListBullet3"/>
      <w:lvlText w:val="o"/>
      <w:lvlJc w:val="left"/>
      <w:pPr>
        <w:tabs>
          <w:tab w:val="num" w:pos="1077"/>
        </w:tabs>
        <w:ind w:left="1077" w:hanging="226"/>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35C57B2D"/>
    <w:multiLevelType w:val="hybridMultilevel"/>
    <w:tmpl w:val="B7DE5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8D15A52"/>
    <w:multiLevelType w:val="hybridMultilevel"/>
    <w:tmpl w:val="8C786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8FD00E2"/>
    <w:multiLevelType w:val="hybridMultilevel"/>
    <w:tmpl w:val="1128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476D58"/>
    <w:multiLevelType w:val="hybridMultilevel"/>
    <w:tmpl w:val="1D6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A965B46"/>
    <w:multiLevelType w:val="hybridMultilevel"/>
    <w:tmpl w:val="BA5E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AE94458"/>
    <w:multiLevelType w:val="hybridMultilevel"/>
    <w:tmpl w:val="4E940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3C6071A4"/>
    <w:multiLevelType w:val="hybridMultilevel"/>
    <w:tmpl w:val="92D8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3E0E5934"/>
    <w:multiLevelType w:val="hybridMultilevel"/>
    <w:tmpl w:val="3E1A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E517C55"/>
    <w:multiLevelType w:val="hybridMultilevel"/>
    <w:tmpl w:val="41F6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E66031C"/>
    <w:multiLevelType w:val="hybridMultilevel"/>
    <w:tmpl w:val="F68E6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F710272"/>
    <w:multiLevelType w:val="hybridMultilevel"/>
    <w:tmpl w:val="09B0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0DB461E"/>
    <w:multiLevelType w:val="hybridMultilevel"/>
    <w:tmpl w:val="48289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442D4604"/>
    <w:multiLevelType w:val="hybridMultilevel"/>
    <w:tmpl w:val="6FF20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44553FA4"/>
    <w:multiLevelType w:val="hybridMultilevel"/>
    <w:tmpl w:val="56EE6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46D4594"/>
    <w:multiLevelType w:val="hybridMultilevel"/>
    <w:tmpl w:val="1556C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46EC1056"/>
    <w:multiLevelType w:val="hybridMultilevel"/>
    <w:tmpl w:val="A874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4767024E"/>
    <w:multiLevelType w:val="hybridMultilevel"/>
    <w:tmpl w:val="14BA9364"/>
    <w:lvl w:ilvl="0" w:tplc="15E6880E">
      <w:start w:val="1"/>
      <w:numFmt w:val="bullet"/>
      <w:pStyle w:val="ListParagraph"/>
      <w:lvlText w:val=""/>
      <w:lvlJc w:val="left"/>
      <w:pPr>
        <w:ind w:left="757"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nsid w:val="48BF0FF6"/>
    <w:multiLevelType w:val="hybridMultilevel"/>
    <w:tmpl w:val="ED046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499A596C"/>
    <w:multiLevelType w:val="hybridMultilevel"/>
    <w:tmpl w:val="78060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C047639"/>
    <w:multiLevelType w:val="hybridMultilevel"/>
    <w:tmpl w:val="5CBAC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E974C8C"/>
    <w:multiLevelType w:val="hybridMultilevel"/>
    <w:tmpl w:val="EF624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50C5616C"/>
    <w:multiLevelType w:val="hybridMultilevel"/>
    <w:tmpl w:val="6E52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25F4D91"/>
    <w:multiLevelType w:val="hybridMultilevel"/>
    <w:tmpl w:val="795C4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529324C6"/>
    <w:multiLevelType w:val="hybridMultilevel"/>
    <w:tmpl w:val="DB284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2CB7212"/>
    <w:multiLevelType w:val="hybridMultilevel"/>
    <w:tmpl w:val="E624B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4E46674"/>
    <w:multiLevelType w:val="hybridMultilevel"/>
    <w:tmpl w:val="84AA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55C81BEB"/>
    <w:multiLevelType w:val="hybridMultilevel"/>
    <w:tmpl w:val="87B82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56287791"/>
    <w:multiLevelType w:val="hybridMultilevel"/>
    <w:tmpl w:val="6A2A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599B4E1F"/>
    <w:multiLevelType w:val="hybridMultilevel"/>
    <w:tmpl w:val="F9C0E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5B922E1C"/>
    <w:multiLevelType w:val="hybridMultilevel"/>
    <w:tmpl w:val="57BEA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C2E154C"/>
    <w:multiLevelType w:val="hybridMultilevel"/>
    <w:tmpl w:val="6CD0F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C4E5583"/>
    <w:multiLevelType w:val="hybridMultilevel"/>
    <w:tmpl w:val="7FDA5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C892D35"/>
    <w:multiLevelType w:val="hybridMultilevel"/>
    <w:tmpl w:val="B4386306"/>
    <w:lvl w:ilvl="0" w:tplc="FFFFFFFF">
      <w:start w:val="1"/>
      <w:numFmt w:val="bullet"/>
      <w:pStyle w:val="tabletextbullet"/>
      <w:lvlText w:val=""/>
      <w:lvlJc w:val="left"/>
      <w:pPr>
        <w:tabs>
          <w:tab w:val="num" w:pos="530"/>
        </w:tabs>
        <w:ind w:left="528" w:hanging="358"/>
      </w:pPr>
      <w:rPr>
        <w:rFonts w:ascii="Wingdings" w:hAnsi="Wingdings" w:hint="default"/>
      </w:rPr>
    </w:lvl>
    <w:lvl w:ilvl="1" w:tplc="FFFFFFFF">
      <w:start w:val="1"/>
      <w:numFmt w:val="bullet"/>
      <w:lvlText w:val="o"/>
      <w:lvlJc w:val="left"/>
      <w:pPr>
        <w:tabs>
          <w:tab w:val="num" w:pos="1499"/>
        </w:tabs>
        <w:ind w:left="1499" w:hanging="360"/>
      </w:pPr>
      <w:rPr>
        <w:rFonts w:ascii="Courier New" w:hAnsi="Courier New" w:hint="default"/>
      </w:rPr>
    </w:lvl>
    <w:lvl w:ilvl="2" w:tplc="FFFFFFFF">
      <w:start w:val="1"/>
      <w:numFmt w:val="bullet"/>
      <w:lvlText w:val=""/>
      <w:lvlJc w:val="left"/>
      <w:pPr>
        <w:tabs>
          <w:tab w:val="num" w:pos="2219"/>
        </w:tabs>
        <w:ind w:left="2219" w:hanging="360"/>
      </w:pPr>
      <w:rPr>
        <w:rFonts w:ascii="Wingdings" w:hAnsi="Wingdings" w:hint="default"/>
      </w:rPr>
    </w:lvl>
    <w:lvl w:ilvl="3" w:tplc="FFFFFFFF">
      <w:start w:val="1"/>
      <w:numFmt w:val="bullet"/>
      <w:lvlText w:val=""/>
      <w:lvlJc w:val="left"/>
      <w:pPr>
        <w:tabs>
          <w:tab w:val="num" w:pos="2939"/>
        </w:tabs>
        <w:ind w:left="2939" w:hanging="360"/>
      </w:pPr>
      <w:rPr>
        <w:rFonts w:ascii="Symbol" w:hAnsi="Symbol" w:hint="default"/>
      </w:rPr>
    </w:lvl>
    <w:lvl w:ilvl="4" w:tplc="FFFFFFFF">
      <w:start w:val="1"/>
      <w:numFmt w:val="bullet"/>
      <w:lvlText w:val="o"/>
      <w:lvlJc w:val="left"/>
      <w:pPr>
        <w:tabs>
          <w:tab w:val="num" w:pos="3659"/>
        </w:tabs>
        <w:ind w:left="3659" w:hanging="360"/>
      </w:pPr>
      <w:rPr>
        <w:rFonts w:ascii="Courier New" w:hAnsi="Courier New" w:hint="default"/>
      </w:rPr>
    </w:lvl>
    <w:lvl w:ilvl="5" w:tplc="FFFFFFFF">
      <w:start w:val="1"/>
      <w:numFmt w:val="bullet"/>
      <w:lvlText w:val=""/>
      <w:lvlJc w:val="left"/>
      <w:pPr>
        <w:tabs>
          <w:tab w:val="num" w:pos="4379"/>
        </w:tabs>
        <w:ind w:left="4379" w:hanging="360"/>
      </w:pPr>
      <w:rPr>
        <w:rFonts w:ascii="Wingdings" w:hAnsi="Wingdings" w:hint="default"/>
      </w:rPr>
    </w:lvl>
    <w:lvl w:ilvl="6" w:tplc="FFFFFFFF">
      <w:start w:val="1"/>
      <w:numFmt w:val="bullet"/>
      <w:lvlText w:val=""/>
      <w:lvlJc w:val="left"/>
      <w:pPr>
        <w:tabs>
          <w:tab w:val="num" w:pos="5099"/>
        </w:tabs>
        <w:ind w:left="5099" w:hanging="360"/>
      </w:pPr>
      <w:rPr>
        <w:rFonts w:ascii="Symbol" w:hAnsi="Symbol" w:hint="default"/>
      </w:rPr>
    </w:lvl>
    <w:lvl w:ilvl="7" w:tplc="FFFFFFFF">
      <w:start w:val="1"/>
      <w:numFmt w:val="bullet"/>
      <w:lvlText w:val="o"/>
      <w:lvlJc w:val="left"/>
      <w:pPr>
        <w:tabs>
          <w:tab w:val="num" w:pos="5819"/>
        </w:tabs>
        <w:ind w:left="5819" w:hanging="360"/>
      </w:pPr>
      <w:rPr>
        <w:rFonts w:ascii="Courier New" w:hAnsi="Courier New" w:hint="default"/>
      </w:rPr>
    </w:lvl>
    <w:lvl w:ilvl="8" w:tplc="FFFFFFFF">
      <w:start w:val="1"/>
      <w:numFmt w:val="bullet"/>
      <w:lvlText w:val=""/>
      <w:lvlJc w:val="left"/>
      <w:pPr>
        <w:tabs>
          <w:tab w:val="num" w:pos="6539"/>
        </w:tabs>
        <w:ind w:left="6539" w:hanging="360"/>
      </w:pPr>
      <w:rPr>
        <w:rFonts w:ascii="Wingdings" w:hAnsi="Wingdings" w:hint="default"/>
      </w:rPr>
    </w:lvl>
  </w:abstractNum>
  <w:abstractNum w:abstractNumId="61">
    <w:nsid w:val="5CA625E8"/>
    <w:multiLevelType w:val="hybridMultilevel"/>
    <w:tmpl w:val="E7BCC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D0C5B01"/>
    <w:multiLevelType w:val="hybridMultilevel"/>
    <w:tmpl w:val="EDFEA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D555A52"/>
    <w:multiLevelType w:val="hybridMultilevel"/>
    <w:tmpl w:val="A4F2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E4540E0"/>
    <w:multiLevelType w:val="hybridMultilevel"/>
    <w:tmpl w:val="4370B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01E1E48"/>
    <w:multiLevelType w:val="hybridMultilevel"/>
    <w:tmpl w:val="C6D8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3AB655B"/>
    <w:multiLevelType w:val="hybridMultilevel"/>
    <w:tmpl w:val="28047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6F8075A"/>
    <w:multiLevelType w:val="hybridMultilevel"/>
    <w:tmpl w:val="9392B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76C5B70"/>
    <w:multiLevelType w:val="hybridMultilevel"/>
    <w:tmpl w:val="A82AE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nsid w:val="68D16020"/>
    <w:multiLevelType w:val="hybridMultilevel"/>
    <w:tmpl w:val="F450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CC6478A"/>
    <w:multiLevelType w:val="multilevel"/>
    <w:tmpl w:val="A20E7B92"/>
    <w:lvl w:ilvl="0">
      <w:start w:val="1"/>
      <w:numFmt w:val="decimal"/>
      <w:pStyle w:val="Heading1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456"/>
        </w:tabs>
        <w:ind w:left="14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684"/>
        </w:tabs>
        <w:ind w:left="684" w:hanging="864"/>
      </w:pPr>
      <w:rPr>
        <w:rFonts w:cs="Times New Roman" w:hint="default"/>
      </w:rPr>
    </w:lvl>
    <w:lvl w:ilvl="4">
      <w:start w:val="1"/>
      <w:numFmt w:val="decimal"/>
      <w:lvlText w:val="%1.%2.%3.%4.%5"/>
      <w:lvlJc w:val="left"/>
      <w:pPr>
        <w:tabs>
          <w:tab w:val="num" w:pos="828"/>
        </w:tabs>
        <w:ind w:left="828" w:hanging="1008"/>
      </w:pPr>
      <w:rPr>
        <w:rFonts w:cs="Times New Roman" w:hint="default"/>
      </w:rPr>
    </w:lvl>
    <w:lvl w:ilvl="5">
      <w:start w:val="1"/>
      <w:numFmt w:val="decimal"/>
      <w:lvlText w:val="%1.%2.%3.%4.%5.%6"/>
      <w:lvlJc w:val="left"/>
      <w:pPr>
        <w:tabs>
          <w:tab w:val="num" w:pos="972"/>
        </w:tabs>
        <w:ind w:left="972" w:hanging="1152"/>
      </w:pPr>
      <w:rPr>
        <w:rFonts w:cs="Times New Roman" w:hint="default"/>
      </w:rPr>
    </w:lvl>
    <w:lvl w:ilvl="6">
      <w:start w:val="1"/>
      <w:numFmt w:val="decimal"/>
      <w:lvlText w:val="%1.%2.%3.%4.%5.%6.%7"/>
      <w:lvlJc w:val="left"/>
      <w:pPr>
        <w:tabs>
          <w:tab w:val="num" w:pos="1116"/>
        </w:tabs>
        <w:ind w:left="1116" w:hanging="1296"/>
      </w:pPr>
      <w:rPr>
        <w:rFonts w:cs="Times New Roman" w:hint="default"/>
      </w:rPr>
    </w:lvl>
    <w:lvl w:ilvl="7">
      <w:start w:val="1"/>
      <w:numFmt w:val="decimal"/>
      <w:lvlText w:val="%1.%2.%3.%4.%5.%6.%7.%8"/>
      <w:lvlJc w:val="left"/>
      <w:pPr>
        <w:tabs>
          <w:tab w:val="num" w:pos="1260"/>
        </w:tabs>
        <w:ind w:left="1260" w:hanging="1440"/>
      </w:pPr>
      <w:rPr>
        <w:rFonts w:cs="Times New Roman" w:hint="default"/>
      </w:rPr>
    </w:lvl>
    <w:lvl w:ilvl="8">
      <w:start w:val="1"/>
      <w:numFmt w:val="decimal"/>
      <w:lvlText w:val="%1.%2.%3.%4.%5.%6.%7.%8.%9"/>
      <w:lvlJc w:val="left"/>
      <w:pPr>
        <w:tabs>
          <w:tab w:val="num" w:pos="1404"/>
        </w:tabs>
        <w:ind w:left="1404" w:hanging="1584"/>
      </w:pPr>
      <w:rPr>
        <w:rFonts w:cs="Times New Roman" w:hint="default"/>
      </w:rPr>
    </w:lvl>
  </w:abstractNum>
  <w:abstractNum w:abstractNumId="71">
    <w:nsid w:val="6D996742"/>
    <w:multiLevelType w:val="hybridMultilevel"/>
    <w:tmpl w:val="5DE4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FA428C6"/>
    <w:multiLevelType w:val="hybridMultilevel"/>
    <w:tmpl w:val="FD345526"/>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cs="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cs="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cs="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73">
    <w:nsid w:val="71116334"/>
    <w:multiLevelType w:val="hybridMultilevel"/>
    <w:tmpl w:val="29FA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74A82778"/>
    <w:multiLevelType w:val="hybridMultilevel"/>
    <w:tmpl w:val="AFDE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752C787C"/>
    <w:multiLevelType w:val="hybridMultilevel"/>
    <w:tmpl w:val="316A2062"/>
    <w:lvl w:ilvl="0" w:tplc="FFFFFFFF">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hint="default"/>
      </w:rPr>
    </w:lvl>
    <w:lvl w:ilvl="2" w:tplc="0C090005">
      <w:start w:val="1"/>
      <w:numFmt w:val="bullet"/>
      <w:lvlText w:val=""/>
      <w:lvlJc w:val="left"/>
      <w:pPr>
        <w:ind w:left="3070" w:hanging="360"/>
      </w:pPr>
      <w:rPr>
        <w:rFonts w:ascii="Wingdings" w:hAnsi="Wingdings" w:hint="default"/>
      </w:rPr>
    </w:lvl>
    <w:lvl w:ilvl="3" w:tplc="0C090001">
      <w:start w:val="1"/>
      <w:numFmt w:val="bullet"/>
      <w:lvlText w:val=""/>
      <w:lvlJc w:val="left"/>
      <w:pPr>
        <w:ind w:left="3790" w:hanging="360"/>
      </w:pPr>
      <w:rPr>
        <w:rFonts w:ascii="Symbol" w:hAnsi="Symbol" w:hint="default"/>
      </w:rPr>
    </w:lvl>
    <w:lvl w:ilvl="4" w:tplc="0C090003">
      <w:start w:val="1"/>
      <w:numFmt w:val="bullet"/>
      <w:lvlText w:val="o"/>
      <w:lvlJc w:val="left"/>
      <w:pPr>
        <w:ind w:left="4510" w:hanging="360"/>
      </w:pPr>
      <w:rPr>
        <w:rFonts w:ascii="Courier New" w:hAnsi="Courier New" w:hint="default"/>
      </w:rPr>
    </w:lvl>
    <w:lvl w:ilvl="5" w:tplc="0C090005">
      <w:start w:val="1"/>
      <w:numFmt w:val="bullet"/>
      <w:lvlText w:val=""/>
      <w:lvlJc w:val="left"/>
      <w:pPr>
        <w:ind w:left="5230" w:hanging="360"/>
      </w:pPr>
      <w:rPr>
        <w:rFonts w:ascii="Wingdings" w:hAnsi="Wingdings" w:hint="default"/>
      </w:rPr>
    </w:lvl>
    <w:lvl w:ilvl="6" w:tplc="0C090001">
      <w:start w:val="1"/>
      <w:numFmt w:val="bullet"/>
      <w:lvlText w:val=""/>
      <w:lvlJc w:val="left"/>
      <w:pPr>
        <w:ind w:left="5950" w:hanging="360"/>
      </w:pPr>
      <w:rPr>
        <w:rFonts w:ascii="Symbol" w:hAnsi="Symbol" w:hint="default"/>
      </w:rPr>
    </w:lvl>
    <w:lvl w:ilvl="7" w:tplc="0C090003">
      <w:start w:val="1"/>
      <w:numFmt w:val="bullet"/>
      <w:lvlText w:val="o"/>
      <w:lvlJc w:val="left"/>
      <w:pPr>
        <w:ind w:left="6670" w:hanging="360"/>
      </w:pPr>
      <w:rPr>
        <w:rFonts w:ascii="Courier New" w:hAnsi="Courier New" w:hint="default"/>
      </w:rPr>
    </w:lvl>
    <w:lvl w:ilvl="8" w:tplc="0C090005">
      <w:start w:val="1"/>
      <w:numFmt w:val="bullet"/>
      <w:lvlText w:val=""/>
      <w:lvlJc w:val="left"/>
      <w:pPr>
        <w:ind w:left="7390" w:hanging="360"/>
      </w:pPr>
      <w:rPr>
        <w:rFonts w:ascii="Wingdings" w:hAnsi="Wingdings" w:hint="default"/>
      </w:rPr>
    </w:lvl>
  </w:abstractNum>
  <w:abstractNum w:abstractNumId="76">
    <w:nsid w:val="782164A9"/>
    <w:multiLevelType w:val="hybridMultilevel"/>
    <w:tmpl w:val="D57A2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B263EDA"/>
    <w:multiLevelType w:val="hybridMultilevel"/>
    <w:tmpl w:val="D7EC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7B7205A4"/>
    <w:multiLevelType w:val="hybridMultilevel"/>
    <w:tmpl w:val="3F3E9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B88604D"/>
    <w:multiLevelType w:val="hybridMultilevel"/>
    <w:tmpl w:val="69F07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EAF473A"/>
    <w:multiLevelType w:val="hybridMultilevel"/>
    <w:tmpl w:val="9710B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FB22273"/>
    <w:multiLevelType w:val="hybridMultilevel"/>
    <w:tmpl w:val="8D7C3DC8"/>
    <w:lvl w:ilvl="0" w:tplc="4A122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70"/>
  </w:num>
  <w:num w:numId="8">
    <w:abstractNumId w:val="27"/>
  </w:num>
  <w:num w:numId="9">
    <w:abstractNumId w:val="60"/>
  </w:num>
  <w:num w:numId="10">
    <w:abstractNumId w:val="17"/>
  </w:num>
  <w:num w:numId="11">
    <w:abstractNumId w:val="75"/>
  </w:num>
  <w:num w:numId="12">
    <w:abstractNumId w:val="44"/>
  </w:num>
  <w:num w:numId="13">
    <w:abstractNumId w:val="49"/>
  </w:num>
  <w:num w:numId="14">
    <w:abstractNumId w:val="7"/>
  </w:num>
  <w:num w:numId="15">
    <w:abstractNumId w:val="45"/>
  </w:num>
  <w:num w:numId="16">
    <w:abstractNumId w:val="48"/>
  </w:num>
  <w:num w:numId="17">
    <w:abstractNumId w:val="14"/>
  </w:num>
  <w:num w:numId="18">
    <w:abstractNumId w:val="81"/>
  </w:num>
  <w:num w:numId="19">
    <w:abstractNumId w:val="51"/>
  </w:num>
  <w:num w:numId="20">
    <w:abstractNumId w:val="19"/>
  </w:num>
  <w:num w:numId="21">
    <w:abstractNumId w:val="65"/>
  </w:num>
  <w:num w:numId="22">
    <w:abstractNumId w:val="71"/>
  </w:num>
  <w:num w:numId="23">
    <w:abstractNumId w:val="67"/>
  </w:num>
  <w:num w:numId="24">
    <w:abstractNumId w:val="40"/>
  </w:num>
  <w:num w:numId="25">
    <w:abstractNumId w:val="53"/>
  </w:num>
  <w:num w:numId="26">
    <w:abstractNumId w:val="57"/>
  </w:num>
  <w:num w:numId="27">
    <w:abstractNumId w:val="42"/>
  </w:num>
  <w:num w:numId="28">
    <w:abstractNumId w:val="79"/>
  </w:num>
  <w:num w:numId="29">
    <w:abstractNumId w:val="21"/>
  </w:num>
  <w:num w:numId="30">
    <w:abstractNumId w:val="13"/>
  </w:num>
  <w:num w:numId="31">
    <w:abstractNumId w:val="24"/>
  </w:num>
  <w:num w:numId="32">
    <w:abstractNumId w:val="74"/>
  </w:num>
  <w:num w:numId="33">
    <w:abstractNumId w:val="20"/>
  </w:num>
  <w:num w:numId="34">
    <w:abstractNumId w:val="66"/>
  </w:num>
  <w:num w:numId="35">
    <w:abstractNumId w:val="55"/>
  </w:num>
  <w:num w:numId="36">
    <w:abstractNumId w:val="18"/>
  </w:num>
  <w:num w:numId="37">
    <w:abstractNumId w:val="22"/>
  </w:num>
  <w:num w:numId="38">
    <w:abstractNumId w:val="38"/>
  </w:num>
  <w:num w:numId="39">
    <w:abstractNumId w:val="30"/>
  </w:num>
  <w:num w:numId="40">
    <w:abstractNumId w:val="31"/>
  </w:num>
  <w:num w:numId="41">
    <w:abstractNumId w:val="16"/>
  </w:num>
  <w:num w:numId="42">
    <w:abstractNumId w:val="11"/>
  </w:num>
  <w:num w:numId="43">
    <w:abstractNumId w:val="46"/>
  </w:num>
  <w:num w:numId="44">
    <w:abstractNumId w:val="80"/>
  </w:num>
  <w:num w:numId="45">
    <w:abstractNumId w:val="12"/>
  </w:num>
  <w:num w:numId="46">
    <w:abstractNumId w:val="52"/>
  </w:num>
  <w:num w:numId="47">
    <w:abstractNumId w:val="32"/>
  </w:num>
  <w:num w:numId="48">
    <w:abstractNumId w:val="41"/>
  </w:num>
  <w:num w:numId="49">
    <w:abstractNumId w:val="62"/>
  </w:num>
  <w:num w:numId="50">
    <w:abstractNumId w:val="78"/>
  </w:num>
  <w:num w:numId="51">
    <w:abstractNumId w:val="36"/>
  </w:num>
  <w:num w:numId="52">
    <w:abstractNumId w:val="54"/>
  </w:num>
  <w:num w:numId="53">
    <w:abstractNumId w:val="73"/>
  </w:num>
  <w:num w:numId="54">
    <w:abstractNumId w:val="37"/>
  </w:num>
  <w:num w:numId="55">
    <w:abstractNumId w:val="29"/>
  </w:num>
  <w:num w:numId="56">
    <w:abstractNumId w:val="25"/>
  </w:num>
  <w:num w:numId="57">
    <w:abstractNumId w:val="34"/>
  </w:num>
  <w:num w:numId="58">
    <w:abstractNumId w:val="6"/>
  </w:num>
  <w:num w:numId="59">
    <w:abstractNumId w:val="50"/>
  </w:num>
  <w:num w:numId="60">
    <w:abstractNumId w:val="77"/>
  </w:num>
  <w:num w:numId="61">
    <w:abstractNumId w:val="56"/>
  </w:num>
  <w:num w:numId="62">
    <w:abstractNumId w:val="28"/>
  </w:num>
  <w:num w:numId="63">
    <w:abstractNumId w:val="69"/>
  </w:num>
  <w:num w:numId="64">
    <w:abstractNumId w:val="23"/>
  </w:num>
  <w:num w:numId="65">
    <w:abstractNumId w:val="63"/>
  </w:num>
  <w:num w:numId="66">
    <w:abstractNumId w:val="33"/>
  </w:num>
  <w:num w:numId="67">
    <w:abstractNumId w:val="58"/>
  </w:num>
  <w:num w:numId="68">
    <w:abstractNumId w:val="15"/>
  </w:num>
  <w:num w:numId="69">
    <w:abstractNumId w:val="61"/>
  </w:num>
  <w:num w:numId="70">
    <w:abstractNumId w:val="59"/>
  </w:num>
  <w:num w:numId="71">
    <w:abstractNumId w:val="70"/>
  </w:num>
  <w:num w:numId="72">
    <w:abstractNumId w:val="43"/>
  </w:num>
  <w:num w:numId="73">
    <w:abstractNumId w:val="70"/>
  </w:num>
  <w:num w:numId="74">
    <w:abstractNumId w:val="72"/>
  </w:num>
  <w:num w:numId="75">
    <w:abstractNumId w:val="47"/>
  </w:num>
  <w:num w:numId="76">
    <w:abstractNumId w:val="76"/>
  </w:num>
  <w:num w:numId="77">
    <w:abstractNumId w:val="39"/>
  </w:num>
  <w:num w:numId="78">
    <w:abstractNumId w:val="35"/>
  </w:num>
  <w:num w:numId="79">
    <w:abstractNumId w:val="26"/>
  </w:num>
  <w:num w:numId="80">
    <w:abstractNumId w:val="64"/>
  </w:num>
  <w:num w:numId="81">
    <w:abstractNumId w:val="9"/>
  </w:num>
  <w:num w:numId="82">
    <w:abstractNumId w:val="4"/>
    <w:lvlOverride w:ilvl="0">
      <w:startOverride w:val="1"/>
    </w:lvlOverride>
  </w:num>
  <w:num w:numId="83">
    <w:abstractNumId w:val="68"/>
  </w:num>
  <w:num w:numId="84">
    <w:abstractNumId w:val="10"/>
  </w:num>
  <w:num w:numId="85">
    <w:abstractNumId w:val="8"/>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oNotHyphenateCaps/>
  <w:drawingGridHorizontalSpacing w:val="8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EB3A78"/>
    <w:rsid w:val="00000700"/>
    <w:rsid w:val="00001463"/>
    <w:rsid w:val="000016CB"/>
    <w:rsid w:val="00002F02"/>
    <w:rsid w:val="00003949"/>
    <w:rsid w:val="00003CDA"/>
    <w:rsid w:val="00004A9F"/>
    <w:rsid w:val="00004B33"/>
    <w:rsid w:val="00004D5C"/>
    <w:rsid w:val="00004DF7"/>
    <w:rsid w:val="000057AA"/>
    <w:rsid w:val="00005A4A"/>
    <w:rsid w:val="00005DA0"/>
    <w:rsid w:val="000072C3"/>
    <w:rsid w:val="000078DC"/>
    <w:rsid w:val="00007BE8"/>
    <w:rsid w:val="00010678"/>
    <w:rsid w:val="000115C8"/>
    <w:rsid w:val="00012FF4"/>
    <w:rsid w:val="000131D5"/>
    <w:rsid w:val="000144D8"/>
    <w:rsid w:val="00014B94"/>
    <w:rsid w:val="000153C9"/>
    <w:rsid w:val="000159E1"/>
    <w:rsid w:val="00015E35"/>
    <w:rsid w:val="00017E2E"/>
    <w:rsid w:val="000209DE"/>
    <w:rsid w:val="0002292C"/>
    <w:rsid w:val="00023045"/>
    <w:rsid w:val="00023215"/>
    <w:rsid w:val="00023238"/>
    <w:rsid w:val="00024E10"/>
    <w:rsid w:val="00024EFC"/>
    <w:rsid w:val="00025EF8"/>
    <w:rsid w:val="00025F43"/>
    <w:rsid w:val="0002631E"/>
    <w:rsid w:val="00026B1F"/>
    <w:rsid w:val="000273FF"/>
    <w:rsid w:val="00030690"/>
    <w:rsid w:val="000306C1"/>
    <w:rsid w:val="00031735"/>
    <w:rsid w:val="0003272C"/>
    <w:rsid w:val="00032955"/>
    <w:rsid w:val="00034FDD"/>
    <w:rsid w:val="00035979"/>
    <w:rsid w:val="00035DC1"/>
    <w:rsid w:val="00036DCB"/>
    <w:rsid w:val="00042407"/>
    <w:rsid w:val="0004381B"/>
    <w:rsid w:val="00044FE4"/>
    <w:rsid w:val="00045624"/>
    <w:rsid w:val="000462D8"/>
    <w:rsid w:val="000472EB"/>
    <w:rsid w:val="000509EF"/>
    <w:rsid w:val="00051021"/>
    <w:rsid w:val="000528BB"/>
    <w:rsid w:val="00053163"/>
    <w:rsid w:val="00053A12"/>
    <w:rsid w:val="00053E01"/>
    <w:rsid w:val="000573F8"/>
    <w:rsid w:val="00060DA3"/>
    <w:rsid w:val="00061C1C"/>
    <w:rsid w:val="00061DA7"/>
    <w:rsid w:val="00061E40"/>
    <w:rsid w:val="000625E0"/>
    <w:rsid w:val="000626F0"/>
    <w:rsid w:val="000635DE"/>
    <w:rsid w:val="0006437F"/>
    <w:rsid w:val="00065709"/>
    <w:rsid w:val="0006575F"/>
    <w:rsid w:val="00065DFF"/>
    <w:rsid w:val="00066DE6"/>
    <w:rsid w:val="0007185A"/>
    <w:rsid w:val="00071A25"/>
    <w:rsid w:val="000742A1"/>
    <w:rsid w:val="00076696"/>
    <w:rsid w:val="00076837"/>
    <w:rsid w:val="00076B1E"/>
    <w:rsid w:val="00076F11"/>
    <w:rsid w:val="00080707"/>
    <w:rsid w:val="00080A00"/>
    <w:rsid w:val="0008129B"/>
    <w:rsid w:val="0008180F"/>
    <w:rsid w:val="0008275B"/>
    <w:rsid w:val="00083CB8"/>
    <w:rsid w:val="00084F3A"/>
    <w:rsid w:val="000861F2"/>
    <w:rsid w:val="00087F95"/>
    <w:rsid w:val="000911B1"/>
    <w:rsid w:val="00091859"/>
    <w:rsid w:val="0009347B"/>
    <w:rsid w:val="00093A5E"/>
    <w:rsid w:val="00093C70"/>
    <w:rsid w:val="0009439E"/>
    <w:rsid w:val="000944E0"/>
    <w:rsid w:val="000952D4"/>
    <w:rsid w:val="00095957"/>
    <w:rsid w:val="00096F44"/>
    <w:rsid w:val="00097715"/>
    <w:rsid w:val="000A16C5"/>
    <w:rsid w:val="000A1786"/>
    <w:rsid w:val="000A249C"/>
    <w:rsid w:val="000A3F4B"/>
    <w:rsid w:val="000A6599"/>
    <w:rsid w:val="000A6D60"/>
    <w:rsid w:val="000A6DE6"/>
    <w:rsid w:val="000A740C"/>
    <w:rsid w:val="000A78EF"/>
    <w:rsid w:val="000A78F8"/>
    <w:rsid w:val="000B1294"/>
    <w:rsid w:val="000B1448"/>
    <w:rsid w:val="000B1543"/>
    <w:rsid w:val="000B27D4"/>
    <w:rsid w:val="000B2F32"/>
    <w:rsid w:val="000B3093"/>
    <w:rsid w:val="000B34B8"/>
    <w:rsid w:val="000B3B71"/>
    <w:rsid w:val="000B554C"/>
    <w:rsid w:val="000B5C01"/>
    <w:rsid w:val="000B6EFD"/>
    <w:rsid w:val="000C050A"/>
    <w:rsid w:val="000C071D"/>
    <w:rsid w:val="000C0C09"/>
    <w:rsid w:val="000C0FF0"/>
    <w:rsid w:val="000C350A"/>
    <w:rsid w:val="000C4A46"/>
    <w:rsid w:val="000C6BBB"/>
    <w:rsid w:val="000C7B92"/>
    <w:rsid w:val="000D001C"/>
    <w:rsid w:val="000D03B5"/>
    <w:rsid w:val="000D0427"/>
    <w:rsid w:val="000D1225"/>
    <w:rsid w:val="000D1969"/>
    <w:rsid w:val="000D22DD"/>
    <w:rsid w:val="000D2691"/>
    <w:rsid w:val="000D3337"/>
    <w:rsid w:val="000D5173"/>
    <w:rsid w:val="000D5E3F"/>
    <w:rsid w:val="000D6F35"/>
    <w:rsid w:val="000D7210"/>
    <w:rsid w:val="000E1A43"/>
    <w:rsid w:val="000E2565"/>
    <w:rsid w:val="000E2A9F"/>
    <w:rsid w:val="000E2AFB"/>
    <w:rsid w:val="000E32F2"/>
    <w:rsid w:val="000E4355"/>
    <w:rsid w:val="000E7BAB"/>
    <w:rsid w:val="000E7CD5"/>
    <w:rsid w:val="000F0E34"/>
    <w:rsid w:val="000F209D"/>
    <w:rsid w:val="000F4A3C"/>
    <w:rsid w:val="000F4E99"/>
    <w:rsid w:val="000F5898"/>
    <w:rsid w:val="000F65D0"/>
    <w:rsid w:val="001013C1"/>
    <w:rsid w:val="001018FB"/>
    <w:rsid w:val="00103161"/>
    <w:rsid w:val="00107C60"/>
    <w:rsid w:val="00107F14"/>
    <w:rsid w:val="001110EC"/>
    <w:rsid w:val="001123E4"/>
    <w:rsid w:val="00112800"/>
    <w:rsid w:val="00116C7A"/>
    <w:rsid w:val="00117BB6"/>
    <w:rsid w:val="00120C0A"/>
    <w:rsid w:val="00120C92"/>
    <w:rsid w:val="0012126F"/>
    <w:rsid w:val="001225FD"/>
    <w:rsid w:val="00122FD6"/>
    <w:rsid w:val="00123412"/>
    <w:rsid w:val="00123617"/>
    <w:rsid w:val="001250D3"/>
    <w:rsid w:val="00125F4A"/>
    <w:rsid w:val="00126BE8"/>
    <w:rsid w:val="00127BBA"/>
    <w:rsid w:val="0013006D"/>
    <w:rsid w:val="001300B0"/>
    <w:rsid w:val="001307FE"/>
    <w:rsid w:val="00130822"/>
    <w:rsid w:val="001310B0"/>
    <w:rsid w:val="00131432"/>
    <w:rsid w:val="00131AC0"/>
    <w:rsid w:val="00131BD7"/>
    <w:rsid w:val="00134D08"/>
    <w:rsid w:val="0013511F"/>
    <w:rsid w:val="0013517E"/>
    <w:rsid w:val="00135A51"/>
    <w:rsid w:val="00135CA1"/>
    <w:rsid w:val="001372C0"/>
    <w:rsid w:val="00137325"/>
    <w:rsid w:val="00140276"/>
    <w:rsid w:val="00140399"/>
    <w:rsid w:val="001404FD"/>
    <w:rsid w:val="001406AE"/>
    <w:rsid w:val="00140AC8"/>
    <w:rsid w:val="00140CC1"/>
    <w:rsid w:val="00141A1E"/>
    <w:rsid w:val="00141D36"/>
    <w:rsid w:val="00142279"/>
    <w:rsid w:val="0014327D"/>
    <w:rsid w:val="0014387C"/>
    <w:rsid w:val="00143E97"/>
    <w:rsid w:val="00143F25"/>
    <w:rsid w:val="0014515F"/>
    <w:rsid w:val="0014595B"/>
    <w:rsid w:val="00145D17"/>
    <w:rsid w:val="00146741"/>
    <w:rsid w:val="00146EC8"/>
    <w:rsid w:val="00146FDD"/>
    <w:rsid w:val="00147923"/>
    <w:rsid w:val="00150D9B"/>
    <w:rsid w:val="001514AA"/>
    <w:rsid w:val="00152183"/>
    <w:rsid w:val="001540A6"/>
    <w:rsid w:val="0015481C"/>
    <w:rsid w:val="00155F80"/>
    <w:rsid w:val="0015664C"/>
    <w:rsid w:val="001568C9"/>
    <w:rsid w:val="001571AF"/>
    <w:rsid w:val="00157E55"/>
    <w:rsid w:val="00164C95"/>
    <w:rsid w:val="00164D5E"/>
    <w:rsid w:val="001706D8"/>
    <w:rsid w:val="00170723"/>
    <w:rsid w:val="00170E06"/>
    <w:rsid w:val="001716F0"/>
    <w:rsid w:val="001728A2"/>
    <w:rsid w:val="0017290C"/>
    <w:rsid w:val="00173427"/>
    <w:rsid w:val="00173907"/>
    <w:rsid w:val="00173B60"/>
    <w:rsid w:val="00175A2B"/>
    <w:rsid w:val="001763B4"/>
    <w:rsid w:val="00177CD4"/>
    <w:rsid w:val="00182040"/>
    <w:rsid w:val="001832FC"/>
    <w:rsid w:val="0018446E"/>
    <w:rsid w:val="00184F79"/>
    <w:rsid w:val="00185063"/>
    <w:rsid w:val="001858C8"/>
    <w:rsid w:val="0018638C"/>
    <w:rsid w:val="001863B4"/>
    <w:rsid w:val="0018666D"/>
    <w:rsid w:val="00190D79"/>
    <w:rsid w:val="00190DEB"/>
    <w:rsid w:val="001914E8"/>
    <w:rsid w:val="00192612"/>
    <w:rsid w:val="00192D9B"/>
    <w:rsid w:val="00192E01"/>
    <w:rsid w:val="00192FC9"/>
    <w:rsid w:val="00193584"/>
    <w:rsid w:val="00193E92"/>
    <w:rsid w:val="001943CD"/>
    <w:rsid w:val="00194F0F"/>
    <w:rsid w:val="00197249"/>
    <w:rsid w:val="001A1D25"/>
    <w:rsid w:val="001A296A"/>
    <w:rsid w:val="001A4285"/>
    <w:rsid w:val="001A51BA"/>
    <w:rsid w:val="001A53DF"/>
    <w:rsid w:val="001A65B0"/>
    <w:rsid w:val="001B126D"/>
    <w:rsid w:val="001B17AD"/>
    <w:rsid w:val="001B1C89"/>
    <w:rsid w:val="001B38B0"/>
    <w:rsid w:val="001B38F0"/>
    <w:rsid w:val="001B431C"/>
    <w:rsid w:val="001B46F0"/>
    <w:rsid w:val="001B4E32"/>
    <w:rsid w:val="001B5495"/>
    <w:rsid w:val="001B5E2B"/>
    <w:rsid w:val="001B743A"/>
    <w:rsid w:val="001B7D91"/>
    <w:rsid w:val="001C18F4"/>
    <w:rsid w:val="001C3454"/>
    <w:rsid w:val="001C3F9F"/>
    <w:rsid w:val="001C5DD0"/>
    <w:rsid w:val="001C63BC"/>
    <w:rsid w:val="001C6C0B"/>
    <w:rsid w:val="001D0A57"/>
    <w:rsid w:val="001D1259"/>
    <w:rsid w:val="001D18CB"/>
    <w:rsid w:val="001D1E4A"/>
    <w:rsid w:val="001D1EC3"/>
    <w:rsid w:val="001D26E6"/>
    <w:rsid w:val="001D3238"/>
    <w:rsid w:val="001D36C4"/>
    <w:rsid w:val="001D46EC"/>
    <w:rsid w:val="001D4BF9"/>
    <w:rsid w:val="001D5C7A"/>
    <w:rsid w:val="001D6007"/>
    <w:rsid w:val="001E1893"/>
    <w:rsid w:val="001E1D15"/>
    <w:rsid w:val="001E1D26"/>
    <w:rsid w:val="001E2AC0"/>
    <w:rsid w:val="001E2C05"/>
    <w:rsid w:val="001E4062"/>
    <w:rsid w:val="001E43E4"/>
    <w:rsid w:val="001E4A5E"/>
    <w:rsid w:val="001E4BDB"/>
    <w:rsid w:val="001E57CB"/>
    <w:rsid w:val="001E5EFA"/>
    <w:rsid w:val="001E6227"/>
    <w:rsid w:val="001E6AA4"/>
    <w:rsid w:val="001E6DC6"/>
    <w:rsid w:val="001E7277"/>
    <w:rsid w:val="001E774E"/>
    <w:rsid w:val="001E7996"/>
    <w:rsid w:val="001F16ED"/>
    <w:rsid w:val="001F2B5F"/>
    <w:rsid w:val="001F38D8"/>
    <w:rsid w:val="001F4808"/>
    <w:rsid w:val="001F7813"/>
    <w:rsid w:val="00200032"/>
    <w:rsid w:val="0020321F"/>
    <w:rsid w:val="0020480D"/>
    <w:rsid w:val="00204849"/>
    <w:rsid w:val="00205346"/>
    <w:rsid w:val="00205448"/>
    <w:rsid w:val="00206E15"/>
    <w:rsid w:val="00206F98"/>
    <w:rsid w:val="00210507"/>
    <w:rsid w:val="0021137A"/>
    <w:rsid w:val="00212EF9"/>
    <w:rsid w:val="0021421B"/>
    <w:rsid w:val="00216C68"/>
    <w:rsid w:val="002171CD"/>
    <w:rsid w:val="0021739C"/>
    <w:rsid w:val="0021765B"/>
    <w:rsid w:val="00217C6E"/>
    <w:rsid w:val="0022195C"/>
    <w:rsid w:val="00221F6D"/>
    <w:rsid w:val="002233B5"/>
    <w:rsid w:val="00223579"/>
    <w:rsid w:val="002236C4"/>
    <w:rsid w:val="00224612"/>
    <w:rsid w:val="00224E64"/>
    <w:rsid w:val="002258B2"/>
    <w:rsid w:val="00225A51"/>
    <w:rsid w:val="002262C3"/>
    <w:rsid w:val="002268DC"/>
    <w:rsid w:val="00226E26"/>
    <w:rsid w:val="00227041"/>
    <w:rsid w:val="00227940"/>
    <w:rsid w:val="00230081"/>
    <w:rsid w:val="00230305"/>
    <w:rsid w:val="0023087F"/>
    <w:rsid w:val="002309C5"/>
    <w:rsid w:val="0023135F"/>
    <w:rsid w:val="0023211D"/>
    <w:rsid w:val="00232435"/>
    <w:rsid w:val="002326DE"/>
    <w:rsid w:val="00233428"/>
    <w:rsid w:val="00233582"/>
    <w:rsid w:val="00234729"/>
    <w:rsid w:val="002376DF"/>
    <w:rsid w:val="00237DA1"/>
    <w:rsid w:val="002410E3"/>
    <w:rsid w:val="002411E0"/>
    <w:rsid w:val="0024191E"/>
    <w:rsid w:val="00241B9B"/>
    <w:rsid w:val="00241EC4"/>
    <w:rsid w:val="00243D3D"/>
    <w:rsid w:val="002447A8"/>
    <w:rsid w:val="00247F5F"/>
    <w:rsid w:val="0025037B"/>
    <w:rsid w:val="00251A63"/>
    <w:rsid w:val="00251F64"/>
    <w:rsid w:val="00252363"/>
    <w:rsid w:val="00253536"/>
    <w:rsid w:val="00253A79"/>
    <w:rsid w:val="002556DD"/>
    <w:rsid w:val="00255A14"/>
    <w:rsid w:val="00256D08"/>
    <w:rsid w:val="0025787A"/>
    <w:rsid w:val="00257C94"/>
    <w:rsid w:val="0026049B"/>
    <w:rsid w:val="002609CA"/>
    <w:rsid w:val="00260F1A"/>
    <w:rsid w:val="0026298D"/>
    <w:rsid w:val="00263394"/>
    <w:rsid w:val="00263EB7"/>
    <w:rsid w:val="00264A88"/>
    <w:rsid w:val="00265C09"/>
    <w:rsid w:val="00265CF8"/>
    <w:rsid w:val="0026628A"/>
    <w:rsid w:val="00266715"/>
    <w:rsid w:val="0026688B"/>
    <w:rsid w:val="00270BF3"/>
    <w:rsid w:val="002726E8"/>
    <w:rsid w:val="00272F15"/>
    <w:rsid w:val="00272F89"/>
    <w:rsid w:val="00273769"/>
    <w:rsid w:val="00273EB7"/>
    <w:rsid w:val="00274011"/>
    <w:rsid w:val="002743EF"/>
    <w:rsid w:val="002756DE"/>
    <w:rsid w:val="00276904"/>
    <w:rsid w:val="00276E29"/>
    <w:rsid w:val="00280739"/>
    <w:rsid w:val="00282121"/>
    <w:rsid w:val="00282160"/>
    <w:rsid w:val="00282D47"/>
    <w:rsid w:val="00282F9B"/>
    <w:rsid w:val="00283A2F"/>
    <w:rsid w:val="00283D66"/>
    <w:rsid w:val="00285800"/>
    <w:rsid w:val="00285CE2"/>
    <w:rsid w:val="00286338"/>
    <w:rsid w:val="002872F6"/>
    <w:rsid w:val="002873A5"/>
    <w:rsid w:val="002901D0"/>
    <w:rsid w:val="002916CB"/>
    <w:rsid w:val="00291BF6"/>
    <w:rsid w:val="002929C4"/>
    <w:rsid w:val="0029306D"/>
    <w:rsid w:val="00294448"/>
    <w:rsid w:val="00297310"/>
    <w:rsid w:val="0029770A"/>
    <w:rsid w:val="002A0C35"/>
    <w:rsid w:val="002A0D75"/>
    <w:rsid w:val="002A10A3"/>
    <w:rsid w:val="002A3437"/>
    <w:rsid w:val="002A3902"/>
    <w:rsid w:val="002A49E9"/>
    <w:rsid w:val="002A5A43"/>
    <w:rsid w:val="002A5AE6"/>
    <w:rsid w:val="002B156E"/>
    <w:rsid w:val="002B185B"/>
    <w:rsid w:val="002B1A23"/>
    <w:rsid w:val="002B25CC"/>
    <w:rsid w:val="002B4D5D"/>
    <w:rsid w:val="002B516B"/>
    <w:rsid w:val="002B68B0"/>
    <w:rsid w:val="002B6B1B"/>
    <w:rsid w:val="002B7D48"/>
    <w:rsid w:val="002C0C87"/>
    <w:rsid w:val="002C2666"/>
    <w:rsid w:val="002C3F14"/>
    <w:rsid w:val="002C3FA3"/>
    <w:rsid w:val="002C4635"/>
    <w:rsid w:val="002C685D"/>
    <w:rsid w:val="002D0BD2"/>
    <w:rsid w:val="002D0C6E"/>
    <w:rsid w:val="002D1E92"/>
    <w:rsid w:val="002D22C1"/>
    <w:rsid w:val="002D2356"/>
    <w:rsid w:val="002D2F45"/>
    <w:rsid w:val="002D6889"/>
    <w:rsid w:val="002D6B21"/>
    <w:rsid w:val="002D7765"/>
    <w:rsid w:val="002E1096"/>
    <w:rsid w:val="002E163C"/>
    <w:rsid w:val="002E182D"/>
    <w:rsid w:val="002E3390"/>
    <w:rsid w:val="002E67F3"/>
    <w:rsid w:val="002F16A5"/>
    <w:rsid w:val="002F1798"/>
    <w:rsid w:val="002F187E"/>
    <w:rsid w:val="002F32E5"/>
    <w:rsid w:val="002F509A"/>
    <w:rsid w:val="002F67C3"/>
    <w:rsid w:val="002F6A5A"/>
    <w:rsid w:val="002F6ED4"/>
    <w:rsid w:val="003009FB"/>
    <w:rsid w:val="00301761"/>
    <w:rsid w:val="00304082"/>
    <w:rsid w:val="00304CE1"/>
    <w:rsid w:val="00305300"/>
    <w:rsid w:val="003056CE"/>
    <w:rsid w:val="00307953"/>
    <w:rsid w:val="00307988"/>
    <w:rsid w:val="00310604"/>
    <w:rsid w:val="00311811"/>
    <w:rsid w:val="00313B7B"/>
    <w:rsid w:val="00314F55"/>
    <w:rsid w:val="00315140"/>
    <w:rsid w:val="00315A1B"/>
    <w:rsid w:val="0032031D"/>
    <w:rsid w:val="003205B9"/>
    <w:rsid w:val="00320654"/>
    <w:rsid w:val="0032192E"/>
    <w:rsid w:val="00321C87"/>
    <w:rsid w:val="00321F71"/>
    <w:rsid w:val="00322BBF"/>
    <w:rsid w:val="00323025"/>
    <w:rsid w:val="003242F2"/>
    <w:rsid w:val="003243F1"/>
    <w:rsid w:val="00324415"/>
    <w:rsid w:val="00324B94"/>
    <w:rsid w:val="00325BF8"/>
    <w:rsid w:val="00325C07"/>
    <w:rsid w:val="00326E17"/>
    <w:rsid w:val="003272EF"/>
    <w:rsid w:val="00327A4C"/>
    <w:rsid w:val="00330CD8"/>
    <w:rsid w:val="00330F65"/>
    <w:rsid w:val="003319BF"/>
    <w:rsid w:val="003322BA"/>
    <w:rsid w:val="0033244E"/>
    <w:rsid w:val="003336AE"/>
    <w:rsid w:val="00337055"/>
    <w:rsid w:val="00337434"/>
    <w:rsid w:val="00337E1D"/>
    <w:rsid w:val="00340BED"/>
    <w:rsid w:val="00342DA2"/>
    <w:rsid w:val="00343149"/>
    <w:rsid w:val="003433EE"/>
    <w:rsid w:val="00343B57"/>
    <w:rsid w:val="0034428A"/>
    <w:rsid w:val="003449FE"/>
    <w:rsid w:val="00344F2E"/>
    <w:rsid w:val="003451E6"/>
    <w:rsid w:val="00350146"/>
    <w:rsid w:val="00350737"/>
    <w:rsid w:val="00350B11"/>
    <w:rsid w:val="00351132"/>
    <w:rsid w:val="00351190"/>
    <w:rsid w:val="003514C4"/>
    <w:rsid w:val="00351E24"/>
    <w:rsid w:val="00352BCD"/>
    <w:rsid w:val="00354093"/>
    <w:rsid w:val="00354765"/>
    <w:rsid w:val="00355A2D"/>
    <w:rsid w:val="00356B21"/>
    <w:rsid w:val="00360EA5"/>
    <w:rsid w:val="00361DA3"/>
    <w:rsid w:val="00362F69"/>
    <w:rsid w:val="003674FF"/>
    <w:rsid w:val="00370BE7"/>
    <w:rsid w:val="0037224A"/>
    <w:rsid w:val="00372EDB"/>
    <w:rsid w:val="00374ADD"/>
    <w:rsid w:val="00375301"/>
    <w:rsid w:val="003759D4"/>
    <w:rsid w:val="00376E49"/>
    <w:rsid w:val="00377A02"/>
    <w:rsid w:val="00377A49"/>
    <w:rsid w:val="00380028"/>
    <w:rsid w:val="00380301"/>
    <w:rsid w:val="0038120A"/>
    <w:rsid w:val="00381453"/>
    <w:rsid w:val="00381EBF"/>
    <w:rsid w:val="003825AB"/>
    <w:rsid w:val="0038340A"/>
    <w:rsid w:val="00383748"/>
    <w:rsid w:val="00384709"/>
    <w:rsid w:val="0038569B"/>
    <w:rsid w:val="00387647"/>
    <w:rsid w:val="00387FFE"/>
    <w:rsid w:val="003913A1"/>
    <w:rsid w:val="00391DCB"/>
    <w:rsid w:val="00392A08"/>
    <w:rsid w:val="003930BB"/>
    <w:rsid w:val="003943A7"/>
    <w:rsid w:val="00394ECD"/>
    <w:rsid w:val="0039559A"/>
    <w:rsid w:val="003969E2"/>
    <w:rsid w:val="00397399"/>
    <w:rsid w:val="00397491"/>
    <w:rsid w:val="00397DCB"/>
    <w:rsid w:val="003A1D25"/>
    <w:rsid w:val="003A32C3"/>
    <w:rsid w:val="003A58CF"/>
    <w:rsid w:val="003B0435"/>
    <w:rsid w:val="003B0B11"/>
    <w:rsid w:val="003B1E14"/>
    <w:rsid w:val="003B2D80"/>
    <w:rsid w:val="003B3035"/>
    <w:rsid w:val="003B354E"/>
    <w:rsid w:val="003B4400"/>
    <w:rsid w:val="003B489D"/>
    <w:rsid w:val="003B4CD7"/>
    <w:rsid w:val="003B5F6F"/>
    <w:rsid w:val="003B65CA"/>
    <w:rsid w:val="003B69D3"/>
    <w:rsid w:val="003B6E9D"/>
    <w:rsid w:val="003B7961"/>
    <w:rsid w:val="003C176F"/>
    <w:rsid w:val="003C208C"/>
    <w:rsid w:val="003C2E2F"/>
    <w:rsid w:val="003C32B0"/>
    <w:rsid w:val="003C33C9"/>
    <w:rsid w:val="003C4D9D"/>
    <w:rsid w:val="003C5E97"/>
    <w:rsid w:val="003C6FCC"/>
    <w:rsid w:val="003C7D80"/>
    <w:rsid w:val="003C7EE6"/>
    <w:rsid w:val="003D130A"/>
    <w:rsid w:val="003D2B28"/>
    <w:rsid w:val="003D39BA"/>
    <w:rsid w:val="003D3C2D"/>
    <w:rsid w:val="003D4C11"/>
    <w:rsid w:val="003D5590"/>
    <w:rsid w:val="003D7A7B"/>
    <w:rsid w:val="003D7F8F"/>
    <w:rsid w:val="003E1137"/>
    <w:rsid w:val="003E322F"/>
    <w:rsid w:val="003E3825"/>
    <w:rsid w:val="003E3CBE"/>
    <w:rsid w:val="003E4DE0"/>
    <w:rsid w:val="003F0C99"/>
    <w:rsid w:val="003F141F"/>
    <w:rsid w:val="003F15D4"/>
    <w:rsid w:val="003F1A5B"/>
    <w:rsid w:val="003F1EC6"/>
    <w:rsid w:val="003F232C"/>
    <w:rsid w:val="003F34A8"/>
    <w:rsid w:val="003F3F5B"/>
    <w:rsid w:val="003F429B"/>
    <w:rsid w:val="003F46B9"/>
    <w:rsid w:val="003F5752"/>
    <w:rsid w:val="003F58F4"/>
    <w:rsid w:val="003F6464"/>
    <w:rsid w:val="003F69E4"/>
    <w:rsid w:val="003F7904"/>
    <w:rsid w:val="003F7EDA"/>
    <w:rsid w:val="004001DE"/>
    <w:rsid w:val="00400207"/>
    <w:rsid w:val="0040027E"/>
    <w:rsid w:val="0040052E"/>
    <w:rsid w:val="004008B3"/>
    <w:rsid w:val="00400CC9"/>
    <w:rsid w:val="004012B3"/>
    <w:rsid w:val="004016D5"/>
    <w:rsid w:val="00402965"/>
    <w:rsid w:val="00403A44"/>
    <w:rsid w:val="004047A0"/>
    <w:rsid w:val="00410EE5"/>
    <w:rsid w:val="004133A6"/>
    <w:rsid w:val="0041551F"/>
    <w:rsid w:val="004169D3"/>
    <w:rsid w:val="00417850"/>
    <w:rsid w:val="00420AAA"/>
    <w:rsid w:val="00420CFD"/>
    <w:rsid w:val="004210EC"/>
    <w:rsid w:val="004210FE"/>
    <w:rsid w:val="00421792"/>
    <w:rsid w:val="004230EA"/>
    <w:rsid w:val="004232C7"/>
    <w:rsid w:val="004240C1"/>
    <w:rsid w:val="00425811"/>
    <w:rsid w:val="00426AF8"/>
    <w:rsid w:val="004276BE"/>
    <w:rsid w:val="0043085B"/>
    <w:rsid w:val="00430D5F"/>
    <w:rsid w:val="004336AA"/>
    <w:rsid w:val="004338A5"/>
    <w:rsid w:val="004348E6"/>
    <w:rsid w:val="00434F29"/>
    <w:rsid w:val="004352DD"/>
    <w:rsid w:val="004374A0"/>
    <w:rsid w:val="00437A8E"/>
    <w:rsid w:val="0044174A"/>
    <w:rsid w:val="0044186F"/>
    <w:rsid w:val="00443DFC"/>
    <w:rsid w:val="00444231"/>
    <w:rsid w:val="00444612"/>
    <w:rsid w:val="00444B13"/>
    <w:rsid w:val="0044500A"/>
    <w:rsid w:val="00446AA5"/>
    <w:rsid w:val="00446E09"/>
    <w:rsid w:val="004472C8"/>
    <w:rsid w:val="0045082B"/>
    <w:rsid w:val="00450C18"/>
    <w:rsid w:val="00451448"/>
    <w:rsid w:val="00451729"/>
    <w:rsid w:val="00452370"/>
    <w:rsid w:val="00453A9F"/>
    <w:rsid w:val="00453DBB"/>
    <w:rsid w:val="00454054"/>
    <w:rsid w:val="0045654E"/>
    <w:rsid w:val="00456958"/>
    <w:rsid w:val="00456CCE"/>
    <w:rsid w:val="00460E99"/>
    <w:rsid w:val="00460F0D"/>
    <w:rsid w:val="00462950"/>
    <w:rsid w:val="00462AF6"/>
    <w:rsid w:val="00462E51"/>
    <w:rsid w:val="00463C26"/>
    <w:rsid w:val="00464C1D"/>
    <w:rsid w:val="004673F4"/>
    <w:rsid w:val="004735E4"/>
    <w:rsid w:val="00474086"/>
    <w:rsid w:val="00475D4B"/>
    <w:rsid w:val="00477575"/>
    <w:rsid w:val="00480874"/>
    <w:rsid w:val="004809DF"/>
    <w:rsid w:val="0048138C"/>
    <w:rsid w:val="00482349"/>
    <w:rsid w:val="00483BA3"/>
    <w:rsid w:val="0048400E"/>
    <w:rsid w:val="004856CC"/>
    <w:rsid w:val="00490BFD"/>
    <w:rsid w:val="0049197E"/>
    <w:rsid w:val="00491A4D"/>
    <w:rsid w:val="00491DC8"/>
    <w:rsid w:val="00493CF5"/>
    <w:rsid w:val="0049446D"/>
    <w:rsid w:val="00496556"/>
    <w:rsid w:val="0049793F"/>
    <w:rsid w:val="00497B4D"/>
    <w:rsid w:val="004A0799"/>
    <w:rsid w:val="004A0B7B"/>
    <w:rsid w:val="004A17B6"/>
    <w:rsid w:val="004A3F3E"/>
    <w:rsid w:val="004A60F6"/>
    <w:rsid w:val="004A63B9"/>
    <w:rsid w:val="004A66D7"/>
    <w:rsid w:val="004A6ECE"/>
    <w:rsid w:val="004A7457"/>
    <w:rsid w:val="004A79D4"/>
    <w:rsid w:val="004B1034"/>
    <w:rsid w:val="004B2068"/>
    <w:rsid w:val="004B4342"/>
    <w:rsid w:val="004B4957"/>
    <w:rsid w:val="004B552B"/>
    <w:rsid w:val="004B5ACC"/>
    <w:rsid w:val="004B72D1"/>
    <w:rsid w:val="004B7B57"/>
    <w:rsid w:val="004C04B9"/>
    <w:rsid w:val="004C089A"/>
    <w:rsid w:val="004C14F7"/>
    <w:rsid w:val="004C1F90"/>
    <w:rsid w:val="004C47F5"/>
    <w:rsid w:val="004C519E"/>
    <w:rsid w:val="004C63C9"/>
    <w:rsid w:val="004C66F4"/>
    <w:rsid w:val="004C6707"/>
    <w:rsid w:val="004D0C32"/>
    <w:rsid w:val="004D0F3D"/>
    <w:rsid w:val="004D1756"/>
    <w:rsid w:val="004D1CEA"/>
    <w:rsid w:val="004D3D2B"/>
    <w:rsid w:val="004D3F04"/>
    <w:rsid w:val="004D4FF8"/>
    <w:rsid w:val="004D7580"/>
    <w:rsid w:val="004D781F"/>
    <w:rsid w:val="004D7CE6"/>
    <w:rsid w:val="004E0D25"/>
    <w:rsid w:val="004E1447"/>
    <w:rsid w:val="004E19E8"/>
    <w:rsid w:val="004E19FC"/>
    <w:rsid w:val="004E1E7B"/>
    <w:rsid w:val="004E580A"/>
    <w:rsid w:val="004E7122"/>
    <w:rsid w:val="004E7AFC"/>
    <w:rsid w:val="004F11C5"/>
    <w:rsid w:val="004F14AB"/>
    <w:rsid w:val="004F1C29"/>
    <w:rsid w:val="004F3748"/>
    <w:rsid w:val="004F3A75"/>
    <w:rsid w:val="004F3B67"/>
    <w:rsid w:val="004F5633"/>
    <w:rsid w:val="004F5947"/>
    <w:rsid w:val="004F6201"/>
    <w:rsid w:val="004F6793"/>
    <w:rsid w:val="004F698C"/>
    <w:rsid w:val="004F6A6E"/>
    <w:rsid w:val="004F6B63"/>
    <w:rsid w:val="004F7078"/>
    <w:rsid w:val="004F72F1"/>
    <w:rsid w:val="00500CD7"/>
    <w:rsid w:val="00500E7B"/>
    <w:rsid w:val="0050162F"/>
    <w:rsid w:val="00503052"/>
    <w:rsid w:val="00503EA9"/>
    <w:rsid w:val="00504487"/>
    <w:rsid w:val="0050481E"/>
    <w:rsid w:val="00504CF4"/>
    <w:rsid w:val="0050610B"/>
    <w:rsid w:val="00506ACE"/>
    <w:rsid w:val="00506D8F"/>
    <w:rsid w:val="0050700E"/>
    <w:rsid w:val="0051139F"/>
    <w:rsid w:val="00511AA0"/>
    <w:rsid w:val="00511F47"/>
    <w:rsid w:val="00512B1B"/>
    <w:rsid w:val="0051336F"/>
    <w:rsid w:val="00513F2D"/>
    <w:rsid w:val="00513F7B"/>
    <w:rsid w:val="005150B3"/>
    <w:rsid w:val="00515374"/>
    <w:rsid w:val="00516143"/>
    <w:rsid w:val="00516CF5"/>
    <w:rsid w:val="00516E28"/>
    <w:rsid w:val="00516F61"/>
    <w:rsid w:val="00517B6E"/>
    <w:rsid w:val="00521304"/>
    <w:rsid w:val="0052135D"/>
    <w:rsid w:val="005213D8"/>
    <w:rsid w:val="00521F1B"/>
    <w:rsid w:val="0052225A"/>
    <w:rsid w:val="00522891"/>
    <w:rsid w:val="00522CEA"/>
    <w:rsid w:val="00522E61"/>
    <w:rsid w:val="005252B1"/>
    <w:rsid w:val="005254B3"/>
    <w:rsid w:val="00526520"/>
    <w:rsid w:val="00527C13"/>
    <w:rsid w:val="0053040E"/>
    <w:rsid w:val="00530B72"/>
    <w:rsid w:val="00530DF5"/>
    <w:rsid w:val="00533D8C"/>
    <w:rsid w:val="00536246"/>
    <w:rsid w:val="0053625B"/>
    <w:rsid w:val="005408C0"/>
    <w:rsid w:val="00541BA6"/>
    <w:rsid w:val="00542CAB"/>
    <w:rsid w:val="00542DE6"/>
    <w:rsid w:val="0054319C"/>
    <w:rsid w:val="00544DE4"/>
    <w:rsid w:val="00546653"/>
    <w:rsid w:val="0054704E"/>
    <w:rsid w:val="00550039"/>
    <w:rsid w:val="00550C6A"/>
    <w:rsid w:val="00551B49"/>
    <w:rsid w:val="00552B76"/>
    <w:rsid w:val="005534EC"/>
    <w:rsid w:val="0055354F"/>
    <w:rsid w:val="00557577"/>
    <w:rsid w:val="00561293"/>
    <w:rsid w:val="00561C30"/>
    <w:rsid w:val="00561FA9"/>
    <w:rsid w:val="0056291A"/>
    <w:rsid w:val="005629F8"/>
    <w:rsid w:val="00563911"/>
    <w:rsid w:val="00563BAA"/>
    <w:rsid w:val="00564530"/>
    <w:rsid w:val="00564B3C"/>
    <w:rsid w:val="00564EF0"/>
    <w:rsid w:val="0056505E"/>
    <w:rsid w:val="00565F27"/>
    <w:rsid w:val="00565FBA"/>
    <w:rsid w:val="00566C56"/>
    <w:rsid w:val="00567B5F"/>
    <w:rsid w:val="00567CFE"/>
    <w:rsid w:val="00570C3A"/>
    <w:rsid w:val="00574EF8"/>
    <w:rsid w:val="005752BA"/>
    <w:rsid w:val="00575557"/>
    <w:rsid w:val="00575C58"/>
    <w:rsid w:val="00576C05"/>
    <w:rsid w:val="005770F9"/>
    <w:rsid w:val="00577424"/>
    <w:rsid w:val="00577493"/>
    <w:rsid w:val="00580CAC"/>
    <w:rsid w:val="0058100A"/>
    <w:rsid w:val="00581086"/>
    <w:rsid w:val="005818B2"/>
    <w:rsid w:val="00582610"/>
    <w:rsid w:val="00582808"/>
    <w:rsid w:val="00583B7F"/>
    <w:rsid w:val="0058514D"/>
    <w:rsid w:val="00585B90"/>
    <w:rsid w:val="005875C4"/>
    <w:rsid w:val="00590011"/>
    <w:rsid w:val="00590E80"/>
    <w:rsid w:val="00590EC8"/>
    <w:rsid w:val="00591C36"/>
    <w:rsid w:val="00592703"/>
    <w:rsid w:val="00597505"/>
    <w:rsid w:val="005A0BC6"/>
    <w:rsid w:val="005A0BFF"/>
    <w:rsid w:val="005A0CE1"/>
    <w:rsid w:val="005A10CD"/>
    <w:rsid w:val="005A7006"/>
    <w:rsid w:val="005A7A6D"/>
    <w:rsid w:val="005B2FA0"/>
    <w:rsid w:val="005B31F5"/>
    <w:rsid w:val="005B33F7"/>
    <w:rsid w:val="005B42B4"/>
    <w:rsid w:val="005B5A4B"/>
    <w:rsid w:val="005C0969"/>
    <w:rsid w:val="005C23EE"/>
    <w:rsid w:val="005C3400"/>
    <w:rsid w:val="005C34AD"/>
    <w:rsid w:val="005C3684"/>
    <w:rsid w:val="005C449A"/>
    <w:rsid w:val="005C4D93"/>
    <w:rsid w:val="005C563C"/>
    <w:rsid w:val="005C59BC"/>
    <w:rsid w:val="005C7330"/>
    <w:rsid w:val="005C7D19"/>
    <w:rsid w:val="005D1E72"/>
    <w:rsid w:val="005D3E4E"/>
    <w:rsid w:val="005D41E9"/>
    <w:rsid w:val="005D44DB"/>
    <w:rsid w:val="005D4B46"/>
    <w:rsid w:val="005D5422"/>
    <w:rsid w:val="005D551C"/>
    <w:rsid w:val="005D5915"/>
    <w:rsid w:val="005D6A40"/>
    <w:rsid w:val="005D7716"/>
    <w:rsid w:val="005E0242"/>
    <w:rsid w:val="005E0AAA"/>
    <w:rsid w:val="005E1054"/>
    <w:rsid w:val="005E15D9"/>
    <w:rsid w:val="005E556D"/>
    <w:rsid w:val="005E5967"/>
    <w:rsid w:val="005F222E"/>
    <w:rsid w:val="005F32F2"/>
    <w:rsid w:val="005F427A"/>
    <w:rsid w:val="005F4FF1"/>
    <w:rsid w:val="005F5190"/>
    <w:rsid w:val="005F6598"/>
    <w:rsid w:val="005F6A49"/>
    <w:rsid w:val="005F6C3D"/>
    <w:rsid w:val="005F78E2"/>
    <w:rsid w:val="006027FF"/>
    <w:rsid w:val="00602D32"/>
    <w:rsid w:val="00603822"/>
    <w:rsid w:val="0060496A"/>
    <w:rsid w:val="00604B2D"/>
    <w:rsid w:val="0060505C"/>
    <w:rsid w:val="00605309"/>
    <w:rsid w:val="006061BE"/>
    <w:rsid w:val="00606F6C"/>
    <w:rsid w:val="006074E1"/>
    <w:rsid w:val="00610CD7"/>
    <w:rsid w:val="00611CCB"/>
    <w:rsid w:val="006132F0"/>
    <w:rsid w:val="00613797"/>
    <w:rsid w:val="006151C2"/>
    <w:rsid w:val="00615CF6"/>
    <w:rsid w:val="0062089D"/>
    <w:rsid w:val="00621595"/>
    <w:rsid w:val="00622267"/>
    <w:rsid w:val="0062234A"/>
    <w:rsid w:val="00622AFA"/>
    <w:rsid w:val="00623717"/>
    <w:rsid w:val="006237DE"/>
    <w:rsid w:val="00623D2E"/>
    <w:rsid w:val="00623E23"/>
    <w:rsid w:val="006250B8"/>
    <w:rsid w:val="00625193"/>
    <w:rsid w:val="00625369"/>
    <w:rsid w:val="00625F42"/>
    <w:rsid w:val="0063085A"/>
    <w:rsid w:val="00631AD0"/>
    <w:rsid w:val="00633C0F"/>
    <w:rsid w:val="00633EE8"/>
    <w:rsid w:val="00634002"/>
    <w:rsid w:val="006352F5"/>
    <w:rsid w:val="00636994"/>
    <w:rsid w:val="00640BB0"/>
    <w:rsid w:val="00643C01"/>
    <w:rsid w:val="00643E86"/>
    <w:rsid w:val="00644697"/>
    <w:rsid w:val="00644872"/>
    <w:rsid w:val="00644E79"/>
    <w:rsid w:val="00645B69"/>
    <w:rsid w:val="00646017"/>
    <w:rsid w:val="006463A9"/>
    <w:rsid w:val="00646541"/>
    <w:rsid w:val="00646CDE"/>
    <w:rsid w:val="0065022B"/>
    <w:rsid w:val="00650FEB"/>
    <w:rsid w:val="00652916"/>
    <w:rsid w:val="006536AE"/>
    <w:rsid w:val="00654824"/>
    <w:rsid w:val="00655F33"/>
    <w:rsid w:val="00656438"/>
    <w:rsid w:val="00657384"/>
    <w:rsid w:val="00660EAB"/>
    <w:rsid w:val="0066128C"/>
    <w:rsid w:val="0066280A"/>
    <w:rsid w:val="00663DDA"/>
    <w:rsid w:val="0066419A"/>
    <w:rsid w:val="0066563C"/>
    <w:rsid w:val="0066752C"/>
    <w:rsid w:val="00667A23"/>
    <w:rsid w:val="00667ECD"/>
    <w:rsid w:val="00670799"/>
    <w:rsid w:val="006707B1"/>
    <w:rsid w:val="0067219F"/>
    <w:rsid w:val="006723A4"/>
    <w:rsid w:val="00673282"/>
    <w:rsid w:val="006747C7"/>
    <w:rsid w:val="00674DC5"/>
    <w:rsid w:val="00676F2B"/>
    <w:rsid w:val="00677090"/>
    <w:rsid w:val="0067782D"/>
    <w:rsid w:val="00677CA0"/>
    <w:rsid w:val="00680713"/>
    <w:rsid w:val="00681299"/>
    <w:rsid w:val="006817A6"/>
    <w:rsid w:val="00682DA0"/>
    <w:rsid w:val="00684DEE"/>
    <w:rsid w:val="00685855"/>
    <w:rsid w:val="006871B0"/>
    <w:rsid w:val="00691032"/>
    <w:rsid w:val="006930C3"/>
    <w:rsid w:val="00693C6A"/>
    <w:rsid w:val="0069480B"/>
    <w:rsid w:val="00694846"/>
    <w:rsid w:val="006951B0"/>
    <w:rsid w:val="006951FB"/>
    <w:rsid w:val="0069588C"/>
    <w:rsid w:val="006958D5"/>
    <w:rsid w:val="0069593E"/>
    <w:rsid w:val="00696CB1"/>
    <w:rsid w:val="006A0DF7"/>
    <w:rsid w:val="006A1826"/>
    <w:rsid w:val="006A3F59"/>
    <w:rsid w:val="006A42FC"/>
    <w:rsid w:val="006A43D1"/>
    <w:rsid w:val="006A6C71"/>
    <w:rsid w:val="006A6F2B"/>
    <w:rsid w:val="006A7014"/>
    <w:rsid w:val="006B09E5"/>
    <w:rsid w:val="006B0ABA"/>
    <w:rsid w:val="006B2743"/>
    <w:rsid w:val="006B3511"/>
    <w:rsid w:val="006B3B75"/>
    <w:rsid w:val="006B4B1C"/>
    <w:rsid w:val="006B4B53"/>
    <w:rsid w:val="006B4F6C"/>
    <w:rsid w:val="006B5B0B"/>
    <w:rsid w:val="006B6033"/>
    <w:rsid w:val="006B6079"/>
    <w:rsid w:val="006B71AA"/>
    <w:rsid w:val="006B720F"/>
    <w:rsid w:val="006B7A37"/>
    <w:rsid w:val="006C0879"/>
    <w:rsid w:val="006C17DF"/>
    <w:rsid w:val="006C25FB"/>
    <w:rsid w:val="006C3BA0"/>
    <w:rsid w:val="006C4CEF"/>
    <w:rsid w:val="006C4D78"/>
    <w:rsid w:val="006C59A2"/>
    <w:rsid w:val="006C5F70"/>
    <w:rsid w:val="006C6AAB"/>
    <w:rsid w:val="006C6AF1"/>
    <w:rsid w:val="006C6D66"/>
    <w:rsid w:val="006C6F17"/>
    <w:rsid w:val="006C7CA8"/>
    <w:rsid w:val="006D0A80"/>
    <w:rsid w:val="006D1471"/>
    <w:rsid w:val="006D1663"/>
    <w:rsid w:val="006D28AD"/>
    <w:rsid w:val="006D2AB8"/>
    <w:rsid w:val="006D2DF9"/>
    <w:rsid w:val="006D3903"/>
    <w:rsid w:val="006D46EA"/>
    <w:rsid w:val="006D4CDB"/>
    <w:rsid w:val="006D5F14"/>
    <w:rsid w:val="006D63D8"/>
    <w:rsid w:val="006D72A7"/>
    <w:rsid w:val="006D74EC"/>
    <w:rsid w:val="006E0D40"/>
    <w:rsid w:val="006E3DCB"/>
    <w:rsid w:val="006E47A6"/>
    <w:rsid w:val="006E6005"/>
    <w:rsid w:val="006E6027"/>
    <w:rsid w:val="006E7464"/>
    <w:rsid w:val="006F065A"/>
    <w:rsid w:val="006F1F37"/>
    <w:rsid w:val="006F2AD4"/>
    <w:rsid w:val="006F2B28"/>
    <w:rsid w:val="006F36C1"/>
    <w:rsid w:val="006F482D"/>
    <w:rsid w:val="006F5919"/>
    <w:rsid w:val="006F6174"/>
    <w:rsid w:val="006F6B96"/>
    <w:rsid w:val="006F7A04"/>
    <w:rsid w:val="007008A4"/>
    <w:rsid w:val="00700B0D"/>
    <w:rsid w:val="00702AE2"/>
    <w:rsid w:val="007036F4"/>
    <w:rsid w:val="00704548"/>
    <w:rsid w:val="00704E61"/>
    <w:rsid w:val="00705599"/>
    <w:rsid w:val="00705988"/>
    <w:rsid w:val="00706461"/>
    <w:rsid w:val="0070660E"/>
    <w:rsid w:val="00706E35"/>
    <w:rsid w:val="0070729E"/>
    <w:rsid w:val="00707C79"/>
    <w:rsid w:val="00707D0D"/>
    <w:rsid w:val="007105B6"/>
    <w:rsid w:val="00710CB0"/>
    <w:rsid w:val="007119EF"/>
    <w:rsid w:val="00713A94"/>
    <w:rsid w:val="00715DEE"/>
    <w:rsid w:val="00715EDA"/>
    <w:rsid w:val="0071759A"/>
    <w:rsid w:val="007178BD"/>
    <w:rsid w:val="00717C1D"/>
    <w:rsid w:val="00717EAD"/>
    <w:rsid w:val="00720408"/>
    <w:rsid w:val="007205CD"/>
    <w:rsid w:val="00720BB5"/>
    <w:rsid w:val="00721691"/>
    <w:rsid w:val="00721E70"/>
    <w:rsid w:val="007222A8"/>
    <w:rsid w:val="007243D7"/>
    <w:rsid w:val="00724F66"/>
    <w:rsid w:val="0072546E"/>
    <w:rsid w:val="007255B3"/>
    <w:rsid w:val="00725683"/>
    <w:rsid w:val="007263DA"/>
    <w:rsid w:val="00726BD6"/>
    <w:rsid w:val="00730016"/>
    <w:rsid w:val="00730538"/>
    <w:rsid w:val="00730E30"/>
    <w:rsid w:val="00732ECC"/>
    <w:rsid w:val="007334D1"/>
    <w:rsid w:val="007339AA"/>
    <w:rsid w:val="00733B9E"/>
    <w:rsid w:val="00733C19"/>
    <w:rsid w:val="00733C7E"/>
    <w:rsid w:val="00734760"/>
    <w:rsid w:val="00736C3B"/>
    <w:rsid w:val="00740041"/>
    <w:rsid w:val="00740226"/>
    <w:rsid w:val="0074088E"/>
    <w:rsid w:val="007421AF"/>
    <w:rsid w:val="007421EA"/>
    <w:rsid w:val="00743424"/>
    <w:rsid w:val="00745F4C"/>
    <w:rsid w:val="0074726B"/>
    <w:rsid w:val="00750E0C"/>
    <w:rsid w:val="00750FA9"/>
    <w:rsid w:val="0075122C"/>
    <w:rsid w:val="00751334"/>
    <w:rsid w:val="007514B5"/>
    <w:rsid w:val="007519CD"/>
    <w:rsid w:val="00751EE3"/>
    <w:rsid w:val="00753273"/>
    <w:rsid w:val="0075383C"/>
    <w:rsid w:val="00753BAC"/>
    <w:rsid w:val="007540AB"/>
    <w:rsid w:val="0075620F"/>
    <w:rsid w:val="00756847"/>
    <w:rsid w:val="0076055B"/>
    <w:rsid w:val="00761FBE"/>
    <w:rsid w:val="00762133"/>
    <w:rsid w:val="00763537"/>
    <w:rsid w:val="00765B6C"/>
    <w:rsid w:val="00767506"/>
    <w:rsid w:val="00770A9D"/>
    <w:rsid w:val="007747A5"/>
    <w:rsid w:val="007748B5"/>
    <w:rsid w:val="00775783"/>
    <w:rsid w:val="00777746"/>
    <w:rsid w:val="00777897"/>
    <w:rsid w:val="00780225"/>
    <w:rsid w:val="00780CE8"/>
    <w:rsid w:val="00780F94"/>
    <w:rsid w:val="00781A75"/>
    <w:rsid w:val="007832C0"/>
    <w:rsid w:val="007855B2"/>
    <w:rsid w:val="00785C97"/>
    <w:rsid w:val="00786DC8"/>
    <w:rsid w:val="007872E2"/>
    <w:rsid w:val="007913A6"/>
    <w:rsid w:val="007916A2"/>
    <w:rsid w:val="00791D5E"/>
    <w:rsid w:val="007922A7"/>
    <w:rsid w:val="00792D5F"/>
    <w:rsid w:val="0079313B"/>
    <w:rsid w:val="007934AC"/>
    <w:rsid w:val="00795DFE"/>
    <w:rsid w:val="00797134"/>
    <w:rsid w:val="00797B02"/>
    <w:rsid w:val="007A03A2"/>
    <w:rsid w:val="007A1BD7"/>
    <w:rsid w:val="007A1F65"/>
    <w:rsid w:val="007A2D19"/>
    <w:rsid w:val="007A3B40"/>
    <w:rsid w:val="007A47B5"/>
    <w:rsid w:val="007B064F"/>
    <w:rsid w:val="007B152D"/>
    <w:rsid w:val="007B402E"/>
    <w:rsid w:val="007B45C8"/>
    <w:rsid w:val="007B467E"/>
    <w:rsid w:val="007B53A6"/>
    <w:rsid w:val="007B5465"/>
    <w:rsid w:val="007B5761"/>
    <w:rsid w:val="007B6C5B"/>
    <w:rsid w:val="007C065C"/>
    <w:rsid w:val="007C09F0"/>
    <w:rsid w:val="007C0D7F"/>
    <w:rsid w:val="007C22B4"/>
    <w:rsid w:val="007C2842"/>
    <w:rsid w:val="007C32A8"/>
    <w:rsid w:val="007C4DD3"/>
    <w:rsid w:val="007C5534"/>
    <w:rsid w:val="007C5A35"/>
    <w:rsid w:val="007C5E2F"/>
    <w:rsid w:val="007C622C"/>
    <w:rsid w:val="007C6C13"/>
    <w:rsid w:val="007C7365"/>
    <w:rsid w:val="007D00C1"/>
    <w:rsid w:val="007D0795"/>
    <w:rsid w:val="007D281F"/>
    <w:rsid w:val="007D2A91"/>
    <w:rsid w:val="007D3DEA"/>
    <w:rsid w:val="007D6A92"/>
    <w:rsid w:val="007E0803"/>
    <w:rsid w:val="007E0ECD"/>
    <w:rsid w:val="007E18FF"/>
    <w:rsid w:val="007E1BFB"/>
    <w:rsid w:val="007E1C3E"/>
    <w:rsid w:val="007E2381"/>
    <w:rsid w:val="007E2816"/>
    <w:rsid w:val="007E31BD"/>
    <w:rsid w:val="007E3D46"/>
    <w:rsid w:val="007E418F"/>
    <w:rsid w:val="007E4CC1"/>
    <w:rsid w:val="007E5259"/>
    <w:rsid w:val="007E5CD5"/>
    <w:rsid w:val="007E5DCA"/>
    <w:rsid w:val="007E63CA"/>
    <w:rsid w:val="007E6CA1"/>
    <w:rsid w:val="007E75DD"/>
    <w:rsid w:val="007E7780"/>
    <w:rsid w:val="007F2BED"/>
    <w:rsid w:val="007F4216"/>
    <w:rsid w:val="007F7FE6"/>
    <w:rsid w:val="00801EF3"/>
    <w:rsid w:val="00803143"/>
    <w:rsid w:val="00803BD6"/>
    <w:rsid w:val="00804215"/>
    <w:rsid w:val="00804399"/>
    <w:rsid w:val="00805410"/>
    <w:rsid w:val="00807204"/>
    <w:rsid w:val="00807ADA"/>
    <w:rsid w:val="00807BB0"/>
    <w:rsid w:val="00813196"/>
    <w:rsid w:val="00813A9B"/>
    <w:rsid w:val="008143A9"/>
    <w:rsid w:val="0081767C"/>
    <w:rsid w:val="00820A9B"/>
    <w:rsid w:val="00820B61"/>
    <w:rsid w:val="00821544"/>
    <w:rsid w:val="00821A2C"/>
    <w:rsid w:val="00822487"/>
    <w:rsid w:val="008224F4"/>
    <w:rsid w:val="00823931"/>
    <w:rsid w:val="00825A3D"/>
    <w:rsid w:val="00826C15"/>
    <w:rsid w:val="00827D8E"/>
    <w:rsid w:val="00827DD1"/>
    <w:rsid w:val="00831753"/>
    <w:rsid w:val="008322F3"/>
    <w:rsid w:val="0083251C"/>
    <w:rsid w:val="0083330A"/>
    <w:rsid w:val="00833553"/>
    <w:rsid w:val="00834C2A"/>
    <w:rsid w:val="00834FEB"/>
    <w:rsid w:val="00835842"/>
    <w:rsid w:val="00836162"/>
    <w:rsid w:val="00840AA1"/>
    <w:rsid w:val="00841577"/>
    <w:rsid w:val="008425C1"/>
    <w:rsid w:val="0084266C"/>
    <w:rsid w:val="00842A9B"/>
    <w:rsid w:val="00842BDD"/>
    <w:rsid w:val="00842FAE"/>
    <w:rsid w:val="008441A6"/>
    <w:rsid w:val="00844F12"/>
    <w:rsid w:val="008458DA"/>
    <w:rsid w:val="00845B3F"/>
    <w:rsid w:val="00846D22"/>
    <w:rsid w:val="00846FA6"/>
    <w:rsid w:val="008477C7"/>
    <w:rsid w:val="00847AF5"/>
    <w:rsid w:val="00847D0B"/>
    <w:rsid w:val="00847E2D"/>
    <w:rsid w:val="00850875"/>
    <w:rsid w:val="00851495"/>
    <w:rsid w:val="00851643"/>
    <w:rsid w:val="00852A0B"/>
    <w:rsid w:val="00854F5E"/>
    <w:rsid w:val="008555EE"/>
    <w:rsid w:val="008564F9"/>
    <w:rsid w:val="00856905"/>
    <w:rsid w:val="008569F3"/>
    <w:rsid w:val="0085773F"/>
    <w:rsid w:val="008607C8"/>
    <w:rsid w:val="00860A68"/>
    <w:rsid w:val="008612B1"/>
    <w:rsid w:val="0086201B"/>
    <w:rsid w:val="00862B44"/>
    <w:rsid w:val="0086326E"/>
    <w:rsid w:val="00863567"/>
    <w:rsid w:val="0086387D"/>
    <w:rsid w:val="008640AB"/>
    <w:rsid w:val="008648DA"/>
    <w:rsid w:val="00864BBB"/>
    <w:rsid w:val="00866429"/>
    <w:rsid w:val="00866E52"/>
    <w:rsid w:val="00870737"/>
    <w:rsid w:val="00871135"/>
    <w:rsid w:val="008711A1"/>
    <w:rsid w:val="00872431"/>
    <w:rsid w:val="0087366A"/>
    <w:rsid w:val="00873823"/>
    <w:rsid w:val="00873F0C"/>
    <w:rsid w:val="00874FF2"/>
    <w:rsid w:val="00875AB4"/>
    <w:rsid w:val="00876B91"/>
    <w:rsid w:val="00880BDF"/>
    <w:rsid w:val="008810D0"/>
    <w:rsid w:val="0088163C"/>
    <w:rsid w:val="008834C8"/>
    <w:rsid w:val="008842DB"/>
    <w:rsid w:val="00885FA7"/>
    <w:rsid w:val="00886368"/>
    <w:rsid w:val="008872AE"/>
    <w:rsid w:val="0089310A"/>
    <w:rsid w:val="00894912"/>
    <w:rsid w:val="008949F9"/>
    <w:rsid w:val="008955AB"/>
    <w:rsid w:val="00896984"/>
    <w:rsid w:val="008A1D66"/>
    <w:rsid w:val="008A274F"/>
    <w:rsid w:val="008A2F05"/>
    <w:rsid w:val="008A310C"/>
    <w:rsid w:val="008A50D5"/>
    <w:rsid w:val="008A5847"/>
    <w:rsid w:val="008A5951"/>
    <w:rsid w:val="008A662E"/>
    <w:rsid w:val="008A797A"/>
    <w:rsid w:val="008A7BA8"/>
    <w:rsid w:val="008B0EE2"/>
    <w:rsid w:val="008B15B5"/>
    <w:rsid w:val="008B57E3"/>
    <w:rsid w:val="008B5812"/>
    <w:rsid w:val="008C01C7"/>
    <w:rsid w:val="008C2554"/>
    <w:rsid w:val="008D01EF"/>
    <w:rsid w:val="008D1EF5"/>
    <w:rsid w:val="008D2EE2"/>
    <w:rsid w:val="008D3DDB"/>
    <w:rsid w:val="008D47E5"/>
    <w:rsid w:val="008D4944"/>
    <w:rsid w:val="008D49DC"/>
    <w:rsid w:val="008D4EB0"/>
    <w:rsid w:val="008D53A8"/>
    <w:rsid w:val="008D6946"/>
    <w:rsid w:val="008E1CF2"/>
    <w:rsid w:val="008E37ED"/>
    <w:rsid w:val="008E38A1"/>
    <w:rsid w:val="008E4205"/>
    <w:rsid w:val="008E5A91"/>
    <w:rsid w:val="008E5B8A"/>
    <w:rsid w:val="008E70E0"/>
    <w:rsid w:val="008F0C9E"/>
    <w:rsid w:val="008F163E"/>
    <w:rsid w:val="008F693F"/>
    <w:rsid w:val="00901093"/>
    <w:rsid w:val="00901A3E"/>
    <w:rsid w:val="00901CF0"/>
    <w:rsid w:val="00904277"/>
    <w:rsid w:val="00904448"/>
    <w:rsid w:val="009074C7"/>
    <w:rsid w:val="00914B6B"/>
    <w:rsid w:val="00914FA6"/>
    <w:rsid w:val="0091771C"/>
    <w:rsid w:val="009204CD"/>
    <w:rsid w:val="009205DD"/>
    <w:rsid w:val="0092174C"/>
    <w:rsid w:val="009228BA"/>
    <w:rsid w:val="00922EAE"/>
    <w:rsid w:val="009232D7"/>
    <w:rsid w:val="00924D5E"/>
    <w:rsid w:val="00925051"/>
    <w:rsid w:val="009269D0"/>
    <w:rsid w:val="00927EE9"/>
    <w:rsid w:val="00930587"/>
    <w:rsid w:val="009318D0"/>
    <w:rsid w:val="00931A23"/>
    <w:rsid w:val="009320D2"/>
    <w:rsid w:val="009328DF"/>
    <w:rsid w:val="00933330"/>
    <w:rsid w:val="009334CD"/>
    <w:rsid w:val="00935F1D"/>
    <w:rsid w:val="00936CBE"/>
    <w:rsid w:val="0094082F"/>
    <w:rsid w:val="009409C1"/>
    <w:rsid w:val="00941275"/>
    <w:rsid w:val="009424A0"/>
    <w:rsid w:val="00943D8A"/>
    <w:rsid w:val="009441AF"/>
    <w:rsid w:val="009455F8"/>
    <w:rsid w:val="00945835"/>
    <w:rsid w:val="00950A21"/>
    <w:rsid w:val="00950FF3"/>
    <w:rsid w:val="00951500"/>
    <w:rsid w:val="00951524"/>
    <w:rsid w:val="00952A21"/>
    <w:rsid w:val="009535B1"/>
    <w:rsid w:val="00957D32"/>
    <w:rsid w:val="00960E89"/>
    <w:rsid w:val="00961D6F"/>
    <w:rsid w:val="009631BC"/>
    <w:rsid w:val="0096363E"/>
    <w:rsid w:val="0096407A"/>
    <w:rsid w:val="00967621"/>
    <w:rsid w:val="00970B0D"/>
    <w:rsid w:val="00972E6B"/>
    <w:rsid w:val="0097334A"/>
    <w:rsid w:val="00973935"/>
    <w:rsid w:val="00974460"/>
    <w:rsid w:val="009747D1"/>
    <w:rsid w:val="009755B8"/>
    <w:rsid w:val="009756F7"/>
    <w:rsid w:val="0097590A"/>
    <w:rsid w:val="0097677F"/>
    <w:rsid w:val="00977C9A"/>
    <w:rsid w:val="00977EE2"/>
    <w:rsid w:val="0098290C"/>
    <w:rsid w:val="009832EF"/>
    <w:rsid w:val="00984E4E"/>
    <w:rsid w:val="0098582A"/>
    <w:rsid w:val="009867A4"/>
    <w:rsid w:val="00986ACC"/>
    <w:rsid w:val="00987FAC"/>
    <w:rsid w:val="00990212"/>
    <w:rsid w:val="00990D6A"/>
    <w:rsid w:val="009914B7"/>
    <w:rsid w:val="00991D76"/>
    <w:rsid w:val="009922D9"/>
    <w:rsid w:val="009924AA"/>
    <w:rsid w:val="00993A78"/>
    <w:rsid w:val="00994BB4"/>
    <w:rsid w:val="009954E1"/>
    <w:rsid w:val="0099553E"/>
    <w:rsid w:val="00995706"/>
    <w:rsid w:val="00997103"/>
    <w:rsid w:val="00997753"/>
    <w:rsid w:val="009A09DF"/>
    <w:rsid w:val="009A11CF"/>
    <w:rsid w:val="009A2979"/>
    <w:rsid w:val="009A43B8"/>
    <w:rsid w:val="009A4994"/>
    <w:rsid w:val="009A5597"/>
    <w:rsid w:val="009A6E5D"/>
    <w:rsid w:val="009A7398"/>
    <w:rsid w:val="009B0FB5"/>
    <w:rsid w:val="009B1B7D"/>
    <w:rsid w:val="009B29E1"/>
    <w:rsid w:val="009B3610"/>
    <w:rsid w:val="009B3A15"/>
    <w:rsid w:val="009B483D"/>
    <w:rsid w:val="009B53AC"/>
    <w:rsid w:val="009B5D3D"/>
    <w:rsid w:val="009B6188"/>
    <w:rsid w:val="009B68A2"/>
    <w:rsid w:val="009C00C4"/>
    <w:rsid w:val="009C1193"/>
    <w:rsid w:val="009C12C1"/>
    <w:rsid w:val="009C1882"/>
    <w:rsid w:val="009C417C"/>
    <w:rsid w:val="009C4AF5"/>
    <w:rsid w:val="009C5A28"/>
    <w:rsid w:val="009C6169"/>
    <w:rsid w:val="009C7146"/>
    <w:rsid w:val="009C7371"/>
    <w:rsid w:val="009C7756"/>
    <w:rsid w:val="009C7A0F"/>
    <w:rsid w:val="009C7F81"/>
    <w:rsid w:val="009D02F6"/>
    <w:rsid w:val="009D0EDB"/>
    <w:rsid w:val="009D0F89"/>
    <w:rsid w:val="009D3808"/>
    <w:rsid w:val="009D4D5C"/>
    <w:rsid w:val="009D4F50"/>
    <w:rsid w:val="009D55E3"/>
    <w:rsid w:val="009D563B"/>
    <w:rsid w:val="009D6434"/>
    <w:rsid w:val="009D6455"/>
    <w:rsid w:val="009E000B"/>
    <w:rsid w:val="009E00F0"/>
    <w:rsid w:val="009E0B9F"/>
    <w:rsid w:val="009E28B5"/>
    <w:rsid w:val="009E2EB1"/>
    <w:rsid w:val="009E612F"/>
    <w:rsid w:val="009E6207"/>
    <w:rsid w:val="009E66E3"/>
    <w:rsid w:val="009F0807"/>
    <w:rsid w:val="009F08CB"/>
    <w:rsid w:val="009F0EFA"/>
    <w:rsid w:val="009F173E"/>
    <w:rsid w:val="009F400B"/>
    <w:rsid w:val="009F43B7"/>
    <w:rsid w:val="009F49A6"/>
    <w:rsid w:val="009F4D9E"/>
    <w:rsid w:val="009F502C"/>
    <w:rsid w:val="009F5A59"/>
    <w:rsid w:val="009F6961"/>
    <w:rsid w:val="009F7E57"/>
    <w:rsid w:val="00A0060F"/>
    <w:rsid w:val="00A008DD"/>
    <w:rsid w:val="00A00E44"/>
    <w:rsid w:val="00A019EE"/>
    <w:rsid w:val="00A01E54"/>
    <w:rsid w:val="00A05712"/>
    <w:rsid w:val="00A05A1A"/>
    <w:rsid w:val="00A07102"/>
    <w:rsid w:val="00A10193"/>
    <w:rsid w:val="00A105CD"/>
    <w:rsid w:val="00A10A26"/>
    <w:rsid w:val="00A10F68"/>
    <w:rsid w:val="00A1227D"/>
    <w:rsid w:val="00A1315B"/>
    <w:rsid w:val="00A13A59"/>
    <w:rsid w:val="00A14432"/>
    <w:rsid w:val="00A14B2E"/>
    <w:rsid w:val="00A14C04"/>
    <w:rsid w:val="00A15967"/>
    <w:rsid w:val="00A2031A"/>
    <w:rsid w:val="00A20343"/>
    <w:rsid w:val="00A20BF5"/>
    <w:rsid w:val="00A21AFE"/>
    <w:rsid w:val="00A21F6D"/>
    <w:rsid w:val="00A228EF"/>
    <w:rsid w:val="00A22E3B"/>
    <w:rsid w:val="00A237DA"/>
    <w:rsid w:val="00A24927"/>
    <w:rsid w:val="00A2568A"/>
    <w:rsid w:val="00A2746F"/>
    <w:rsid w:val="00A3127D"/>
    <w:rsid w:val="00A31ABC"/>
    <w:rsid w:val="00A322D4"/>
    <w:rsid w:val="00A3351D"/>
    <w:rsid w:val="00A349C7"/>
    <w:rsid w:val="00A34F58"/>
    <w:rsid w:val="00A36CA2"/>
    <w:rsid w:val="00A36D7B"/>
    <w:rsid w:val="00A40134"/>
    <w:rsid w:val="00A40D7A"/>
    <w:rsid w:val="00A40EC1"/>
    <w:rsid w:val="00A40FB5"/>
    <w:rsid w:val="00A414CF"/>
    <w:rsid w:val="00A41906"/>
    <w:rsid w:val="00A41935"/>
    <w:rsid w:val="00A436AE"/>
    <w:rsid w:val="00A43B5F"/>
    <w:rsid w:val="00A447E3"/>
    <w:rsid w:val="00A45720"/>
    <w:rsid w:val="00A45E32"/>
    <w:rsid w:val="00A47C5B"/>
    <w:rsid w:val="00A50255"/>
    <w:rsid w:val="00A508E6"/>
    <w:rsid w:val="00A50CD3"/>
    <w:rsid w:val="00A516D9"/>
    <w:rsid w:val="00A51D22"/>
    <w:rsid w:val="00A527F4"/>
    <w:rsid w:val="00A53415"/>
    <w:rsid w:val="00A53B0B"/>
    <w:rsid w:val="00A5518C"/>
    <w:rsid w:val="00A552E6"/>
    <w:rsid w:val="00A55697"/>
    <w:rsid w:val="00A5618E"/>
    <w:rsid w:val="00A5709A"/>
    <w:rsid w:val="00A618B5"/>
    <w:rsid w:val="00A625A9"/>
    <w:rsid w:val="00A62684"/>
    <w:rsid w:val="00A62F15"/>
    <w:rsid w:val="00A635B6"/>
    <w:rsid w:val="00A66B0F"/>
    <w:rsid w:val="00A67E6A"/>
    <w:rsid w:val="00A702BF"/>
    <w:rsid w:val="00A70B44"/>
    <w:rsid w:val="00A71331"/>
    <w:rsid w:val="00A72921"/>
    <w:rsid w:val="00A72A99"/>
    <w:rsid w:val="00A73E5E"/>
    <w:rsid w:val="00A7430E"/>
    <w:rsid w:val="00A746A7"/>
    <w:rsid w:val="00A747BC"/>
    <w:rsid w:val="00A74E30"/>
    <w:rsid w:val="00A7539E"/>
    <w:rsid w:val="00A8222C"/>
    <w:rsid w:val="00A82A4D"/>
    <w:rsid w:val="00A82EC3"/>
    <w:rsid w:val="00A836F2"/>
    <w:rsid w:val="00A84F4E"/>
    <w:rsid w:val="00A85ACB"/>
    <w:rsid w:val="00A85DBC"/>
    <w:rsid w:val="00A86FE0"/>
    <w:rsid w:val="00A90525"/>
    <w:rsid w:val="00A9085B"/>
    <w:rsid w:val="00A919F6"/>
    <w:rsid w:val="00A9315C"/>
    <w:rsid w:val="00A93377"/>
    <w:rsid w:val="00A9398F"/>
    <w:rsid w:val="00A958C0"/>
    <w:rsid w:val="00A95BDF"/>
    <w:rsid w:val="00A95D6C"/>
    <w:rsid w:val="00A96113"/>
    <w:rsid w:val="00A966F5"/>
    <w:rsid w:val="00A96980"/>
    <w:rsid w:val="00A973B9"/>
    <w:rsid w:val="00AA196E"/>
    <w:rsid w:val="00AA23C0"/>
    <w:rsid w:val="00AA3579"/>
    <w:rsid w:val="00AA37D8"/>
    <w:rsid w:val="00AA42D6"/>
    <w:rsid w:val="00AA43A9"/>
    <w:rsid w:val="00AA4C23"/>
    <w:rsid w:val="00AA5577"/>
    <w:rsid w:val="00AA6025"/>
    <w:rsid w:val="00AA652F"/>
    <w:rsid w:val="00AA6ACA"/>
    <w:rsid w:val="00AA737B"/>
    <w:rsid w:val="00AB1161"/>
    <w:rsid w:val="00AB1700"/>
    <w:rsid w:val="00AB3678"/>
    <w:rsid w:val="00AB36F8"/>
    <w:rsid w:val="00AB4351"/>
    <w:rsid w:val="00AB508B"/>
    <w:rsid w:val="00AB62E6"/>
    <w:rsid w:val="00AC12B3"/>
    <w:rsid w:val="00AC184D"/>
    <w:rsid w:val="00AC1EF4"/>
    <w:rsid w:val="00AC3806"/>
    <w:rsid w:val="00AC3C34"/>
    <w:rsid w:val="00AC5AE5"/>
    <w:rsid w:val="00AC654C"/>
    <w:rsid w:val="00AD0BB7"/>
    <w:rsid w:val="00AD1BAD"/>
    <w:rsid w:val="00AD226E"/>
    <w:rsid w:val="00AD459E"/>
    <w:rsid w:val="00AD592B"/>
    <w:rsid w:val="00AD6BC6"/>
    <w:rsid w:val="00AE0937"/>
    <w:rsid w:val="00AE1073"/>
    <w:rsid w:val="00AE13D0"/>
    <w:rsid w:val="00AE1E44"/>
    <w:rsid w:val="00AE2C06"/>
    <w:rsid w:val="00AE37B2"/>
    <w:rsid w:val="00AE38A0"/>
    <w:rsid w:val="00AE4303"/>
    <w:rsid w:val="00AE46FC"/>
    <w:rsid w:val="00AE5C6D"/>
    <w:rsid w:val="00AE7B9C"/>
    <w:rsid w:val="00AF01EB"/>
    <w:rsid w:val="00AF0DEC"/>
    <w:rsid w:val="00AF1052"/>
    <w:rsid w:val="00AF165D"/>
    <w:rsid w:val="00AF206E"/>
    <w:rsid w:val="00AF24CD"/>
    <w:rsid w:val="00AF2637"/>
    <w:rsid w:val="00AF4CE3"/>
    <w:rsid w:val="00AF5261"/>
    <w:rsid w:val="00AF5CE9"/>
    <w:rsid w:val="00AF5FEF"/>
    <w:rsid w:val="00AF5FF1"/>
    <w:rsid w:val="00AF7618"/>
    <w:rsid w:val="00B00DD8"/>
    <w:rsid w:val="00B0122E"/>
    <w:rsid w:val="00B01FC7"/>
    <w:rsid w:val="00B07DC3"/>
    <w:rsid w:val="00B10DDE"/>
    <w:rsid w:val="00B1181F"/>
    <w:rsid w:val="00B12B6D"/>
    <w:rsid w:val="00B14829"/>
    <w:rsid w:val="00B15943"/>
    <w:rsid w:val="00B15FD2"/>
    <w:rsid w:val="00B2112F"/>
    <w:rsid w:val="00B21FFA"/>
    <w:rsid w:val="00B22D9A"/>
    <w:rsid w:val="00B237B9"/>
    <w:rsid w:val="00B23C83"/>
    <w:rsid w:val="00B26F55"/>
    <w:rsid w:val="00B31952"/>
    <w:rsid w:val="00B324F6"/>
    <w:rsid w:val="00B32DA0"/>
    <w:rsid w:val="00B35983"/>
    <w:rsid w:val="00B360B4"/>
    <w:rsid w:val="00B3670A"/>
    <w:rsid w:val="00B37529"/>
    <w:rsid w:val="00B37B20"/>
    <w:rsid w:val="00B41416"/>
    <w:rsid w:val="00B4157C"/>
    <w:rsid w:val="00B4160A"/>
    <w:rsid w:val="00B417B6"/>
    <w:rsid w:val="00B424D0"/>
    <w:rsid w:val="00B43742"/>
    <w:rsid w:val="00B4446C"/>
    <w:rsid w:val="00B4538A"/>
    <w:rsid w:val="00B4656F"/>
    <w:rsid w:val="00B46EBB"/>
    <w:rsid w:val="00B47844"/>
    <w:rsid w:val="00B47ADF"/>
    <w:rsid w:val="00B50B52"/>
    <w:rsid w:val="00B535EE"/>
    <w:rsid w:val="00B53E63"/>
    <w:rsid w:val="00B55560"/>
    <w:rsid w:val="00B55602"/>
    <w:rsid w:val="00B55D29"/>
    <w:rsid w:val="00B560C2"/>
    <w:rsid w:val="00B56565"/>
    <w:rsid w:val="00B57AE4"/>
    <w:rsid w:val="00B57BDB"/>
    <w:rsid w:val="00B57E3C"/>
    <w:rsid w:val="00B60913"/>
    <w:rsid w:val="00B63288"/>
    <w:rsid w:val="00B64428"/>
    <w:rsid w:val="00B6452D"/>
    <w:rsid w:val="00B64E35"/>
    <w:rsid w:val="00B66312"/>
    <w:rsid w:val="00B67FA4"/>
    <w:rsid w:val="00B716D4"/>
    <w:rsid w:val="00B721A3"/>
    <w:rsid w:val="00B7250D"/>
    <w:rsid w:val="00B72663"/>
    <w:rsid w:val="00B743C4"/>
    <w:rsid w:val="00B7481F"/>
    <w:rsid w:val="00B74E0E"/>
    <w:rsid w:val="00B76895"/>
    <w:rsid w:val="00B76A68"/>
    <w:rsid w:val="00B8022E"/>
    <w:rsid w:val="00B80F5E"/>
    <w:rsid w:val="00B818AC"/>
    <w:rsid w:val="00B82D81"/>
    <w:rsid w:val="00B84A21"/>
    <w:rsid w:val="00B84A46"/>
    <w:rsid w:val="00B8753A"/>
    <w:rsid w:val="00B87AD5"/>
    <w:rsid w:val="00B87B6B"/>
    <w:rsid w:val="00B87B96"/>
    <w:rsid w:val="00B90258"/>
    <w:rsid w:val="00B906B8"/>
    <w:rsid w:val="00B9098E"/>
    <w:rsid w:val="00B910F2"/>
    <w:rsid w:val="00B91EE1"/>
    <w:rsid w:val="00B92980"/>
    <w:rsid w:val="00B92ED8"/>
    <w:rsid w:val="00B938DE"/>
    <w:rsid w:val="00B94638"/>
    <w:rsid w:val="00B94D02"/>
    <w:rsid w:val="00B9564F"/>
    <w:rsid w:val="00B97251"/>
    <w:rsid w:val="00BA1189"/>
    <w:rsid w:val="00BA213F"/>
    <w:rsid w:val="00BA3E40"/>
    <w:rsid w:val="00BA4A51"/>
    <w:rsid w:val="00BA4EE7"/>
    <w:rsid w:val="00BA575B"/>
    <w:rsid w:val="00BA5A4F"/>
    <w:rsid w:val="00BA5F89"/>
    <w:rsid w:val="00BA6850"/>
    <w:rsid w:val="00BA6E4B"/>
    <w:rsid w:val="00BA794F"/>
    <w:rsid w:val="00BA7A70"/>
    <w:rsid w:val="00BB1A68"/>
    <w:rsid w:val="00BB23BF"/>
    <w:rsid w:val="00BB3EFB"/>
    <w:rsid w:val="00BB678A"/>
    <w:rsid w:val="00BC05ED"/>
    <w:rsid w:val="00BC11AB"/>
    <w:rsid w:val="00BC124C"/>
    <w:rsid w:val="00BC2F61"/>
    <w:rsid w:val="00BC30D9"/>
    <w:rsid w:val="00BC3E93"/>
    <w:rsid w:val="00BC4101"/>
    <w:rsid w:val="00BC4353"/>
    <w:rsid w:val="00BC5773"/>
    <w:rsid w:val="00BC701C"/>
    <w:rsid w:val="00BC7648"/>
    <w:rsid w:val="00BC7BE4"/>
    <w:rsid w:val="00BD05A6"/>
    <w:rsid w:val="00BD07C3"/>
    <w:rsid w:val="00BD282B"/>
    <w:rsid w:val="00BD3AA0"/>
    <w:rsid w:val="00BD3AE5"/>
    <w:rsid w:val="00BD3FDD"/>
    <w:rsid w:val="00BD5083"/>
    <w:rsid w:val="00BD539E"/>
    <w:rsid w:val="00BD57A2"/>
    <w:rsid w:val="00BE0F43"/>
    <w:rsid w:val="00BE12DC"/>
    <w:rsid w:val="00BE1D24"/>
    <w:rsid w:val="00BE2271"/>
    <w:rsid w:val="00BE34B9"/>
    <w:rsid w:val="00BE3F12"/>
    <w:rsid w:val="00BE47F8"/>
    <w:rsid w:val="00BE4AE7"/>
    <w:rsid w:val="00BE56D2"/>
    <w:rsid w:val="00BE5B03"/>
    <w:rsid w:val="00BE655F"/>
    <w:rsid w:val="00BE65BA"/>
    <w:rsid w:val="00BE710D"/>
    <w:rsid w:val="00BE73AE"/>
    <w:rsid w:val="00BF02D4"/>
    <w:rsid w:val="00BF0C3A"/>
    <w:rsid w:val="00BF14FC"/>
    <w:rsid w:val="00BF4F0F"/>
    <w:rsid w:val="00BF5FF0"/>
    <w:rsid w:val="00BF619D"/>
    <w:rsid w:val="00BF634F"/>
    <w:rsid w:val="00BF6F06"/>
    <w:rsid w:val="00BF70BE"/>
    <w:rsid w:val="00BF7838"/>
    <w:rsid w:val="00C01A02"/>
    <w:rsid w:val="00C0379B"/>
    <w:rsid w:val="00C047AB"/>
    <w:rsid w:val="00C053E0"/>
    <w:rsid w:val="00C068FD"/>
    <w:rsid w:val="00C1225B"/>
    <w:rsid w:val="00C1232D"/>
    <w:rsid w:val="00C1548D"/>
    <w:rsid w:val="00C155D1"/>
    <w:rsid w:val="00C16B64"/>
    <w:rsid w:val="00C172F4"/>
    <w:rsid w:val="00C17DB0"/>
    <w:rsid w:val="00C20029"/>
    <w:rsid w:val="00C20574"/>
    <w:rsid w:val="00C2077B"/>
    <w:rsid w:val="00C220CC"/>
    <w:rsid w:val="00C22A5B"/>
    <w:rsid w:val="00C22E96"/>
    <w:rsid w:val="00C23818"/>
    <w:rsid w:val="00C23B38"/>
    <w:rsid w:val="00C2449D"/>
    <w:rsid w:val="00C26E79"/>
    <w:rsid w:val="00C318C2"/>
    <w:rsid w:val="00C32391"/>
    <w:rsid w:val="00C324DB"/>
    <w:rsid w:val="00C32595"/>
    <w:rsid w:val="00C335F5"/>
    <w:rsid w:val="00C33927"/>
    <w:rsid w:val="00C33966"/>
    <w:rsid w:val="00C34A61"/>
    <w:rsid w:val="00C375C3"/>
    <w:rsid w:val="00C37F61"/>
    <w:rsid w:val="00C40F86"/>
    <w:rsid w:val="00C4180A"/>
    <w:rsid w:val="00C41BBB"/>
    <w:rsid w:val="00C41C22"/>
    <w:rsid w:val="00C42DDF"/>
    <w:rsid w:val="00C43FF9"/>
    <w:rsid w:val="00C44AFE"/>
    <w:rsid w:val="00C45808"/>
    <w:rsid w:val="00C46003"/>
    <w:rsid w:val="00C467DD"/>
    <w:rsid w:val="00C46B5A"/>
    <w:rsid w:val="00C47641"/>
    <w:rsid w:val="00C4790F"/>
    <w:rsid w:val="00C507C7"/>
    <w:rsid w:val="00C50E1E"/>
    <w:rsid w:val="00C50FA1"/>
    <w:rsid w:val="00C50FC7"/>
    <w:rsid w:val="00C51D34"/>
    <w:rsid w:val="00C52A6A"/>
    <w:rsid w:val="00C53F79"/>
    <w:rsid w:val="00C53FB7"/>
    <w:rsid w:val="00C544EC"/>
    <w:rsid w:val="00C545F4"/>
    <w:rsid w:val="00C54A8F"/>
    <w:rsid w:val="00C55481"/>
    <w:rsid w:val="00C55FCE"/>
    <w:rsid w:val="00C5701D"/>
    <w:rsid w:val="00C57667"/>
    <w:rsid w:val="00C62378"/>
    <w:rsid w:val="00C626B9"/>
    <w:rsid w:val="00C62A39"/>
    <w:rsid w:val="00C6368D"/>
    <w:rsid w:val="00C63F8D"/>
    <w:rsid w:val="00C643C6"/>
    <w:rsid w:val="00C652D5"/>
    <w:rsid w:val="00C65C82"/>
    <w:rsid w:val="00C66DB5"/>
    <w:rsid w:val="00C670DA"/>
    <w:rsid w:val="00C67FF7"/>
    <w:rsid w:val="00C70315"/>
    <w:rsid w:val="00C7097C"/>
    <w:rsid w:val="00C70CEB"/>
    <w:rsid w:val="00C71F1B"/>
    <w:rsid w:val="00C72208"/>
    <w:rsid w:val="00C727AE"/>
    <w:rsid w:val="00C72E8A"/>
    <w:rsid w:val="00C733AD"/>
    <w:rsid w:val="00C734A1"/>
    <w:rsid w:val="00C73EDF"/>
    <w:rsid w:val="00C74932"/>
    <w:rsid w:val="00C75DAA"/>
    <w:rsid w:val="00C76582"/>
    <w:rsid w:val="00C7715D"/>
    <w:rsid w:val="00C80618"/>
    <w:rsid w:val="00C81837"/>
    <w:rsid w:val="00C8187E"/>
    <w:rsid w:val="00C8331C"/>
    <w:rsid w:val="00C83FCC"/>
    <w:rsid w:val="00C8458F"/>
    <w:rsid w:val="00C8557A"/>
    <w:rsid w:val="00C86197"/>
    <w:rsid w:val="00C87247"/>
    <w:rsid w:val="00C928BA"/>
    <w:rsid w:val="00C93458"/>
    <w:rsid w:val="00C939EF"/>
    <w:rsid w:val="00C946DA"/>
    <w:rsid w:val="00C94D39"/>
    <w:rsid w:val="00C9550D"/>
    <w:rsid w:val="00C9669B"/>
    <w:rsid w:val="00C96F3D"/>
    <w:rsid w:val="00C97A59"/>
    <w:rsid w:val="00C97AA7"/>
    <w:rsid w:val="00CA0CD8"/>
    <w:rsid w:val="00CA2B58"/>
    <w:rsid w:val="00CA2D5C"/>
    <w:rsid w:val="00CA6478"/>
    <w:rsid w:val="00CA669F"/>
    <w:rsid w:val="00CA6E8E"/>
    <w:rsid w:val="00CA7A90"/>
    <w:rsid w:val="00CB0644"/>
    <w:rsid w:val="00CB1FE0"/>
    <w:rsid w:val="00CB24CB"/>
    <w:rsid w:val="00CB2E1D"/>
    <w:rsid w:val="00CB3068"/>
    <w:rsid w:val="00CB5C7A"/>
    <w:rsid w:val="00CB70EC"/>
    <w:rsid w:val="00CB7E35"/>
    <w:rsid w:val="00CC07BD"/>
    <w:rsid w:val="00CC6496"/>
    <w:rsid w:val="00CC72A3"/>
    <w:rsid w:val="00CC7D60"/>
    <w:rsid w:val="00CD03E8"/>
    <w:rsid w:val="00CD0D6A"/>
    <w:rsid w:val="00CD1B02"/>
    <w:rsid w:val="00CD1CC0"/>
    <w:rsid w:val="00CD3A38"/>
    <w:rsid w:val="00CD3B2D"/>
    <w:rsid w:val="00CD3B89"/>
    <w:rsid w:val="00CD48A7"/>
    <w:rsid w:val="00CD612C"/>
    <w:rsid w:val="00CD62C0"/>
    <w:rsid w:val="00CE14B1"/>
    <w:rsid w:val="00CE25C7"/>
    <w:rsid w:val="00CE3C18"/>
    <w:rsid w:val="00CE3D23"/>
    <w:rsid w:val="00CE555D"/>
    <w:rsid w:val="00CE77C4"/>
    <w:rsid w:val="00CE7E39"/>
    <w:rsid w:val="00CF205A"/>
    <w:rsid w:val="00CF2D43"/>
    <w:rsid w:val="00CF309D"/>
    <w:rsid w:val="00CF30BE"/>
    <w:rsid w:val="00CF327E"/>
    <w:rsid w:val="00CF5827"/>
    <w:rsid w:val="00CF5A71"/>
    <w:rsid w:val="00CF6550"/>
    <w:rsid w:val="00D00847"/>
    <w:rsid w:val="00D00DAA"/>
    <w:rsid w:val="00D01BA6"/>
    <w:rsid w:val="00D0218B"/>
    <w:rsid w:val="00D0361B"/>
    <w:rsid w:val="00D03A31"/>
    <w:rsid w:val="00D03B4A"/>
    <w:rsid w:val="00D0429A"/>
    <w:rsid w:val="00D05E22"/>
    <w:rsid w:val="00D11487"/>
    <w:rsid w:val="00D13A4A"/>
    <w:rsid w:val="00D14884"/>
    <w:rsid w:val="00D1512E"/>
    <w:rsid w:val="00D15EF0"/>
    <w:rsid w:val="00D17396"/>
    <w:rsid w:val="00D205D2"/>
    <w:rsid w:val="00D209DA"/>
    <w:rsid w:val="00D20AD1"/>
    <w:rsid w:val="00D22F23"/>
    <w:rsid w:val="00D23C72"/>
    <w:rsid w:val="00D2693B"/>
    <w:rsid w:val="00D26BF4"/>
    <w:rsid w:val="00D27996"/>
    <w:rsid w:val="00D3068D"/>
    <w:rsid w:val="00D30F3E"/>
    <w:rsid w:val="00D321F9"/>
    <w:rsid w:val="00D3321E"/>
    <w:rsid w:val="00D33614"/>
    <w:rsid w:val="00D34B5E"/>
    <w:rsid w:val="00D34F9B"/>
    <w:rsid w:val="00D36061"/>
    <w:rsid w:val="00D360F1"/>
    <w:rsid w:val="00D362E3"/>
    <w:rsid w:val="00D367E4"/>
    <w:rsid w:val="00D37476"/>
    <w:rsid w:val="00D37859"/>
    <w:rsid w:val="00D37B38"/>
    <w:rsid w:val="00D37E02"/>
    <w:rsid w:val="00D41A49"/>
    <w:rsid w:val="00D424DE"/>
    <w:rsid w:val="00D4348A"/>
    <w:rsid w:val="00D44CA3"/>
    <w:rsid w:val="00D46B25"/>
    <w:rsid w:val="00D47139"/>
    <w:rsid w:val="00D50021"/>
    <w:rsid w:val="00D50CDC"/>
    <w:rsid w:val="00D50E38"/>
    <w:rsid w:val="00D52417"/>
    <w:rsid w:val="00D52A87"/>
    <w:rsid w:val="00D52B8D"/>
    <w:rsid w:val="00D53190"/>
    <w:rsid w:val="00D533B4"/>
    <w:rsid w:val="00D53C22"/>
    <w:rsid w:val="00D542E0"/>
    <w:rsid w:val="00D543BB"/>
    <w:rsid w:val="00D56810"/>
    <w:rsid w:val="00D61053"/>
    <w:rsid w:val="00D6473F"/>
    <w:rsid w:val="00D6490E"/>
    <w:rsid w:val="00D75979"/>
    <w:rsid w:val="00D763CF"/>
    <w:rsid w:val="00D769EF"/>
    <w:rsid w:val="00D77305"/>
    <w:rsid w:val="00D773F2"/>
    <w:rsid w:val="00D779F8"/>
    <w:rsid w:val="00D77EF2"/>
    <w:rsid w:val="00D8063A"/>
    <w:rsid w:val="00D82851"/>
    <w:rsid w:val="00D84171"/>
    <w:rsid w:val="00D8504C"/>
    <w:rsid w:val="00D85889"/>
    <w:rsid w:val="00D874B4"/>
    <w:rsid w:val="00D90C70"/>
    <w:rsid w:val="00D919E5"/>
    <w:rsid w:val="00D91F3B"/>
    <w:rsid w:val="00D91F66"/>
    <w:rsid w:val="00D95F74"/>
    <w:rsid w:val="00D9711B"/>
    <w:rsid w:val="00DA4997"/>
    <w:rsid w:val="00DA4A1E"/>
    <w:rsid w:val="00DA4C30"/>
    <w:rsid w:val="00DA4D27"/>
    <w:rsid w:val="00DA7AF3"/>
    <w:rsid w:val="00DA7C68"/>
    <w:rsid w:val="00DB0FFA"/>
    <w:rsid w:val="00DB13FA"/>
    <w:rsid w:val="00DB153B"/>
    <w:rsid w:val="00DB1556"/>
    <w:rsid w:val="00DB2836"/>
    <w:rsid w:val="00DB2941"/>
    <w:rsid w:val="00DB321C"/>
    <w:rsid w:val="00DB340F"/>
    <w:rsid w:val="00DB3418"/>
    <w:rsid w:val="00DB7A13"/>
    <w:rsid w:val="00DB7E03"/>
    <w:rsid w:val="00DC08E4"/>
    <w:rsid w:val="00DC21C8"/>
    <w:rsid w:val="00DC51D0"/>
    <w:rsid w:val="00DC5CB2"/>
    <w:rsid w:val="00DC5EBF"/>
    <w:rsid w:val="00DC7147"/>
    <w:rsid w:val="00DC716F"/>
    <w:rsid w:val="00DD085A"/>
    <w:rsid w:val="00DD1150"/>
    <w:rsid w:val="00DD1A31"/>
    <w:rsid w:val="00DD60FD"/>
    <w:rsid w:val="00DD73EE"/>
    <w:rsid w:val="00DD7B6A"/>
    <w:rsid w:val="00DD7E99"/>
    <w:rsid w:val="00DD7F56"/>
    <w:rsid w:val="00DE28E2"/>
    <w:rsid w:val="00DE4C0B"/>
    <w:rsid w:val="00DE55C7"/>
    <w:rsid w:val="00DE58DB"/>
    <w:rsid w:val="00DE5ECF"/>
    <w:rsid w:val="00DE6BA2"/>
    <w:rsid w:val="00DE6C02"/>
    <w:rsid w:val="00DF11BD"/>
    <w:rsid w:val="00DF18D6"/>
    <w:rsid w:val="00DF1A55"/>
    <w:rsid w:val="00DF45C4"/>
    <w:rsid w:val="00DF4BAF"/>
    <w:rsid w:val="00DF4EBA"/>
    <w:rsid w:val="00DF4ECD"/>
    <w:rsid w:val="00DF625D"/>
    <w:rsid w:val="00DF718E"/>
    <w:rsid w:val="00DF7431"/>
    <w:rsid w:val="00DF77C0"/>
    <w:rsid w:val="00DF796E"/>
    <w:rsid w:val="00DF7B46"/>
    <w:rsid w:val="00DF7FF5"/>
    <w:rsid w:val="00E00E37"/>
    <w:rsid w:val="00E01B55"/>
    <w:rsid w:val="00E01CCF"/>
    <w:rsid w:val="00E02F62"/>
    <w:rsid w:val="00E036C4"/>
    <w:rsid w:val="00E03795"/>
    <w:rsid w:val="00E03797"/>
    <w:rsid w:val="00E03CFE"/>
    <w:rsid w:val="00E04172"/>
    <w:rsid w:val="00E0587D"/>
    <w:rsid w:val="00E1007D"/>
    <w:rsid w:val="00E115C1"/>
    <w:rsid w:val="00E11B74"/>
    <w:rsid w:val="00E14DF7"/>
    <w:rsid w:val="00E16544"/>
    <w:rsid w:val="00E16A74"/>
    <w:rsid w:val="00E1797F"/>
    <w:rsid w:val="00E17B5E"/>
    <w:rsid w:val="00E201EA"/>
    <w:rsid w:val="00E208FA"/>
    <w:rsid w:val="00E2171D"/>
    <w:rsid w:val="00E21B22"/>
    <w:rsid w:val="00E21CE9"/>
    <w:rsid w:val="00E247AE"/>
    <w:rsid w:val="00E24E4F"/>
    <w:rsid w:val="00E26E2E"/>
    <w:rsid w:val="00E26ED0"/>
    <w:rsid w:val="00E26FA3"/>
    <w:rsid w:val="00E309E3"/>
    <w:rsid w:val="00E32324"/>
    <w:rsid w:val="00E3407A"/>
    <w:rsid w:val="00E368C7"/>
    <w:rsid w:val="00E36E5F"/>
    <w:rsid w:val="00E37A7D"/>
    <w:rsid w:val="00E402E9"/>
    <w:rsid w:val="00E40AD3"/>
    <w:rsid w:val="00E40DC5"/>
    <w:rsid w:val="00E412BA"/>
    <w:rsid w:val="00E42167"/>
    <w:rsid w:val="00E42658"/>
    <w:rsid w:val="00E435D4"/>
    <w:rsid w:val="00E4366B"/>
    <w:rsid w:val="00E44F05"/>
    <w:rsid w:val="00E455B1"/>
    <w:rsid w:val="00E45E68"/>
    <w:rsid w:val="00E46287"/>
    <w:rsid w:val="00E4636C"/>
    <w:rsid w:val="00E514A8"/>
    <w:rsid w:val="00E51BC0"/>
    <w:rsid w:val="00E52B06"/>
    <w:rsid w:val="00E52CE5"/>
    <w:rsid w:val="00E54E28"/>
    <w:rsid w:val="00E5522F"/>
    <w:rsid w:val="00E555E0"/>
    <w:rsid w:val="00E55F5E"/>
    <w:rsid w:val="00E56B1B"/>
    <w:rsid w:val="00E56DF3"/>
    <w:rsid w:val="00E571D6"/>
    <w:rsid w:val="00E635A9"/>
    <w:rsid w:val="00E635CC"/>
    <w:rsid w:val="00E64C52"/>
    <w:rsid w:val="00E65B1A"/>
    <w:rsid w:val="00E66D1C"/>
    <w:rsid w:val="00E70B97"/>
    <w:rsid w:val="00E716FC"/>
    <w:rsid w:val="00E71B4E"/>
    <w:rsid w:val="00E72562"/>
    <w:rsid w:val="00E726F4"/>
    <w:rsid w:val="00E72ECB"/>
    <w:rsid w:val="00E731E4"/>
    <w:rsid w:val="00E744F8"/>
    <w:rsid w:val="00E74E22"/>
    <w:rsid w:val="00E75F70"/>
    <w:rsid w:val="00E76C91"/>
    <w:rsid w:val="00E76F01"/>
    <w:rsid w:val="00E774FC"/>
    <w:rsid w:val="00E77878"/>
    <w:rsid w:val="00E812ED"/>
    <w:rsid w:val="00E821E2"/>
    <w:rsid w:val="00E82A0A"/>
    <w:rsid w:val="00E83B80"/>
    <w:rsid w:val="00E843B6"/>
    <w:rsid w:val="00E845AE"/>
    <w:rsid w:val="00E85EB1"/>
    <w:rsid w:val="00E863AB"/>
    <w:rsid w:val="00E90798"/>
    <w:rsid w:val="00E908DE"/>
    <w:rsid w:val="00E93CEA"/>
    <w:rsid w:val="00E93DDE"/>
    <w:rsid w:val="00E93F87"/>
    <w:rsid w:val="00E96654"/>
    <w:rsid w:val="00E978E8"/>
    <w:rsid w:val="00EA01D7"/>
    <w:rsid w:val="00EA14CF"/>
    <w:rsid w:val="00EA1B00"/>
    <w:rsid w:val="00EA1CD0"/>
    <w:rsid w:val="00EA37C0"/>
    <w:rsid w:val="00EA49E7"/>
    <w:rsid w:val="00EA4ED9"/>
    <w:rsid w:val="00EA57DF"/>
    <w:rsid w:val="00EA724B"/>
    <w:rsid w:val="00EB0532"/>
    <w:rsid w:val="00EB26EF"/>
    <w:rsid w:val="00EB3A78"/>
    <w:rsid w:val="00EB3D2D"/>
    <w:rsid w:val="00EB405B"/>
    <w:rsid w:val="00EB4BD8"/>
    <w:rsid w:val="00EB6A76"/>
    <w:rsid w:val="00EC0556"/>
    <w:rsid w:val="00EC136B"/>
    <w:rsid w:val="00EC1AC5"/>
    <w:rsid w:val="00EC236D"/>
    <w:rsid w:val="00EC2E8D"/>
    <w:rsid w:val="00EC5A75"/>
    <w:rsid w:val="00EC7158"/>
    <w:rsid w:val="00EC7B5D"/>
    <w:rsid w:val="00ED04DB"/>
    <w:rsid w:val="00ED08DE"/>
    <w:rsid w:val="00ED0D11"/>
    <w:rsid w:val="00ED12C1"/>
    <w:rsid w:val="00ED1D90"/>
    <w:rsid w:val="00ED4C32"/>
    <w:rsid w:val="00ED7E0F"/>
    <w:rsid w:val="00EE33F1"/>
    <w:rsid w:val="00EE57C4"/>
    <w:rsid w:val="00EE5E08"/>
    <w:rsid w:val="00EE6DD2"/>
    <w:rsid w:val="00EF32B0"/>
    <w:rsid w:val="00EF37A2"/>
    <w:rsid w:val="00EF456E"/>
    <w:rsid w:val="00EF4615"/>
    <w:rsid w:val="00EF4EF4"/>
    <w:rsid w:val="00EF5264"/>
    <w:rsid w:val="00EF7592"/>
    <w:rsid w:val="00EF771B"/>
    <w:rsid w:val="00EF7CBE"/>
    <w:rsid w:val="00EF7DBC"/>
    <w:rsid w:val="00F00313"/>
    <w:rsid w:val="00F01BCB"/>
    <w:rsid w:val="00F02F6B"/>
    <w:rsid w:val="00F0382F"/>
    <w:rsid w:val="00F048E7"/>
    <w:rsid w:val="00F05259"/>
    <w:rsid w:val="00F06127"/>
    <w:rsid w:val="00F063AE"/>
    <w:rsid w:val="00F06A3C"/>
    <w:rsid w:val="00F06CD8"/>
    <w:rsid w:val="00F06F94"/>
    <w:rsid w:val="00F0729B"/>
    <w:rsid w:val="00F07662"/>
    <w:rsid w:val="00F078AF"/>
    <w:rsid w:val="00F1169E"/>
    <w:rsid w:val="00F1232A"/>
    <w:rsid w:val="00F14825"/>
    <w:rsid w:val="00F1514A"/>
    <w:rsid w:val="00F15BC5"/>
    <w:rsid w:val="00F15E20"/>
    <w:rsid w:val="00F17DBE"/>
    <w:rsid w:val="00F2079A"/>
    <w:rsid w:val="00F219AA"/>
    <w:rsid w:val="00F221C6"/>
    <w:rsid w:val="00F22428"/>
    <w:rsid w:val="00F2259D"/>
    <w:rsid w:val="00F233F0"/>
    <w:rsid w:val="00F246C6"/>
    <w:rsid w:val="00F2577D"/>
    <w:rsid w:val="00F31423"/>
    <w:rsid w:val="00F34646"/>
    <w:rsid w:val="00F35728"/>
    <w:rsid w:val="00F36B54"/>
    <w:rsid w:val="00F379BE"/>
    <w:rsid w:val="00F37C9B"/>
    <w:rsid w:val="00F37FA3"/>
    <w:rsid w:val="00F40595"/>
    <w:rsid w:val="00F40897"/>
    <w:rsid w:val="00F41BA0"/>
    <w:rsid w:val="00F421D7"/>
    <w:rsid w:val="00F443E2"/>
    <w:rsid w:val="00F460D3"/>
    <w:rsid w:val="00F4676A"/>
    <w:rsid w:val="00F47108"/>
    <w:rsid w:val="00F4757C"/>
    <w:rsid w:val="00F5009E"/>
    <w:rsid w:val="00F50B33"/>
    <w:rsid w:val="00F50D7A"/>
    <w:rsid w:val="00F5165E"/>
    <w:rsid w:val="00F523F3"/>
    <w:rsid w:val="00F54EE0"/>
    <w:rsid w:val="00F563F1"/>
    <w:rsid w:val="00F569E8"/>
    <w:rsid w:val="00F574C4"/>
    <w:rsid w:val="00F6086C"/>
    <w:rsid w:val="00F60A5D"/>
    <w:rsid w:val="00F63DAC"/>
    <w:rsid w:val="00F64284"/>
    <w:rsid w:val="00F64353"/>
    <w:rsid w:val="00F657E9"/>
    <w:rsid w:val="00F65D2A"/>
    <w:rsid w:val="00F66A80"/>
    <w:rsid w:val="00F67724"/>
    <w:rsid w:val="00F73B3E"/>
    <w:rsid w:val="00F73D32"/>
    <w:rsid w:val="00F746D1"/>
    <w:rsid w:val="00F74936"/>
    <w:rsid w:val="00F761A5"/>
    <w:rsid w:val="00F769C5"/>
    <w:rsid w:val="00F779C6"/>
    <w:rsid w:val="00F77AAD"/>
    <w:rsid w:val="00F8021B"/>
    <w:rsid w:val="00F80DE0"/>
    <w:rsid w:val="00F812EB"/>
    <w:rsid w:val="00F81AFF"/>
    <w:rsid w:val="00F81EB4"/>
    <w:rsid w:val="00F83135"/>
    <w:rsid w:val="00F83DFD"/>
    <w:rsid w:val="00F83F62"/>
    <w:rsid w:val="00F8464C"/>
    <w:rsid w:val="00F850DF"/>
    <w:rsid w:val="00F91FB6"/>
    <w:rsid w:val="00F93361"/>
    <w:rsid w:val="00F93A51"/>
    <w:rsid w:val="00F94219"/>
    <w:rsid w:val="00F946EF"/>
    <w:rsid w:val="00F94C13"/>
    <w:rsid w:val="00F96C06"/>
    <w:rsid w:val="00FA00B6"/>
    <w:rsid w:val="00FA09E9"/>
    <w:rsid w:val="00FA1A04"/>
    <w:rsid w:val="00FA2597"/>
    <w:rsid w:val="00FA2F0E"/>
    <w:rsid w:val="00FA41A5"/>
    <w:rsid w:val="00FA5CC8"/>
    <w:rsid w:val="00FA60B9"/>
    <w:rsid w:val="00FA699A"/>
    <w:rsid w:val="00FA7B88"/>
    <w:rsid w:val="00FB081E"/>
    <w:rsid w:val="00FB17CB"/>
    <w:rsid w:val="00FB3B7C"/>
    <w:rsid w:val="00FB52C1"/>
    <w:rsid w:val="00FB5425"/>
    <w:rsid w:val="00FB60AD"/>
    <w:rsid w:val="00FB64DA"/>
    <w:rsid w:val="00FB6DB6"/>
    <w:rsid w:val="00FC0946"/>
    <w:rsid w:val="00FC1562"/>
    <w:rsid w:val="00FC4D63"/>
    <w:rsid w:val="00FC5E12"/>
    <w:rsid w:val="00FC7939"/>
    <w:rsid w:val="00FD12F4"/>
    <w:rsid w:val="00FD14F5"/>
    <w:rsid w:val="00FD3355"/>
    <w:rsid w:val="00FD5524"/>
    <w:rsid w:val="00FD578C"/>
    <w:rsid w:val="00FD633C"/>
    <w:rsid w:val="00FD7281"/>
    <w:rsid w:val="00FE06BA"/>
    <w:rsid w:val="00FE2A34"/>
    <w:rsid w:val="00FE4372"/>
    <w:rsid w:val="00FE637F"/>
    <w:rsid w:val="00FE6CEC"/>
    <w:rsid w:val="00FE6F6B"/>
    <w:rsid w:val="00FE770D"/>
    <w:rsid w:val="00FE79AF"/>
    <w:rsid w:val="00FF163A"/>
    <w:rsid w:val="00FF232F"/>
    <w:rsid w:val="00FF2428"/>
    <w:rsid w:val="00FF28BD"/>
    <w:rsid w:val="00FF4191"/>
    <w:rsid w:val="00FF4450"/>
    <w:rsid w:val="00FF4549"/>
    <w:rsid w:val="00FF50A5"/>
    <w:rsid w:val="00FF55A6"/>
    <w:rsid w:val="00FF5C27"/>
    <w:rsid w:val="00FF624B"/>
    <w:rsid w:val="00FF65EF"/>
    <w:rsid w:val="00FF6CB6"/>
    <w:rsid w:val="00FF741B"/>
    <w:rsid w:val="00FF7E79"/>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uiPriority="99" w:qFormat="1"/>
    <w:lsdException w:name="annotation text" w:locked="1"/>
    <w:lsdException w:name="header" w:locked="1" w:uiPriority="99" w:qFormat="1"/>
    <w:lsdException w:name="footer" w:locked="1" w:uiPriority="99" w:qFormat="1"/>
    <w:lsdException w:name="index heading" w:locked="1"/>
    <w:lsdException w:name="caption" w:qFormat="1"/>
    <w:lsdException w:name="table of figures" w:locked="1" w:uiPriority="99" w:qFormat="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uiPriority="99" w:qFormat="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uiPriority="99"/>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B0122E"/>
    <w:pPr>
      <w:spacing w:before="180" w:after="240" w:line="270" w:lineRule="exact"/>
    </w:pPr>
    <w:rPr>
      <w:rFonts w:asciiTheme="minorHAnsi" w:hAnsiTheme="minorHAnsi"/>
      <w:szCs w:val="16"/>
    </w:rPr>
  </w:style>
  <w:style w:type="paragraph" w:styleId="Heading1">
    <w:name w:val="heading 1"/>
    <w:basedOn w:val="Normal"/>
    <w:next w:val="bt"/>
    <w:link w:val="Heading1Char"/>
    <w:qFormat/>
    <w:rsid w:val="00854F5E"/>
    <w:pPr>
      <w:keepNext/>
      <w:tabs>
        <w:tab w:val="left" w:pos="851"/>
      </w:tabs>
      <w:spacing w:after="120" w:line="240" w:lineRule="auto"/>
      <w:outlineLvl w:val="0"/>
    </w:pPr>
    <w:rPr>
      <w:rFonts w:ascii="Calibri" w:hAnsi="Calibri"/>
      <w:b/>
      <w:bCs/>
      <w:sz w:val="34"/>
      <w:szCs w:val="30"/>
    </w:rPr>
  </w:style>
  <w:style w:type="paragraph" w:styleId="Heading2">
    <w:name w:val="heading 2"/>
    <w:basedOn w:val="Heading11"/>
    <w:next w:val="bt"/>
    <w:link w:val="Heading2Char"/>
    <w:qFormat/>
    <w:rsid w:val="004809DF"/>
    <w:pPr>
      <w:numPr>
        <w:ilvl w:val="1"/>
      </w:numPr>
      <w:tabs>
        <w:tab w:val="clear" w:pos="1456"/>
        <w:tab w:val="num" w:pos="396"/>
        <w:tab w:val="left" w:pos="851"/>
      </w:tabs>
      <w:spacing w:before="360"/>
      <w:ind w:left="578" w:hanging="578"/>
      <w:outlineLvl w:val="1"/>
    </w:pPr>
    <w:rPr>
      <w:color w:val="595959" w:themeColor="text1" w:themeTint="A6"/>
      <w:sz w:val="28"/>
    </w:rPr>
  </w:style>
  <w:style w:type="paragraph" w:styleId="Heading3">
    <w:name w:val="heading 3"/>
    <w:basedOn w:val="Heading2"/>
    <w:next w:val="bt"/>
    <w:link w:val="Heading3Char"/>
    <w:qFormat/>
    <w:rsid w:val="00177CD4"/>
    <w:pPr>
      <w:tabs>
        <w:tab w:val="clear" w:pos="396"/>
        <w:tab w:val="num" w:pos="1456"/>
      </w:tabs>
      <w:ind w:left="1456" w:hanging="576"/>
      <w:outlineLvl w:val="2"/>
    </w:pPr>
    <w:rPr>
      <w:color w:val="595959"/>
      <w:sz w:val="26"/>
    </w:rPr>
  </w:style>
  <w:style w:type="paragraph" w:styleId="Heading4">
    <w:name w:val="heading 4"/>
    <w:basedOn w:val="btbold"/>
    <w:next w:val="bt"/>
    <w:link w:val="Heading4Char"/>
    <w:qFormat/>
    <w:rsid w:val="00AE7B9C"/>
    <w:pPr>
      <w:spacing w:before="360" w:line="240" w:lineRule="auto"/>
      <w:outlineLvl w:val="3"/>
    </w:pPr>
    <w:rPr>
      <w:rFonts w:cs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54F5E"/>
    <w:rPr>
      <w:b/>
      <w:bCs/>
      <w:sz w:val="34"/>
      <w:szCs w:val="30"/>
    </w:rPr>
  </w:style>
  <w:style w:type="character" w:customStyle="1" w:styleId="Heading2Char">
    <w:name w:val="Heading 2 Char"/>
    <w:basedOn w:val="DefaultParagraphFont"/>
    <w:link w:val="Heading2"/>
    <w:locked/>
    <w:rsid w:val="004809DF"/>
    <w:rPr>
      <w:b/>
      <w:bCs/>
      <w:color w:val="595959" w:themeColor="text1" w:themeTint="A6"/>
      <w:sz w:val="28"/>
      <w:szCs w:val="30"/>
    </w:rPr>
  </w:style>
  <w:style w:type="character" w:customStyle="1" w:styleId="Heading3Char">
    <w:name w:val="Heading 3 Char"/>
    <w:basedOn w:val="DefaultParagraphFont"/>
    <w:link w:val="Heading3"/>
    <w:locked/>
    <w:rsid w:val="00177CD4"/>
    <w:rPr>
      <w:rFonts w:ascii="Verdana" w:hAnsi="Verdana"/>
      <w:b/>
      <w:bCs/>
      <w:color w:val="595959"/>
      <w:sz w:val="26"/>
      <w:szCs w:val="30"/>
    </w:rPr>
  </w:style>
  <w:style w:type="character" w:customStyle="1" w:styleId="Heading4Char">
    <w:name w:val="Heading 4 Char"/>
    <w:basedOn w:val="DefaultParagraphFont"/>
    <w:link w:val="Heading4"/>
    <w:locked/>
    <w:rsid w:val="00AE7B9C"/>
    <w:rPr>
      <w:rFonts w:cstheme="minorHAnsi"/>
      <w:b/>
      <w:bCs/>
      <w:sz w:val="22"/>
      <w:szCs w:val="22"/>
    </w:rPr>
  </w:style>
  <w:style w:type="paragraph" w:customStyle="1" w:styleId="bt">
    <w:name w:val="bt"/>
    <w:link w:val="btChar"/>
    <w:qFormat/>
    <w:rsid w:val="00854F5E"/>
    <w:pPr>
      <w:spacing w:before="180" w:after="240" w:line="270" w:lineRule="exact"/>
    </w:pPr>
    <w:rPr>
      <w:rFonts w:cs="Calibri"/>
    </w:rPr>
  </w:style>
  <w:style w:type="paragraph" w:styleId="BalloonText">
    <w:name w:val="Balloon Text"/>
    <w:basedOn w:val="Normal"/>
    <w:link w:val="BalloonTextChar"/>
    <w:semiHidden/>
    <w:rsid w:val="00E02F62"/>
    <w:pPr>
      <w:spacing w:after="0" w:line="240" w:lineRule="auto"/>
    </w:pPr>
    <w:rPr>
      <w:rFonts w:ascii="Tahoma" w:hAnsi="Tahoma" w:cs="Tahoma"/>
    </w:rPr>
  </w:style>
  <w:style w:type="character" w:customStyle="1" w:styleId="BalloonTextChar">
    <w:name w:val="Balloon Text Char"/>
    <w:basedOn w:val="DefaultParagraphFont"/>
    <w:link w:val="BalloonText"/>
    <w:semiHidden/>
    <w:locked/>
    <w:rsid w:val="00E02F62"/>
    <w:rPr>
      <w:rFonts w:ascii="Tahoma" w:hAnsi="Tahoma" w:cs="Tahoma"/>
      <w:sz w:val="16"/>
      <w:szCs w:val="16"/>
    </w:rPr>
  </w:style>
  <w:style w:type="paragraph" w:styleId="NoSpacing">
    <w:name w:val="No Spacing"/>
    <w:link w:val="NoSpacingChar"/>
    <w:qFormat/>
    <w:rsid w:val="00E02F62"/>
    <w:rPr>
      <w:rFonts w:cs="Calibri"/>
      <w:sz w:val="22"/>
      <w:szCs w:val="22"/>
      <w:lang w:val="en-US" w:eastAsia="en-US"/>
    </w:rPr>
  </w:style>
  <w:style w:type="character" w:customStyle="1" w:styleId="NoSpacingChar">
    <w:name w:val="No Spacing Char"/>
    <w:basedOn w:val="DefaultParagraphFont"/>
    <w:link w:val="NoSpacing"/>
    <w:locked/>
    <w:rsid w:val="00E02F62"/>
    <w:rPr>
      <w:rFonts w:cs="Calibri"/>
      <w:sz w:val="22"/>
      <w:szCs w:val="22"/>
      <w:lang w:val="en-US" w:eastAsia="en-US" w:bidi="ar-SA"/>
    </w:rPr>
  </w:style>
  <w:style w:type="paragraph" w:styleId="TOCHeading">
    <w:name w:val="TOC Heading"/>
    <w:basedOn w:val="Heading1"/>
    <w:next w:val="Normal"/>
    <w:qFormat/>
    <w:rsid w:val="0037224A"/>
    <w:pPr>
      <w:outlineLvl w:val="9"/>
    </w:pPr>
    <w:rPr>
      <w:lang w:val="en-US"/>
    </w:rPr>
  </w:style>
  <w:style w:type="paragraph" w:styleId="Header">
    <w:name w:val="header"/>
    <w:basedOn w:val="Normal"/>
    <w:link w:val="HeaderChar"/>
    <w:uiPriority w:val="99"/>
    <w:qFormat/>
    <w:rsid w:val="00E36E5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36E5F"/>
    <w:rPr>
      <w:rFonts w:asciiTheme="minorHAnsi" w:hAnsiTheme="minorHAnsi"/>
      <w:szCs w:val="16"/>
    </w:rPr>
  </w:style>
  <w:style w:type="paragraph" w:styleId="Footer">
    <w:name w:val="footer"/>
    <w:basedOn w:val="Normal"/>
    <w:link w:val="FooterChar"/>
    <w:uiPriority w:val="99"/>
    <w:qFormat/>
    <w:rsid w:val="004B72D1"/>
    <w:pPr>
      <w:tabs>
        <w:tab w:val="center" w:pos="4513"/>
        <w:tab w:val="right" w:pos="9026"/>
      </w:tabs>
      <w:spacing w:before="0" w:after="0" w:line="240" w:lineRule="auto"/>
    </w:pPr>
  </w:style>
  <w:style w:type="character" w:customStyle="1" w:styleId="FooterChar">
    <w:name w:val="Footer Char"/>
    <w:basedOn w:val="DefaultParagraphFont"/>
    <w:link w:val="Footer"/>
    <w:uiPriority w:val="99"/>
    <w:locked/>
    <w:rsid w:val="004B72D1"/>
    <w:rPr>
      <w:rFonts w:asciiTheme="minorHAnsi" w:hAnsiTheme="minorHAnsi"/>
      <w:szCs w:val="16"/>
    </w:rPr>
  </w:style>
  <w:style w:type="paragraph" w:customStyle="1" w:styleId="btbold">
    <w:name w:val="bt_bold"/>
    <w:basedOn w:val="bt"/>
    <w:next w:val="bt"/>
    <w:rsid w:val="00564530"/>
    <w:pPr>
      <w:spacing w:after="120"/>
    </w:pPr>
    <w:rPr>
      <w:b/>
      <w:bCs/>
    </w:rPr>
  </w:style>
  <w:style w:type="paragraph" w:customStyle="1" w:styleId="btindent">
    <w:name w:val="bt_indent"/>
    <w:basedOn w:val="bt"/>
    <w:next w:val="bt"/>
    <w:rsid w:val="00DD1150"/>
    <w:pPr>
      <w:ind w:left="709"/>
    </w:pPr>
  </w:style>
  <w:style w:type="paragraph" w:customStyle="1" w:styleId="btitalics">
    <w:name w:val="bt_italics"/>
    <w:basedOn w:val="bt"/>
    <w:next w:val="bt"/>
    <w:rsid w:val="00564530"/>
    <w:rPr>
      <w:i/>
      <w:iCs/>
    </w:rPr>
  </w:style>
  <w:style w:type="character" w:customStyle="1" w:styleId="bt-highlighttext">
    <w:name w:val="bt-highlight text"/>
    <w:basedOn w:val="DefaultParagraphFont"/>
    <w:rsid w:val="00564530"/>
    <w:rPr>
      <w:rFonts w:ascii="Calibri" w:hAnsi="Calibri" w:cs="Calibri"/>
      <w:color w:val="0000FF"/>
      <w:sz w:val="24"/>
      <w:szCs w:val="24"/>
      <w:lang w:eastAsia="en-US"/>
    </w:rPr>
  </w:style>
  <w:style w:type="paragraph" w:styleId="Caption">
    <w:name w:val="caption"/>
    <w:basedOn w:val="bt"/>
    <w:next w:val="bt"/>
    <w:link w:val="CaptionChar"/>
    <w:qFormat/>
    <w:rsid w:val="00C50E1E"/>
    <w:pPr>
      <w:keepNext/>
      <w:spacing w:after="180" w:line="240" w:lineRule="auto"/>
      <w:ind w:left="28" w:hanging="28"/>
    </w:pPr>
    <w:rPr>
      <w:rFonts w:cs="Arial"/>
      <w:b/>
      <w:i/>
      <w:iCs/>
      <w:noProof/>
      <w:color w:val="333333"/>
    </w:rPr>
  </w:style>
  <w:style w:type="paragraph" w:styleId="CommentText">
    <w:name w:val="annotation text"/>
    <w:basedOn w:val="Normal"/>
    <w:link w:val="CommentTextChar"/>
    <w:semiHidden/>
    <w:rsid w:val="00564530"/>
    <w:pPr>
      <w:spacing w:after="0" w:line="240" w:lineRule="auto"/>
    </w:pPr>
    <w:rPr>
      <w:rFonts w:ascii="Arial" w:hAnsi="Arial" w:cs="Arial"/>
      <w:szCs w:val="20"/>
    </w:rPr>
  </w:style>
  <w:style w:type="character" w:customStyle="1" w:styleId="CommentTextChar">
    <w:name w:val="Comment Text Char"/>
    <w:basedOn w:val="DefaultParagraphFont"/>
    <w:link w:val="CommentText"/>
    <w:semiHidden/>
    <w:locked/>
    <w:rsid w:val="00564530"/>
    <w:rPr>
      <w:rFonts w:ascii="Arial" w:hAnsi="Arial" w:cs="Arial"/>
      <w:sz w:val="20"/>
      <w:szCs w:val="20"/>
      <w:lang w:eastAsia="en-AU"/>
    </w:rPr>
  </w:style>
  <w:style w:type="character" w:styleId="Emphasis">
    <w:name w:val="Emphasis"/>
    <w:basedOn w:val="DefaultParagraphFont"/>
    <w:qFormat/>
    <w:rsid w:val="004D781F"/>
    <w:rPr>
      <w:rFonts w:ascii="Calibri" w:hAnsi="Calibri" w:cs="Calibri"/>
      <w:i/>
      <w:iCs/>
      <w:sz w:val="20"/>
      <w:szCs w:val="20"/>
    </w:rPr>
  </w:style>
  <w:style w:type="paragraph" w:customStyle="1" w:styleId="Heading11">
    <w:name w:val="Heading 1_1"/>
    <w:basedOn w:val="Heading1"/>
    <w:next w:val="bt"/>
    <w:qFormat/>
    <w:rsid w:val="009755B8"/>
    <w:pPr>
      <w:numPr>
        <w:numId w:val="7"/>
      </w:numPr>
      <w:tabs>
        <w:tab w:val="clear" w:pos="851"/>
      </w:tabs>
      <w:spacing w:after="240"/>
    </w:pPr>
  </w:style>
  <w:style w:type="paragraph" w:customStyle="1" w:styleId="Heading2nonum">
    <w:name w:val="Heading 2_no num"/>
    <w:basedOn w:val="Heading2"/>
    <w:next w:val="bt"/>
    <w:rsid w:val="00564530"/>
    <w:pPr>
      <w:numPr>
        <w:numId w:val="0"/>
      </w:numPr>
    </w:pPr>
    <w:rPr>
      <w:b w:val="0"/>
      <w:bCs w:val="0"/>
      <w:lang w:eastAsia="en-US"/>
    </w:rPr>
  </w:style>
  <w:style w:type="paragraph" w:styleId="ListBullet">
    <w:name w:val="List Bullet"/>
    <w:basedOn w:val="bt"/>
    <w:rsid w:val="000861F2"/>
    <w:pPr>
      <w:numPr>
        <w:numId w:val="11"/>
      </w:numPr>
      <w:ind w:left="851" w:hanging="284"/>
    </w:pPr>
  </w:style>
  <w:style w:type="paragraph" w:styleId="ListBullet2">
    <w:name w:val="List Bullet 2"/>
    <w:basedOn w:val="bt"/>
    <w:rsid w:val="00961D6F"/>
    <w:pPr>
      <w:numPr>
        <w:numId w:val="1"/>
      </w:numPr>
      <w:tabs>
        <w:tab w:val="clear" w:pos="360"/>
        <w:tab w:val="num" w:pos="851"/>
        <w:tab w:val="num" w:pos="1134"/>
      </w:tabs>
      <w:ind w:left="1134" w:hanging="283"/>
    </w:pPr>
  </w:style>
  <w:style w:type="paragraph" w:styleId="ListBullet3">
    <w:name w:val="List Bullet 3"/>
    <w:basedOn w:val="bt"/>
    <w:rsid w:val="00961D6F"/>
    <w:pPr>
      <w:numPr>
        <w:numId w:val="8"/>
      </w:numPr>
      <w:tabs>
        <w:tab w:val="clear" w:pos="1077"/>
        <w:tab w:val="num" w:pos="1418"/>
      </w:tabs>
      <w:ind w:left="1418" w:hanging="284"/>
    </w:pPr>
  </w:style>
  <w:style w:type="paragraph" w:styleId="ListContinue">
    <w:name w:val="List Continue"/>
    <w:basedOn w:val="Normal"/>
    <w:rsid w:val="00564530"/>
    <w:pPr>
      <w:spacing w:after="120" w:line="240" w:lineRule="auto"/>
      <w:ind w:left="283"/>
    </w:pPr>
    <w:rPr>
      <w:rFonts w:ascii="Arial" w:hAnsi="Arial" w:cs="Arial"/>
      <w:szCs w:val="20"/>
    </w:rPr>
  </w:style>
  <w:style w:type="paragraph" w:styleId="ListContinue2">
    <w:name w:val="List Continue 2"/>
    <w:basedOn w:val="Normal"/>
    <w:rsid w:val="00564530"/>
    <w:pPr>
      <w:spacing w:after="120" w:line="240" w:lineRule="auto"/>
      <w:ind w:left="566"/>
    </w:pPr>
    <w:rPr>
      <w:rFonts w:ascii="Arial" w:hAnsi="Arial" w:cs="Arial"/>
      <w:szCs w:val="20"/>
    </w:rPr>
  </w:style>
  <w:style w:type="paragraph" w:styleId="ListContinue3">
    <w:name w:val="List Continue 3"/>
    <w:basedOn w:val="Normal"/>
    <w:rsid w:val="00564530"/>
    <w:pPr>
      <w:spacing w:after="120" w:line="240" w:lineRule="auto"/>
      <w:ind w:left="849"/>
    </w:pPr>
    <w:rPr>
      <w:rFonts w:ascii="Arial" w:hAnsi="Arial" w:cs="Arial"/>
      <w:szCs w:val="20"/>
    </w:rPr>
  </w:style>
  <w:style w:type="character" w:styleId="Strong">
    <w:name w:val="Strong"/>
    <w:basedOn w:val="Heading4Char"/>
    <w:qFormat/>
    <w:rsid w:val="00511F47"/>
    <w:rPr>
      <w:rFonts w:asciiTheme="minorHAnsi" w:hAnsiTheme="minorHAnsi" w:cstheme="minorHAnsi"/>
      <w:b/>
      <w:bCs/>
      <w:sz w:val="20"/>
      <w:szCs w:val="22"/>
    </w:rPr>
  </w:style>
  <w:style w:type="paragraph" w:customStyle="1" w:styleId="Tabletext">
    <w:name w:val="Table text"/>
    <w:basedOn w:val="bt"/>
    <w:autoRedefine/>
    <w:rsid w:val="00622267"/>
    <w:pPr>
      <w:spacing w:before="60" w:after="60" w:line="240" w:lineRule="auto"/>
    </w:pPr>
    <w:rPr>
      <w:rFonts w:asciiTheme="minorHAnsi" w:hAnsiTheme="minorHAnsi" w:cs="Arial Narrow"/>
    </w:rPr>
  </w:style>
  <w:style w:type="paragraph" w:customStyle="1" w:styleId="TabletextBold">
    <w:name w:val="Table text Bold"/>
    <w:basedOn w:val="Tabletext"/>
    <w:next w:val="Tabletext"/>
    <w:rsid w:val="00564530"/>
    <w:rPr>
      <w:b/>
      <w:bCs/>
    </w:rPr>
  </w:style>
  <w:style w:type="paragraph" w:customStyle="1" w:styleId="tabletextbullet">
    <w:name w:val="table text bullet"/>
    <w:basedOn w:val="Normal"/>
    <w:rsid w:val="00564530"/>
    <w:pPr>
      <w:numPr>
        <w:numId w:val="9"/>
      </w:numPr>
      <w:spacing w:before="60" w:after="60"/>
      <w:jc w:val="both"/>
    </w:pPr>
    <w:rPr>
      <w:szCs w:val="20"/>
    </w:rPr>
  </w:style>
  <w:style w:type="paragraph" w:customStyle="1" w:styleId="tableheaderrow">
    <w:name w:val="table_header row"/>
    <w:basedOn w:val="Tabletext"/>
    <w:qFormat/>
    <w:rsid w:val="001914E8"/>
    <w:rPr>
      <w:b/>
      <w:bCs/>
    </w:rPr>
  </w:style>
  <w:style w:type="paragraph" w:styleId="IntenseQuote">
    <w:name w:val="Intense Quote"/>
    <w:basedOn w:val="bt"/>
    <w:next w:val="bt"/>
    <w:link w:val="IntenseQuoteChar"/>
    <w:autoRedefine/>
    <w:qFormat/>
    <w:rsid w:val="009320D2"/>
    <w:pPr>
      <w:pBdr>
        <w:bottom w:val="single" w:sz="4" w:space="4" w:color="76923C"/>
      </w:pBdr>
      <w:spacing w:before="200" w:after="280"/>
      <w:ind w:left="936" w:right="936"/>
    </w:pPr>
    <w:rPr>
      <w:i/>
      <w:iCs/>
      <w:color w:val="404040"/>
    </w:rPr>
  </w:style>
  <w:style w:type="character" w:customStyle="1" w:styleId="IntenseQuoteChar">
    <w:name w:val="Intense Quote Char"/>
    <w:basedOn w:val="DefaultParagraphFont"/>
    <w:link w:val="IntenseQuote"/>
    <w:locked/>
    <w:rsid w:val="009320D2"/>
    <w:rPr>
      <w:rFonts w:ascii="Calibri" w:hAnsi="Calibri" w:cs="Calibri"/>
      <w:i/>
      <w:iCs/>
      <w:color w:val="404040"/>
      <w:sz w:val="24"/>
      <w:szCs w:val="24"/>
      <w:lang w:eastAsia="en-AU"/>
    </w:rPr>
  </w:style>
  <w:style w:type="paragraph" w:customStyle="1" w:styleId="btbullet">
    <w:name w:val="bt_bullet"/>
    <w:basedOn w:val="bt"/>
    <w:qFormat/>
    <w:rsid w:val="00A14432"/>
    <w:pPr>
      <w:numPr>
        <w:numId w:val="10"/>
      </w:numPr>
      <w:spacing w:before="60" w:after="60" w:line="264" w:lineRule="auto"/>
    </w:pPr>
  </w:style>
  <w:style w:type="table" w:styleId="TableGrid">
    <w:name w:val="Table Grid"/>
    <w:basedOn w:val="TableNormal"/>
    <w:uiPriority w:val="59"/>
    <w:rsid w:val="002F16A5"/>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31">
    <w:name w:val="Light Shading - Accent 31"/>
    <w:rsid w:val="002F16A5"/>
    <w:rPr>
      <w:rFonts w:eastAsia="Times New Roman" w:cs="Calibri"/>
      <w:color w:val="76923C"/>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LightList-Accent31">
    <w:name w:val="Light List - Accent 31"/>
    <w:rsid w:val="001914E8"/>
    <w:rPr>
      <w:rFonts w:eastAsia="Times New Roman" w:cs="Calibri"/>
    </w:rPr>
    <w:tblPr>
      <w:tblStyleRowBandSize w:val="1"/>
      <w:tblStyleColBandSize w:val="1"/>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table" w:customStyle="1" w:styleId="LightGrid-Accent31">
    <w:name w:val="Light Grid - Accent 31"/>
    <w:rsid w:val="001914E8"/>
    <w:rPr>
      <w:rFonts w:eastAsia="Times New Roman"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character" w:styleId="IntenseEmphasis">
    <w:name w:val="Intense Emphasis"/>
    <w:basedOn w:val="DefaultParagraphFont"/>
    <w:qFormat/>
    <w:rsid w:val="00FF741B"/>
    <w:rPr>
      <w:rFonts w:cs="Times New Roman"/>
      <w:b/>
      <w:bCs/>
      <w:i/>
      <w:iCs/>
      <w:color w:val="auto"/>
    </w:rPr>
  </w:style>
  <w:style w:type="paragraph" w:customStyle="1" w:styleId="source">
    <w:name w:val="source"/>
    <w:basedOn w:val="bt"/>
    <w:next w:val="bt"/>
    <w:qFormat/>
    <w:rsid w:val="00951500"/>
    <w:pPr>
      <w:spacing w:line="240" w:lineRule="auto"/>
    </w:pPr>
    <w:rPr>
      <w:i/>
      <w:iCs/>
      <w:sz w:val="18"/>
      <w:szCs w:val="18"/>
    </w:rPr>
  </w:style>
  <w:style w:type="paragraph" w:styleId="TOC1">
    <w:name w:val="toc 1"/>
    <w:basedOn w:val="Normal"/>
    <w:next w:val="Normal"/>
    <w:autoRedefine/>
    <w:uiPriority w:val="39"/>
    <w:qFormat/>
    <w:rsid w:val="003A58CF"/>
    <w:pPr>
      <w:tabs>
        <w:tab w:val="left" w:pos="284"/>
        <w:tab w:val="left" w:pos="851"/>
        <w:tab w:val="right" w:leader="dot" w:pos="9016"/>
      </w:tabs>
      <w:spacing w:after="100"/>
    </w:pPr>
    <w:rPr>
      <w:rFonts w:ascii="Calibri" w:hAnsi="Calibri" w:cs="Calibri"/>
      <w:noProof/>
      <w:sz w:val="22"/>
      <w:szCs w:val="22"/>
    </w:rPr>
  </w:style>
  <w:style w:type="paragraph" w:styleId="TOC2">
    <w:name w:val="toc 2"/>
    <w:basedOn w:val="Normal"/>
    <w:next w:val="Normal"/>
    <w:autoRedefine/>
    <w:uiPriority w:val="39"/>
    <w:qFormat/>
    <w:rsid w:val="000F4A3C"/>
    <w:pPr>
      <w:tabs>
        <w:tab w:val="left" w:pos="1134"/>
        <w:tab w:val="right" w:leader="dot" w:pos="9016"/>
      </w:tabs>
      <w:spacing w:after="100"/>
      <w:ind w:left="567"/>
    </w:pPr>
    <w:rPr>
      <w:bCs/>
      <w:noProof/>
      <w:sz w:val="22"/>
      <w:lang w:val="en-US"/>
    </w:rPr>
  </w:style>
  <w:style w:type="character" w:styleId="Hyperlink">
    <w:name w:val="Hyperlink"/>
    <w:basedOn w:val="DefaultParagraphFont"/>
    <w:uiPriority w:val="99"/>
    <w:rsid w:val="007E5259"/>
    <w:rPr>
      <w:rFonts w:cs="Times New Roman"/>
      <w:color w:val="0000FF"/>
      <w:u w:val="single"/>
    </w:rPr>
  </w:style>
  <w:style w:type="paragraph" w:styleId="TableofFigures">
    <w:name w:val="table of figures"/>
    <w:basedOn w:val="Normal"/>
    <w:next w:val="Normal"/>
    <w:uiPriority w:val="99"/>
    <w:qFormat/>
    <w:rsid w:val="008A310C"/>
    <w:pPr>
      <w:tabs>
        <w:tab w:val="right" w:leader="dot" w:pos="9015"/>
      </w:tabs>
      <w:spacing w:after="0"/>
    </w:pPr>
    <w:rPr>
      <w:sz w:val="22"/>
    </w:rPr>
  </w:style>
  <w:style w:type="paragraph" w:styleId="Title">
    <w:name w:val="Title"/>
    <w:basedOn w:val="bt"/>
    <w:next w:val="Subtitle"/>
    <w:link w:val="TitleChar"/>
    <w:uiPriority w:val="10"/>
    <w:qFormat/>
    <w:rsid w:val="00A349C7"/>
    <w:pPr>
      <w:spacing w:after="300" w:line="240" w:lineRule="auto"/>
    </w:pPr>
    <w:rPr>
      <w:spacing w:val="5"/>
      <w:kern w:val="28"/>
      <w:sz w:val="52"/>
      <w:szCs w:val="40"/>
    </w:rPr>
  </w:style>
  <w:style w:type="character" w:customStyle="1" w:styleId="TitleChar">
    <w:name w:val="Title Char"/>
    <w:basedOn w:val="DefaultParagraphFont"/>
    <w:link w:val="Title"/>
    <w:uiPriority w:val="10"/>
    <w:locked/>
    <w:rsid w:val="00A349C7"/>
    <w:rPr>
      <w:rFonts w:cs="Calibri"/>
      <w:spacing w:val="5"/>
      <w:kern w:val="28"/>
      <w:sz w:val="52"/>
      <w:szCs w:val="40"/>
    </w:rPr>
  </w:style>
  <w:style w:type="paragraph" w:styleId="Subtitle">
    <w:name w:val="Subtitle"/>
    <w:basedOn w:val="bt"/>
    <w:next w:val="bt"/>
    <w:link w:val="SubtitleChar"/>
    <w:uiPriority w:val="11"/>
    <w:qFormat/>
    <w:rsid w:val="00C44AFE"/>
    <w:pPr>
      <w:numPr>
        <w:ilvl w:val="1"/>
      </w:numPr>
    </w:pPr>
    <w:rPr>
      <w:i/>
      <w:iCs/>
      <w:spacing w:val="15"/>
      <w:sz w:val="24"/>
      <w:szCs w:val="22"/>
    </w:rPr>
  </w:style>
  <w:style w:type="character" w:customStyle="1" w:styleId="SubtitleChar">
    <w:name w:val="Subtitle Char"/>
    <w:basedOn w:val="DefaultParagraphFont"/>
    <w:link w:val="Subtitle"/>
    <w:uiPriority w:val="11"/>
    <w:locked/>
    <w:rsid w:val="00C44AFE"/>
    <w:rPr>
      <w:rFonts w:cs="Calibri"/>
      <w:i/>
      <w:iCs/>
      <w:spacing w:val="15"/>
      <w:sz w:val="24"/>
      <w:szCs w:val="22"/>
    </w:rPr>
  </w:style>
  <w:style w:type="paragraph" w:styleId="TOC3">
    <w:name w:val="toc 3"/>
    <w:basedOn w:val="Normal"/>
    <w:next w:val="Normal"/>
    <w:autoRedefine/>
    <w:uiPriority w:val="39"/>
    <w:rsid w:val="00354765"/>
    <w:pPr>
      <w:tabs>
        <w:tab w:val="right" w:leader="dot" w:pos="9016"/>
      </w:tabs>
      <w:spacing w:after="100"/>
      <w:ind w:left="851"/>
    </w:pPr>
  </w:style>
  <w:style w:type="table" w:customStyle="1" w:styleId="MediumShading1-Accent31">
    <w:name w:val="Medium Shading 1 - Accent 31"/>
    <w:rsid w:val="00AB1161"/>
    <w:rPr>
      <w:rFonts w:eastAsia="Times New Roman" w:cs="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style>
  <w:style w:type="table" w:customStyle="1" w:styleId="MediumGrid3-Accent31">
    <w:name w:val="Medium Grid 3 - Accent 31"/>
    <w:rsid w:val="00D50021"/>
    <w:rPr>
      <w:rFonts w:eastAsia="Times New Roman"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character" w:styleId="FollowedHyperlink">
    <w:name w:val="FollowedHyperlink"/>
    <w:basedOn w:val="DefaultParagraphFont"/>
    <w:semiHidden/>
    <w:rsid w:val="0045654E"/>
    <w:rPr>
      <w:rFonts w:cs="Times New Roman"/>
      <w:color w:val="800080"/>
      <w:u w:val="single"/>
    </w:rPr>
  </w:style>
  <w:style w:type="paragraph" w:customStyle="1" w:styleId="btpicture">
    <w:name w:val="bt_picture"/>
    <w:basedOn w:val="bt"/>
    <w:next w:val="bt"/>
    <w:rsid w:val="00217C6E"/>
    <w:pPr>
      <w:spacing w:after="0" w:line="240" w:lineRule="auto"/>
    </w:pPr>
    <w:rPr>
      <w:sz w:val="18"/>
      <w:szCs w:val="18"/>
    </w:rPr>
  </w:style>
  <w:style w:type="paragraph" w:styleId="FootnoteText">
    <w:name w:val="footnote text"/>
    <w:basedOn w:val="Normal"/>
    <w:link w:val="FootnoteTextChar"/>
    <w:uiPriority w:val="99"/>
    <w:qFormat/>
    <w:rsid w:val="005770F9"/>
    <w:pPr>
      <w:spacing w:before="0" w:after="0" w:line="240" w:lineRule="auto"/>
    </w:pPr>
    <w:rPr>
      <w:sz w:val="16"/>
      <w:szCs w:val="20"/>
      <w:lang w:val="en-US"/>
    </w:rPr>
  </w:style>
  <w:style w:type="character" w:customStyle="1" w:styleId="FootnoteTextChar">
    <w:name w:val="Footnote Text Char"/>
    <w:basedOn w:val="DefaultParagraphFont"/>
    <w:link w:val="FootnoteText"/>
    <w:uiPriority w:val="99"/>
    <w:locked/>
    <w:rsid w:val="005770F9"/>
    <w:rPr>
      <w:rFonts w:asciiTheme="minorHAnsi" w:hAnsiTheme="minorHAnsi"/>
      <w:sz w:val="16"/>
      <w:lang w:val="en-US"/>
    </w:rPr>
  </w:style>
  <w:style w:type="character" w:styleId="SubtleEmphasis">
    <w:name w:val="Subtle Emphasis"/>
    <w:basedOn w:val="DefaultParagraphFont"/>
    <w:qFormat/>
    <w:rsid w:val="00DD1150"/>
    <w:rPr>
      <w:rFonts w:eastAsia="Times New Roman" w:cs="Times New Roman"/>
      <w:i/>
      <w:iCs/>
      <w:color w:val="808080"/>
      <w:sz w:val="22"/>
      <w:szCs w:val="22"/>
      <w:lang w:val="en-US"/>
    </w:rPr>
  </w:style>
  <w:style w:type="table" w:customStyle="1" w:styleId="LightShading-Accent11">
    <w:name w:val="Light Shading - Accent 11"/>
    <w:rsid w:val="00DD1150"/>
    <w:rPr>
      <w:rFonts w:cs="Calibri"/>
      <w:color w:val="365F91"/>
      <w:lang w:val="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Quote">
    <w:name w:val="Quote"/>
    <w:basedOn w:val="Normal"/>
    <w:next w:val="Normal"/>
    <w:link w:val="QuoteChar"/>
    <w:qFormat/>
    <w:rsid w:val="00803BD6"/>
    <w:rPr>
      <w:i/>
      <w:iCs/>
      <w:color w:val="000000"/>
    </w:rPr>
  </w:style>
  <w:style w:type="character" w:customStyle="1" w:styleId="QuoteChar">
    <w:name w:val="Quote Char"/>
    <w:basedOn w:val="DefaultParagraphFont"/>
    <w:link w:val="Quote"/>
    <w:locked/>
    <w:rsid w:val="00803BD6"/>
    <w:rPr>
      <w:rFonts w:cs="Times New Roman"/>
      <w:i/>
      <w:iCs/>
      <w:color w:val="000000"/>
    </w:rPr>
  </w:style>
  <w:style w:type="paragraph" w:styleId="ListParagraph">
    <w:name w:val="List Paragraph"/>
    <w:basedOn w:val="Normal"/>
    <w:uiPriority w:val="34"/>
    <w:qFormat/>
    <w:rsid w:val="005A0BC6"/>
    <w:pPr>
      <w:numPr>
        <w:numId w:val="12"/>
      </w:numPr>
      <w:spacing w:before="60" w:after="60"/>
    </w:pPr>
  </w:style>
  <w:style w:type="character" w:styleId="SubtleReference">
    <w:name w:val="Subtle Reference"/>
    <w:basedOn w:val="DefaultParagraphFont"/>
    <w:qFormat/>
    <w:rsid w:val="00803BD6"/>
    <w:rPr>
      <w:rFonts w:cs="Times New Roman"/>
      <w:smallCaps/>
      <w:color w:val="C0504D"/>
      <w:u w:val="single"/>
    </w:rPr>
  </w:style>
  <w:style w:type="character" w:styleId="IntenseReference">
    <w:name w:val="Intense Reference"/>
    <w:basedOn w:val="DefaultParagraphFont"/>
    <w:qFormat/>
    <w:rsid w:val="00803BD6"/>
    <w:rPr>
      <w:rFonts w:cs="Times New Roman"/>
      <w:b/>
      <w:bCs/>
      <w:smallCaps/>
      <w:color w:val="C0504D"/>
      <w:spacing w:val="5"/>
      <w:u w:val="single"/>
    </w:rPr>
  </w:style>
  <w:style w:type="table" w:customStyle="1" w:styleId="LightShading-Accent51">
    <w:name w:val="Light Shading - Accent 51"/>
    <w:rsid w:val="00803BD6"/>
    <w:rPr>
      <w:rFonts w:eastAsia="Times New Roman" w:cs="Calibri"/>
      <w:color w:val="31849B"/>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style>
  <w:style w:type="table" w:customStyle="1" w:styleId="LightShading1">
    <w:name w:val="Light Shading1"/>
    <w:rsid w:val="00803BD6"/>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1">
    <w:name w:val="Medium List 11"/>
    <w:rsid w:val="00803BD6"/>
    <w:rPr>
      <w:rFonts w:eastAsia="Times New Roman"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41">
    <w:name w:val="Light Shading - Accent 41"/>
    <w:rsid w:val="00803BD6"/>
    <w:rPr>
      <w:rFonts w:eastAsia="Times New Roman" w:cs="Calibri"/>
      <w:color w:val="5F497A"/>
    </w:rPr>
    <w:tblPr>
      <w:tblStyleRowBandSize w:val="1"/>
      <w:tblStyleColBandSize w:val="1"/>
      <w:tblBorders>
        <w:top w:val="single" w:sz="8" w:space="0" w:color="8064A2"/>
        <w:bottom w:val="single" w:sz="8" w:space="0" w:color="8064A2"/>
      </w:tblBorders>
      <w:tblCellMar>
        <w:top w:w="0" w:type="dxa"/>
        <w:left w:w="108" w:type="dxa"/>
        <w:bottom w:w="0" w:type="dxa"/>
        <w:right w:w="108" w:type="dxa"/>
      </w:tblCellMar>
    </w:tblPr>
  </w:style>
  <w:style w:type="table" w:customStyle="1" w:styleId="LightShading-Accent21">
    <w:name w:val="Light Shading - Accent 21"/>
    <w:rsid w:val="00803BD6"/>
    <w:rPr>
      <w:rFonts w:eastAsia="Times New Roman" w:cs="Calibri"/>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paragraph" w:styleId="ListNumber">
    <w:name w:val="List Number"/>
    <w:basedOn w:val="bt"/>
    <w:uiPriority w:val="99"/>
    <w:qFormat/>
    <w:rsid w:val="00E66D1C"/>
    <w:pPr>
      <w:numPr>
        <w:numId w:val="2"/>
      </w:numPr>
      <w:tabs>
        <w:tab w:val="num" w:pos="1209"/>
      </w:tabs>
      <w:ind w:hanging="284"/>
    </w:pPr>
  </w:style>
  <w:style w:type="paragraph" w:styleId="ListNumber2">
    <w:name w:val="List Number 2"/>
    <w:basedOn w:val="bt"/>
    <w:rsid w:val="00E66D1C"/>
    <w:pPr>
      <w:numPr>
        <w:numId w:val="3"/>
      </w:numPr>
      <w:tabs>
        <w:tab w:val="clear" w:pos="926"/>
        <w:tab w:val="num" w:pos="1134"/>
      </w:tabs>
      <w:ind w:left="1134" w:hanging="283"/>
    </w:pPr>
  </w:style>
  <w:style w:type="paragraph" w:styleId="ListNumber3">
    <w:name w:val="List Number 3"/>
    <w:basedOn w:val="bt"/>
    <w:next w:val="ListBullet3"/>
    <w:rsid w:val="00E66D1C"/>
    <w:pPr>
      <w:numPr>
        <w:numId w:val="4"/>
      </w:numPr>
      <w:tabs>
        <w:tab w:val="clear" w:pos="360"/>
        <w:tab w:val="num" w:pos="851"/>
        <w:tab w:val="num" w:pos="1418"/>
      </w:tabs>
      <w:ind w:left="1418" w:hanging="284"/>
    </w:pPr>
  </w:style>
  <w:style w:type="paragraph" w:styleId="ListNumber4">
    <w:name w:val="List Number 4"/>
    <w:basedOn w:val="bt"/>
    <w:rsid w:val="00E66D1C"/>
    <w:pPr>
      <w:numPr>
        <w:numId w:val="5"/>
      </w:numPr>
      <w:tabs>
        <w:tab w:val="clear" w:pos="643"/>
        <w:tab w:val="num" w:pos="926"/>
        <w:tab w:val="left" w:pos="1701"/>
      </w:tabs>
      <w:ind w:left="1701" w:hanging="283"/>
    </w:pPr>
  </w:style>
  <w:style w:type="table" w:customStyle="1" w:styleId="MediumGrid31">
    <w:name w:val="Medium Grid 31"/>
    <w:rsid w:val="00E66D1C"/>
    <w:rPr>
      <w:rFonts w:eastAsia="Times New Roman" w:cs="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customStyle="1" w:styleId="MediumShading1-Accent51">
    <w:name w:val="Medium Shading 1 - Accent 51"/>
    <w:rsid w:val="00E66D1C"/>
    <w:rPr>
      <w:rFonts w:eastAsia="Times New Roman" w:cs="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style>
  <w:style w:type="paragraph" w:customStyle="1" w:styleId="bttextbox">
    <w:name w:val="bt_textbox"/>
    <w:basedOn w:val="bt"/>
    <w:rsid w:val="00F379BE"/>
  </w:style>
  <w:style w:type="paragraph" w:customStyle="1" w:styleId="Default">
    <w:name w:val="Default"/>
    <w:rsid w:val="00A14432"/>
    <w:pPr>
      <w:autoSpaceDE w:val="0"/>
      <w:autoSpaceDN w:val="0"/>
      <w:adjustRightInd w:val="0"/>
    </w:pPr>
    <w:rPr>
      <w:rFonts w:ascii="DIN" w:eastAsia="Times New Roman" w:hAnsi="DIN" w:cs="DIN"/>
      <w:color w:val="000000"/>
      <w:sz w:val="24"/>
      <w:szCs w:val="24"/>
      <w:lang w:eastAsia="en-US"/>
    </w:rPr>
  </w:style>
  <w:style w:type="paragraph" w:styleId="TOC4">
    <w:name w:val="toc 4"/>
    <w:basedOn w:val="Normal"/>
    <w:next w:val="Normal"/>
    <w:autoRedefine/>
    <w:uiPriority w:val="39"/>
    <w:rsid w:val="00032955"/>
    <w:pPr>
      <w:spacing w:after="100"/>
      <w:ind w:left="660"/>
    </w:pPr>
  </w:style>
  <w:style w:type="paragraph" w:styleId="TOC5">
    <w:name w:val="toc 5"/>
    <w:basedOn w:val="Normal"/>
    <w:next w:val="Normal"/>
    <w:autoRedefine/>
    <w:uiPriority w:val="39"/>
    <w:rsid w:val="00032955"/>
    <w:pPr>
      <w:spacing w:after="100"/>
      <w:ind w:left="880"/>
    </w:pPr>
  </w:style>
  <w:style w:type="paragraph" w:styleId="TOC6">
    <w:name w:val="toc 6"/>
    <w:basedOn w:val="Normal"/>
    <w:next w:val="Normal"/>
    <w:autoRedefine/>
    <w:uiPriority w:val="39"/>
    <w:rsid w:val="00032955"/>
    <w:pPr>
      <w:spacing w:after="100"/>
      <w:ind w:left="1100"/>
    </w:pPr>
  </w:style>
  <w:style w:type="paragraph" w:styleId="TOC7">
    <w:name w:val="toc 7"/>
    <w:basedOn w:val="Normal"/>
    <w:next w:val="Normal"/>
    <w:autoRedefine/>
    <w:uiPriority w:val="39"/>
    <w:rsid w:val="00032955"/>
    <w:pPr>
      <w:spacing w:after="100"/>
      <w:ind w:left="1320"/>
    </w:pPr>
  </w:style>
  <w:style w:type="paragraph" w:styleId="TOC8">
    <w:name w:val="toc 8"/>
    <w:basedOn w:val="Normal"/>
    <w:next w:val="Normal"/>
    <w:autoRedefine/>
    <w:uiPriority w:val="39"/>
    <w:rsid w:val="00032955"/>
    <w:pPr>
      <w:spacing w:after="100"/>
      <w:ind w:left="1540"/>
    </w:pPr>
  </w:style>
  <w:style w:type="paragraph" w:styleId="TOC9">
    <w:name w:val="toc 9"/>
    <w:basedOn w:val="Normal"/>
    <w:next w:val="Normal"/>
    <w:autoRedefine/>
    <w:uiPriority w:val="39"/>
    <w:rsid w:val="00032955"/>
    <w:pPr>
      <w:spacing w:after="100"/>
      <w:ind w:left="1760"/>
    </w:pPr>
  </w:style>
  <w:style w:type="paragraph" w:styleId="NormalWeb">
    <w:name w:val="Normal (Web)"/>
    <w:basedOn w:val="Normal"/>
    <w:semiHidden/>
    <w:rsid w:val="00842BDD"/>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rsid w:val="00C507C7"/>
    <w:rPr>
      <w:rFonts w:cs="Times New Roman"/>
      <w:sz w:val="16"/>
      <w:szCs w:val="16"/>
    </w:rPr>
  </w:style>
  <w:style w:type="paragraph" w:styleId="CommentSubject">
    <w:name w:val="annotation subject"/>
    <w:basedOn w:val="CommentText"/>
    <w:next w:val="CommentText"/>
    <w:link w:val="CommentSubjectChar"/>
    <w:semiHidden/>
    <w:rsid w:val="00B67FA4"/>
    <w:pPr>
      <w:spacing w:after="200"/>
    </w:pPr>
    <w:rPr>
      <w:rFonts w:ascii="Calibri" w:eastAsia="Times New Roman" w:hAnsi="Calibri" w:cs="Calibri"/>
      <w:b/>
      <w:bCs/>
      <w:lang w:eastAsia="en-US"/>
    </w:rPr>
  </w:style>
  <w:style w:type="character" w:customStyle="1" w:styleId="CommentSubjectChar">
    <w:name w:val="Comment Subject Char"/>
    <w:basedOn w:val="CommentTextChar"/>
    <w:link w:val="CommentSubject"/>
    <w:semiHidden/>
    <w:locked/>
    <w:rsid w:val="00B67FA4"/>
    <w:rPr>
      <w:rFonts w:ascii="Arial" w:hAnsi="Arial" w:cs="Arial"/>
      <w:b/>
      <w:bCs/>
      <w:sz w:val="20"/>
      <w:szCs w:val="20"/>
      <w:lang w:eastAsia="en-AU"/>
    </w:rPr>
  </w:style>
  <w:style w:type="character" w:styleId="PlaceholderText">
    <w:name w:val="Placeholder Text"/>
    <w:basedOn w:val="DefaultParagraphFont"/>
    <w:semiHidden/>
    <w:rsid w:val="00C643C6"/>
    <w:rPr>
      <w:rFonts w:cs="Times New Roman"/>
      <w:color w:val="808080"/>
    </w:rPr>
  </w:style>
  <w:style w:type="paragraph" w:customStyle="1" w:styleId="RGPnormal">
    <w:name w:val="RGP normal"/>
    <w:basedOn w:val="Normal"/>
    <w:link w:val="RGPnormalChar"/>
    <w:rsid w:val="00096F44"/>
    <w:pPr>
      <w:spacing w:after="120" w:line="240" w:lineRule="auto"/>
    </w:pPr>
    <w:rPr>
      <w:rFonts w:ascii="Trebuchet MS" w:eastAsia="MS ????" w:hAnsi="Trebuchet MS" w:cs="Trebuchet MS"/>
    </w:rPr>
  </w:style>
  <w:style w:type="character" w:customStyle="1" w:styleId="RGPnormalChar">
    <w:name w:val="RGP normal Char"/>
    <w:basedOn w:val="DefaultParagraphFont"/>
    <w:link w:val="RGPnormal"/>
    <w:locked/>
    <w:rsid w:val="00096F44"/>
    <w:rPr>
      <w:rFonts w:ascii="Trebuchet MS" w:eastAsia="MS ????" w:hAnsi="Trebuchet MS" w:cs="Trebuchet MS"/>
      <w:sz w:val="22"/>
      <w:szCs w:val="22"/>
      <w:lang w:val="en-AU" w:eastAsia="en-AU"/>
    </w:rPr>
  </w:style>
  <w:style w:type="paragraph" w:customStyle="1" w:styleId="RGPHeading2">
    <w:name w:val="RGP Heading 2"/>
    <w:basedOn w:val="Heading2"/>
    <w:next w:val="RGPnormal"/>
    <w:link w:val="RGPHeading2Char"/>
    <w:rsid w:val="00BA213F"/>
    <w:pPr>
      <w:keepLines/>
      <w:numPr>
        <w:numId w:val="0"/>
      </w:numPr>
      <w:spacing w:before="200" w:after="120"/>
    </w:pPr>
    <w:rPr>
      <w:rFonts w:ascii="Trebuchet MS" w:eastAsia="MS Gothi" w:hAnsi="Trebuchet MS" w:cs="Trebuchet MS"/>
      <w:b w:val="0"/>
      <w:bCs w:val="0"/>
      <w:color w:val="79A400"/>
      <w:sz w:val="24"/>
      <w:szCs w:val="24"/>
      <w:lang w:val="en-US" w:eastAsia="en-US"/>
    </w:rPr>
  </w:style>
  <w:style w:type="character" w:customStyle="1" w:styleId="RGPHeading2Char">
    <w:name w:val="RGP Heading 2 Char"/>
    <w:basedOn w:val="DefaultParagraphFont"/>
    <w:link w:val="RGPHeading2"/>
    <w:locked/>
    <w:rsid w:val="00BA213F"/>
    <w:rPr>
      <w:rFonts w:ascii="Trebuchet MS" w:eastAsia="MS Gothi" w:hAnsi="Trebuchet MS" w:cs="Trebuchet MS"/>
      <w:color w:val="79A400"/>
      <w:sz w:val="22"/>
      <w:szCs w:val="22"/>
      <w:lang w:val="en-US" w:eastAsia="en-US"/>
    </w:rPr>
  </w:style>
  <w:style w:type="character" w:customStyle="1" w:styleId="RGPheading3SectionDChar">
    <w:name w:val="RGP heading 3 Section D Char"/>
    <w:link w:val="RGPheading3SectionD"/>
    <w:locked/>
    <w:rsid w:val="00BA213F"/>
    <w:rPr>
      <w:rFonts w:ascii="Trebuchet MS" w:hAnsi="Trebuchet MS"/>
      <w:b/>
      <w:bCs/>
      <w:color w:val="595959"/>
      <w:sz w:val="24"/>
    </w:rPr>
  </w:style>
  <w:style w:type="paragraph" w:customStyle="1" w:styleId="RGPheading3SectionD">
    <w:name w:val="RGP heading 3 Section D"/>
    <w:basedOn w:val="Heading3"/>
    <w:next w:val="RGPnormal"/>
    <w:link w:val="RGPheading3SectionDChar"/>
    <w:rsid w:val="00BA213F"/>
    <w:pPr>
      <w:spacing w:before="240" w:after="60"/>
      <w:ind w:left="357"/>
    </w:pPr>
    <w:rPr>
      <w:rFonts w:ascii="Trebuchet MS" w:hAnsi="Trebuchet MS"/>
      <w:sz w:val="24"/>
      <w:szCs w:val="20"/>
    </w:rPr>
  </w:style>
  <w:style w:type="paragraph" w:customStyle="1" w:styleId="StyleTrebuchetMS11ptLeft063cmAfter6pt">
    <w:name w:val="Style Trebuchet MS 11 pt Left:  0.63 cm After:  6 pt"/>
    <w:basedOn w:val="Normal"/>
    <w:rsid w:val="00BA213F"/>
    <w:pPr>
      <w:spacing w:line="240" w:lineRule="auto"/>
      <w:ind w:left="357"/>
    </w:pPr>
    <w:rPr>
      <w:rFonts w:ascii="Trebuchet MS" w:hAnsi="Trebuchet MS" w:cs="Trebuchet MS"/>
    </w:rPr>
  </w:style>
  <w:style w:type="paragraph" w:customStyle="1" w:styleId="Header-Left">
    <w:name w:val="Header-Left"/>
    <w:basedOn w:val="Normal"/>
    <w:rsid w:val="001B126D"/>
    <w:pPr>
      <w:spacing w:before="1100" w:after="0" w:line="240" w:lineRule="auto"/>
      <w:ind w:left="43"/>
    </w:pPr>
    <w:rPr>
      <w:rFonts w:ascii="Corbel" w:eastAsia="MS Gothi" w:hAnsi="Corbel" w:cs="Corbel"/>
      <w:color w:val="FF6600"/>
      <w:sz w:val="44"/>
      <w:szCs w:val="44"/>
      <w:lang w:val="en-US"/>
    </w:rPr>
  </w:style>
  <w:style w:type="paragraph" w:customStyle="1" w:styleId="Header-Right">
    <w:name w:val="Header-Right"/>
    <w:basedOn w:val="Normal"/>
    <w:rsid w:val="001B126D"/>
    <w:pPr>
      <w:spacing w:before="1000" w:after="0" w:line="240" w:lineRule="auto"/>
      <w:ind w:right="43"/>
      <w:jc w:val="right"/>
    </w:pPr>
    <w:rPr>
      <w:rFonts w:eastAsia="MS Gothi"/>
      <w:color w:val="A6A6A6"/>
      <w:sz w:val="68"/>
      <w:szCs w:val="68"/>
      <w:lang w:val="en-US"/>
    </w:rPr>
  </w:style>
  <w:style w:type="paragraph" w:customStyle="1" w:styleId="NoSpaceBetween">
    <w:name w:val="No Space Between"/>
    <w:basedOn w:val="Normal"/>
    <w:rsid w:val="001B126D"/>
    <w:pPr>
      <w:spacing w:after="0" w:line="240" w:lineRule="auto"/>
    </w:pPr>
    <w:rPr>
      <w:rFonts w:eastAsia="MS Gothi"/>
      <w:sz w:val="2"/>
      <w:szCs w:val="2"/>
      <w:lang w:val="en-US"/>
    </w:rPr>
  </w:style>
  <w:style w:type="character" w:styleId="FootnoteReference">
    <w:name w:val="footnote reference"/>
    <w:basedOn w:val="DefaultParagraphFont"/>
    <w:semiHidden/>
    <w:locked/>
    <w:rsid w:val="00315140"/>
    <w:rPr>
      <w:rFonts w:cs="Times New Roman"/>
      <w:vertAlign w:val="superscript"/>
    </w:rPr>
  </w:style>
  <w:style w:type="character" w:customStyle="1" w:styleId="btChar">
    <w:name w:val="bt Char"/>
    <w:basedOn w:val="DefaultParagraphFont"/>
    <w:link w:val="bt"/>
    <w:locked/>
    <w:rsid w:val="00854F5E"/>
    <w:rPr>
      <w:rFonts w:cs="Calibri"/>
    </w:rPr>
  </w:style>
  <w:style w:type="paragraph" w:customStyle="1" w:styleId="PMheading1">
    <w:name w:val="PM heading 1"/>
    <w:basedOn w:val="Normal"/>
    <w:rsid w:val="003825AB"/>
    <w:pPr>
      <w:numPr>
        <w:numId w:val="6"/>
      </w:numPr>
      <w:tabs>
        <w:tab w:val="clear" w:pos="926"/>
        <w:tab w:val="left" w:pos="567"/>
        <w:tab w:val="num" w:pos="643"/>
        <w:tab w:val="num" w:pos="720"/>
      </w:tabs>
      <w:spacing w:after="300"/>
      <w:ind w:left="720" w:right="-431"/>
    </w:pPr>
    <w:rPr>
      <w:rFonts w:ascii="Helvetica" w:hAnsi="Helvetica" w:cs="Helvetica"/>
      <w:b/>
      <w:bCs/>
      <w:color w:val="808000"/>
      <w:sz w:val="26"/>
      <w:szCs w:val="26"/>
      <w:lang w:val="en-US"/>
    </w:rPr>
  </w:style>
  <w:style w:type="paragraph" w:customStyle="1" w:styleId="Stylebt12ptBoldCentered">
    <w:name w:val="Style bt + 12 pt Bold Centered"/>
    <w:basedOn w:val="bt"/>
    <w:rsid w:val="00E635A9"/>
    <w:pPr>
      <w:spacing w:before="120" w:after="120"/>
      <w:jc w:val="center"/>
    </w:pPr>
    <w:rPr>
      <w:rFonts w:eastAsia="Times New Roman" w:cs="Times New Roman"/>
      <w:b/>
      <w:bCs/>
      <w:sz w:val="22"/>
    </w:rPr>
  </w:style>
  <w:style w:type="paragraph" w:styleId="Revision">
    <w:name w:val="Revision"/>
    <w:hidden/>
    <w:uiPriority w:val="99"/>
    <w:semiHidden/>
    <w:rsid w:val="007008A4"/>
    <w:rPr>
      <w:rFonts w:eastAsia="Times New Roman" w:cs="Calibri"/>
      <w:sz w:val="22"/>
      <w:szCs w:val="22"/>
      <w:lang w:eastAsia="en-US"/>
    </w:rPr>
  </w:style>
  <w:style w:type="paragraph" w:styleId="HTMLAddress">
    <w:name w:val="HTML Address"/>
    <w:basedOn w:val="Normal"/>
    <w:link w:val="HTMLAddressChar"/>
    <w:uiPriority w:val="99"/>
    <w:unhideWhenUsed/>
    <w:locked/>
    <w:rsid w:val="00A5618E"/>
    <w:pPr>
      <w:spacing w:after="0" w:line="240" w:lineRule="auto"/>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A5618E"/>
    <w:rPr>
      <w:rFonts w:ascii="Times New Roman" w:eastAsia="Times New Roman" w:hAnsi="Times New Roman"/>
      <w:i/>
      <w:iCs/>
      <w:sz w:val="24"/>
      <w:szCs w:val="24"/>
    </w:rPr>
  </w:style>
  <w:style w:type="paragraph" w:customStyle="1" w:styleId="Pa5">
    <w:name w:val="Pa5"/>
    <w:basedOn w:val="Default"/>
    <w:next w:val="Default"/>
    <w:uiPriority w:val="99"/>
    <w:rsid w:val="00A019EE"/>
    <w:pPr>
      <w:spacing w:line="191" w:lineRule="atLeast"/>
    </w:pPr>
    <w:rPr>
      <w:rFonts w:ascii="DINOT-Bold" w:eastAsia="Calibri" w:hAnsi="DINOT-Bold" w:cs="Times New Roman"/>
      <w:color w:val="auto"/>
      <w:lang w:eastAsia="en-AU"/>
    </w:rPr>
  </w:style>
  <w:style w:type="character" w:customStyle="1" w:styleId="A9">
    <w:name w:val="A9"/>
    <w:uiPriority w:val="99"/>
    <w:rsid w:val="00A019EE"/>
    <w:rPr>
      <w:rFonts w:cs="DINOT-Bold"/>
      <w:b/>
      <w:bCs/>
      <w:color w:val="353838"/>
      <w:sz w:val="22"/>
      <w:szCs w:val="22"/>
    </w:rPr>
  </w:style>
  <w:style w:type="character" w:customStyle="1" w:styleId="A2">
    <w:name w:val="A2"/>
    <w:uiPriority w:val="99"/>
    <w:rsid w:val="00A019EE"/>
    <w:rPr>
      <w:rFonts w:ascii="DINOT-Light" w:hAnsi="DINOT-Light" w:cs="DINOT-Light"/>
      <w:color w:val="221E1F"/>
      <w:sz w:val="16"/>
      <w:szCs w:val="16"/>
    </w:rPr>
  </w:style>
  <w:style w:type="character" w:customStyle="1" w:styleId="Style">
    <w:name w:val="Style"/>
    <w:basedOn w:val="FootnoteReference"/>
    <w:rsid w:val="0058514D"/>
    <w:rPr>
      <w:rFonts w:ascii="Verdana" w:hAnsi="Verdana" w:cs="Times New Roman"/>
      <w:sz w:val="20"/>
      <w:vertAlign w:val="superscript"/>
    </w:rPr>
  </w:style>
  <w:style w:type="paragraph" w:customStyle="1" w:styleId="Heading3colour">
    <w:name w:val="Heading 3 colour"/>
    <w:basedOn w:val="Heading3"/>
    <w:link w:val="Heading3colourChar"/>
    <w:qFormat/>
    <w:rsid w:val="00846D22"/>
    <w:pPr>
      <w:numPr>
        <w:ilvl w:val="0"/>
        <w:numId w:val="0"/>
      </w:numPr>
    </w:pPr>
    <w:rPr>
      <w:color w:val="E8C454"/>
    </w:rPr>
  </w:style>
  <w:style w:type="paragraph" w:customStyle="1" w:styleId="Heading3num">
    <w:name w:val="Heading 3 num"/>
    <w:basedOn w:val="Heading2"/>
    <w:link w:val="Heading3numChar"/>
    <w:rsid w:val="00B47ADF"/>
    <w:pPr>
      <w:numPr>
        <w:numId w:val="0"/>
      </w:numPr>
      <w:tabs>
        <w:tab w:val="num" w:pos="1456"/>
      </w:tabs>
      <w:ind w:left="851" w:hanging="851"/>
    </w:pPr>
    <w:rPr>
      <w:color w:val="595959"/>
      <w:sz w:val="26"/>
      <w:szCs w:val="26"/>
    </w:rPr>
  </w:style>
  <w:style w:type="character" w:customStyle="1" w:styleId="Heading3colourChar">
    <w:name w:val="Heading 3 colour Char"/>
    <w:basedOn w:val="Heading3Char"/>
    <w:link w:val="Heading3colour"/>
    <w:rsid w:val="00143E97"/>
    <w:rPr>
      <w:rFonts w:ascii="Verdana" w:hAnsi="Verdana"/>
      <w:b/>
      <w:bCs/>
      <w:color w:val="E8C454"/>
      <w:sz w:val="26"/>
      <w:szCs w:val="30"/>
    </w:rPr>
  </w:style>
  <w:style w:type="paragraph" w:customStyle="1" w:styleId="Heading5">
    <w:name w:val="Heading_5"/>
    <w:basedOn w:val="bt"/>
    <w:link w:val="Heading5Char"/>
    <w:qFormat/>
    <w:rsid w:val="00C544EC"/>
    <w:rPr>
      <w:rFonts w:ascii="Verdana" w:hAnsi="Verdana"/>
      <w:bCs/>
    </w:rPr>
  </w:style>
  <w:style w:type="character" w:customStyle="1" w:styleId="Heading3numChar">
    <w:name w:val="Heading 3 num Char"/>
    <w:basedOn w:val="Heading3Char"/>
    <w:link w:val="Heading3num"/>
    <w:rsid w:val="00B47ADF"/>
    <w:rPr>
      <w:rFonts w:ascii="Verdana" w:hAnsi="Verdana"/>
      <w:b/>
      <w:bCs/>
      <w:color w:val="595959"/>
      <w:sz w:val="26"/>
      <w:szCs w:val="26"/>
    </w:rPr>
  </w:style>
  <w:style w:type="character" w:customStyle="1" w:styleId="Heading5Char">
    <w:name w:val="Heading_5 Char"/>
    <w:basedOn w:val="btChar"/>
    <w:link w:val="Heading5"/>
    <w:rsid w:val="00C544EC"/>
    <w:rPr>
      <w:rFonts w:ascii="Verdana" w:hAnsi="Verdana" w:cs="Calibri"/>
      <w:bCs/>
      <w:lang w:val="en-AU" w:eastAsia="en-AU" w:bidi="ar-SA"/>
    </w:rPr>
  </w:style>
  <w:style w:type="paragraph" w:customStyle="1" w:styleId="DOTBodyCopy">
    <w:name w:val="DOT Body Copy"/>
    <w:basedOn w:val="Normal"/>
    <w:rsid w:val="00F96C06"/>
    <w:pPr>
      <w:spacing w:before="120" w:after="120" w:line="240" w:lineRule="auto"/>
    </w:pPr>
    <w:rPr>
      <w:rFonts w:ascii="Arial" w:eastAsia="Times New Roman" w:hAnsi="Arial"/>
      <w:color w:val="000000"/>
      <w:szCs w:val="20"/>
      <w:lang w:eastAsia="en-US"/>
    </w:rPr>
  </w:style>
  <w:style w:type="paragraph" w:customStyle="1" w:styleId="st">
    <w:name w:val="st"/>
    <w:basedOn w:val="bt"/>
    <w:rsid w:val="00542DE6"/>
  </w:style>
  <w:style w:type="paragraph" w:styleId="EndnoteText">
    <w:name w:val="endnote text"/>
    <w:basedOn w:val="Normal"/>
    <w:link w:val="EndnoteTextChar"/>
    <w:locked/>
    <w:rsid w:val="00B716D4"/>
    <w:pPr>
      <w:spacing w:before="0" w:after="0" w:line="240" w:lineRule="auto"/>
    </w:pPr>
    <w:rPr>
      <w:szCs w:val="20"/>
    </w:rPr>
  </w:style>
  <w:style w:type="character" w:customStyle="1" w:styleId="EndnoteTextChar">
    <w:name w:val="Endnote Text Char"/>
    <w:basedOn w:val="DefaultParagraphFont"/>
    <w:link w:val="EndnoteText"/>
    <w:rsid w:val="00B716D4"/>
    <w:rPr>
      <w:rFonts w:ascii="Verdana" w:hAnsi="Verdana"/>
    </w:rPr>
  </w:style>
  <w:style w:type="character" w:styleId="EndnoteReference">
    <w:name w:val="endnote reference"/>
    <w:basedOn w:val="DefaultParagraphFont"/>
    <w:locked/>
    <w:rsid w:val="00B716D4"/>
    <w:rPr>
      <w:vertAlign w:val="superscript"/>
    </w:rPr>
  </w:style>
  <w:style w:type="paragraph" w:customStyle="1" w:styleId="Header-Main">
    <w:name w:val="Header-Main"/>
    <w:basedOn w:val="Header"/>
    <w:link w:val="Header-MainChar"/>
    <w:qFormat/>
    <w:rsid w:val="00E36E5F"/>
    <w:pPr>
      <w:pBdr>
        <w:bottom w:val="single" w:sz="4" w:space="1" w:color="5F497A" w:themeColor="accent4" w:themeShade="BF"/>
        <w:between w:val="single" w:sz="4" w:space="1" w:color="5F497A" w:themeColor="accent4" w:themeShade="BF"/>
      </w:pBdr>
      <w:tabs>
        <w:tab w:val="clear" w:pos="9026"/>
        <w:tab w:val="right" w:pos="9072"/>
      </w:tabs>
      <w:spacing w:before="0" w:line="276" w:lineRule="auto"/>
      <w:jc w:val="center"/>
    </w:pPr>
    <w:rPr>
      <w:rFonts w:eastAsiaTheme="minorEastAsia" w:cstheme="minorBidi"/>
      <w:b/>
      <w:szCs w:val="22"/>
      <w:lang w:val="en-US" w:eastAsia="en-US"/>
    </w:rPr>
  </w:style>
  <w:style w:type="paragraph" w:customStyle="1" w:styleId="Header-Sub">
    <w:name w:val="Header-Sub"/>
    <w:basedOn w:val="Header"/>
    <w:link w:val="Header-SubChar"/>
    <w:qFormat/>
    <w:rsid w:val="00E36E5F"/>
    <w:pPr>
      <w:pBdr>
        <w:bottom w:val="single" w:sz="4" w:space="1" w:color="5F497A" w:themeColor="accent4" w:themeShade="BF"/>
        <w:between w:val="single" w:sz="4" w:space="1" w:color="5F497A" w:themeColor="accent4" w:themeShade="BF"/>
      </w:pBdr>
      <w:tabs>
        <w:tab w:val="clear" w:pos="9026"/>
        <w:tab w:val="right" w:pos="9072"/>
      </w:tabs>
      <w:spacing w:before="0" w:line="276" w:lineRule="auto"/>
      <w:jc w:val="center"/>
    </w:pPr>
    <w:rPr>
      <w:rFonts w:eastAsiaTheme="minorEastAsia" w:cstheme="minorBidi"/>
      <w:szCs w:val="22"/>
      <w:lang w:val="en-US" w:eastAsia="en-US"/>
    </w:rPr>
  </w:style>
  <w:style w:type="character" w:customStyle="1" w:styleId="Header-MainChar">
    <w:name w:val="Header-Main Char"/>
    <w:basedOn w:val="HeaderChar"/>
    <w:link w:val="Header-Main"/>
    <w:rsid w:val="00E36E5F"/>
    <w:rPr>
      <w:rFonts w:asciiTheme="minorHAnsi" w:eastAsiaTheme="minorEastAsia" w:hAnsiTheme="minorHAnsi" w:cstheme="minorBidi"/>
      <w:b/>
      <w:szCs w:val="22"/>
      <w:lang w:val="en-US" w:eastAsia="en-US"/>
    </w:rPr>
  </w:style>
  <w:style w:type="character" w:customStyle="1" w:styleId="Header-SubChar">
    <w:name w:val="Header-Sub Char"/>
    <w:basedOn w:val="HeaderChar"/>
    <w:link w:val="Header-Sub"/>
    <w:rsid w:val="00E36E5F"/>
    <w:rPr>
      <w:rFonts w:asciiTheme="minorHAnsi" w:eastAsiaTheme="minorEastAsia" w:hAnsiTheme="minorHAnsi" w:cstheme="minorBidi"/>
      <w:szCs w:val="22"/>
      <w:lang w:val="en-US" w:eastAsia="en-US"/>
    </w:rPr>
  </w:style>
  <w:style w:type="character" w:customStyle="1" w:styleId="CaptionChar">
    <w:name w:val="Caption Char"/>
    <w:basedOn w:val="btChar"/>
    <w:link w:val="Caption"/>
    <w:rsid w:val="00C50E1E"/>
    <w:rPr>
      <w:rFonts w:cs="Arial"/>
      <w:b/>
      <w:i/>
      <w:iCs/>
      <w:noProof/>
      <w:color w:val="333333"/>
    </w:rPr>
  </w:style>
  <w:style w:type="paragraph" w:customStyle="1" w:styleId="StyleListNumberLeft0cmFirstline0cm">
    <w:name w:val="Style List Number + Left:  0 cm First line:  0 cm"/>
    <w:basedOn w:val="ListNumber"/>
    <w:rsid w:val="00F657E9"/>
    <w:pPr>
      <w:tabs>
        <w:tab w:val="clear" w:pos="851"/>
      </w:tabs>
      <w:ind w:left="0" w:firstLine="0"/>
    </w:pPr>
    <w:rPr>
      <w:rFonts w:eastAsia="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6">
          <w:marLeft w:val="720"/>
          <w:marRight w:val="720"/>
          <w:marTop w:val="100"/>
          <w:marBottom w:val="10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620496592">
      <w:bodyDiv w:val="1"/>
      <w:marLeft w:val="0"/>
      <w:marRight w:val="0"/>
      <w:marTop w:val="0"/>
      <w:marBottom w:val="0"/>
      <w:divBdr>
        <w:top w:val="none" w:sz="0" w:space="0" w:color="auto"/>
        <w:left w:val="none" w:sz="0" w:space="0" w:color="auto"/>
        <w:bottom w:val="none" w:sz="0" w:space="0" w:color="auto"/>
        <w:right w:val="none" w:sz="0" w:space="0" w:color="auto"/>
      </w:divBdr>
    </w:div>
    <w:div w:id="651645286">
      <w:bodyDiv w:val="1"/>
      <w:marLeft w:val="0"/>
      <w:marRight w:val="0"/>
      <w:marTop w:val="0"/>
      <w:marBottom w:val="0"/>
      <w:divBdr>
        <w:top w:val="none" w:sz="0" w:space="0" w:color="auto"/>
        <w:left w:val="none" w:sz="0" w:space="0" w:color="auto"/>
        <w:bottom w:val="none" w:sz="0" w:space="0" w:color="auto"/>
        <w:right w:val="none" w:sz="0" w:space="0" w:color="auto"/>
      </w:divBdr>
    </w:div>
    <w:div w:id="978727207">
      <w:bodyDiv w:val="1"/>
      <w:marLeft w:val="0"/>
      <w:marRight w:val="0"/>
      <w:marTop w:val="0"/>
      <w:marBottom w:val="0"/>
      <w:divBdr>
        <w:top w:val="none" w:sz="0" w:space="0" w:color="auto"/>
        <w:left w:val="none" w:sz="0" w:space="0" w:color="auto"/>
        <w:bottom w:val="none" w:sz="0" w:space="0" w:color="auto"/>
        <w:right w:val="none" w:sz="0" w:space="0" w:color="auto"/>
      </w:divBdr>
    </w:div>
    <w:div w:id="1073166573">
      <w:bodyDiv w:val="1"/>
      <w:marLeft w:val="0"/>
      <w:marRight w:val="0"/>
      <w:marTop w:val="0"/>
      <w:marBottom w:val="0"/>
      <w:divBdr>
        <w:top w:val="none" w:sz="0" w:space="0" w:color="auto"/>
        <w:left w:val="none" w:sz="0" w:space="0" w:color="auto"/>
        <w:bottom w:val="none" w:sz="0" w:space="0" w:color="auto"/>
        <w:right w:val="none" w:sz="0" w:space="0" w:color="auto"/>
      </w:divBdr>
    </w:div>
    <w:div w:id="1110442022">
      <w:bodyDiv w:val="1"/>
      <w:marLeft w:val="0"/>
      <w:marRight w:val="0"/>
      <w:marTop w:val="0"/>
      <w:marBottom w:val="0"/>
      <w:divBdr>
        <w:top w:val="none" w:sz="0" w:space="0" w:color="auto"/>
        <w:left w:val="none" w:sz="0" w:space="0" w:color="auto"/>
        <w:bottom w:val="none" w:sz="0" w:space="0" w:color="auto"/>
        <w:right w:val="none" w:sz="0" w:space="0" w:color="auto"/>
      </w:divBdr>
    </w:div>
    <w:div w:id="1124274152">
      <w:bodyDiv w:val="1"/>
      <w:marLeft w:val="0"/>
      <w:marRight w:val="0"/>
      <w:marTop w:val="0"/>
      <w:marBottom w:val="0"/>
      <w:divBdr>
        <w:top w:val="none" w:sz="0" w:space="0" w:color="auto"/>
        <w:left w:val="none" w:sz="0" w:space="0" w:color="auto"/>
        <w:bottom w:val="none" w:sz="0" w:space="0" w:color="auto"/>
        <w:right w:val="none" w:sz="0" w:space="0" w:color="auto"/>
      </w:divBdr>
    </w:div>
    <w:div w:id="1216547095">
      <w:bodyDiv w:val="1"/>
      <w:marLeft w:val="0"/>
      <w:marRight w:val="0"/>
      <w:marTop w:val="0"/>
      <w:marBottom w:val="0"/>
      <w:divBdr>
        <w:top w:val="none" w:sz="0" w:space="0" w:color="auto"/>
        <w:left w:val="none" w:sz="0" w:space="0" w:color="auto"/>
        <w:bottom w:val="none" w:sz="0" w:space="0" w:color="auto"/>
        <w:right w:val="none" w:sz="0" w:space="0" w:color="auto"/>
      </w:divBdr>
      <w:divsChild>
        <w:div w:id="1362245968">
          <w:marLeft w:val="0"/>
          <w:marRight w:val="0"/>
          <w:marTop w:val="0"/>
          <w:marBottom w:val="0"/>
          <w:divBdr>
            <w:top w:val="none" w:sz="0" w:space="0" w:color="auto"/>
            <w:left w:val="none" w:sz="0" w:space="0" w:color="auto"/>
            <w:bottom w:val="none" w:sz="0" w:space="0" w:color="auto"/>
            <w:right w:val="none" w:sz="0" w:space="0" w:color="auto"/>
          </w:divBdr>
          <w:divsChild>
            <w:div w:id="1941720432">
              <w:marLeft w:val="0"/>
              <w:marRight w:val="0"/>
              <w:marTop w:val="0"/>
              <w:marBottom w:val="0"/>
              <w:divBdr>
                <w:top w:val="none" w:sz="0" w:space="0" w:color="auto"/>
                <w:left w:val="none" w:sz="0" w:space="0" w:color="auto"/>
                <w:bottom w:val="none" w:sz="0" w:space="0" w:color="auto"/>
                <w:right w:val="none" w:sz="0" w:space="0" w:color="auto"/>
              </w:divBdr>
              <w:divsChild>
                <w:div w:id="1363551584">
                  <w:marLeft w:val="0"/>
                  <w:marRight w:val="0"/>
                  <w:marTop w:val="0"/>
                  <w:marBottom w:val="0"/>
                  <w:divBdr>
                    <w:top w:val="none" w:sz="0" w:space="0" w:color="auto"/>
                    <w:left w:val="none" w:sz="0" w:space="0" w:color="auto"/>
                    <w:bottom w:val="none" w:sz="0" w:space="0" w:color="auto"/>
                    <w:right w:val="none" w:sz="0" w:space="0" w:color="auto"/>
                  </w:divBdr>
                  <w:divsChild>
                    <w:div w:id="198471420">
                      <w:marLeft w:val="0"/>
                      <w:marRight w:val="0"/>
                      <w:marTop w:val="0"/>
                      <w:marBottom w:val="0"/>
                      <w:divBdr>
                        <w:top w:val="none" w:sz="0" w:space="0" w:color="auto"/>
                        <w:left w:val="none" w:sz="0" w:space="0" w:color="auto"/>
                        <w:bottom w:val="none" w:sz="0" w:space="0" w:color="auto"/>
                        <w:right w:val="none" w:sz="0" w:space="0" w:color="auto"/>
                      </w:divBdr>
                      <w:divsChild>
                        <w:div w:id="908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311">
      <w:bodyDiv w:val="1"/>
      <w:marLeft w:val="0"/>
      <w:marRight w:val="0"/>
      <w:marTop w:val="0"/>
      <w:marBottom w:val="0"/>
      <w:divBdr>
        <w:top w:val="none" w:sz="0" w:space="0" w:color="auto"/>
        <w:left w:val="none" w:sz="0" w:space="0" w:color="auto"/>
        <w:bottom w:val="none" w:sz="0" w:space="0" w:color="auto"/>
        <w:right w:val="none" w:sz="0" w:space="0" w:color="auto"/>
      </w:divBdr>
    </w:div>
    <w:div w:id="1283803933">
      <w:bodyDiv w:val="1"/>
      <w:marLeft w:val="0"/>
      <w:marRight w:val="0"/>
      <w:marTop w:val="0"/>
      <w:marBottom w:val="0"/>
      <w:divBdr>
        <w:top w:val="none" w:sz="0" w:space="0" w:color="auto"/>
        <w:left w:val="none" w:sz="0" w:space="0" w:color="auto"/>
        <w:bottom w:val="none" w:sz="0" w:space="0" w:color="auto"/>
        <w:right w:val="none" w:sz="0" w:space="0" w:color="auto"/>
      </w:divBdr>
    </w:div>
    <w:div w:id="1409112854">
      <w:bodyDiv w:val="1"/>
      <w:marLeft w:val="0"/>
      <w:marRight w:val="0"/>
      <w:marTop w:val="0"/>
      <w:marBottom w:val="0"/>
      <w:divBdr>
        <w:top w:val="none" w:sz="0" w:space="0" w:color="auto"/>
        <w:left w:val="none" w:sz="0" w:space="0" w:color="auto"/>
        <w:bottom w:val="none" w:sz="0" w:space="0" w:color="auto"/>
        <w:right w:val="none" w:sz="0" w:space="0" w:color="auto"/>
      </w:divBdr>
    </w:div>
    <w:div w:id="1444035290">
      <w:bodyDiv w:val="1"/>
      <w:marLeft w:val="0"/>
      <w:marRight w:val="0"/>
      <w:marTop w:val="0"/>
      <w:marBottom w:val="0"/>
      <w:divBdr>
        <w:top w:val="none" w:sz="0" w:space="0" w:color="auto"/>
        <w:left w:val="none" w:sz="0" w:space="0" w:color="auto"/>
        <w:bottom w:val="none" w:sz="0" w:space="0" w:color="auto"/>
        <w:right w:val="none" w:sz="0" w:space="0" w:color="auto"/>
      </w:divBdr>
    </w:div>
    <w:div w:id="1470514218">
      <w:bodyDiv w:val="1"/>
      <w:marLeft w:val="0"/>
      <w:marRight w:val="0"/>
      <w:marTop w:val="0"/>
      <w:marBottom w:val="0"/>
      <w:divBdr>
        <w:top w:val="none" w:sz="0" w:space="0" w:color="auto"/>
        <w:left w:val="none" w:sz="0" w:space="0" w:color="auto"/>
        <w:bottom w:val="none" w:sz="0" w:space="0" w:color="auto"/>
        <w:right w:val="none" w:sz="0" w:space="0" w:color="auto"/>
      </w:divBdr>
    </w:div>
    <w:div w:id="1619870584">
      <w:bodyDiv w:val="1"/>
      <w:marLeft w:val="0"/>
      <w:marRight w:val="0"/>
      <w:marTop w:val="0"/>
      <w:marBottom w:val="0"/>
      <w:divBdr>
        <w:top w:val="none" w:sz="0" w:space="0" w:color="auto"/>
        <w:left w:val="none" w:sz="0" w:space="0" w:color="auto"/>
        <w:bottom w:val="none" w:sz="0" w:space="0" w:color="auto"/>
        <w:right w:val="none" w:sz="0" w:space="0" w:color="auto"/>
      </w:divBdr>
    </w:div>
    <w:div w:id="1988631303">
      <w:bodyDiv w:val="1"/>
      <w:marLeft w:val="0"/>
      <w:marRight w:val="0"/>
      <w:marTop w:val="0"/>
      <w:marBottom w:val="0"/>
      <w:divBdr>
        <w:top w:val="none" w:sz="0" w:space="0" w:color="auto"/>
        <w:left w:val="none" w:sz="0" w:space="0" w:color="auto"/>
        <w:bottom w:val="none" w:sz="0" w:space="0" w:color="auto"/>
        <w:right w:val="none" w:sz="0" w:space="0" w:color="auto"/>
      </w:divBdr>
    </w:div>
    <w:div w:id="214364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pcd.vic.gov.au/regionalgrowthplans" TargetMode="External"/><Relationship Id="rId13" Type="http://schemas.openxmlformats.org/officeDocument/2006/relationships/header" Target="header4.xml"/><Relationship Id="rId18" Type="http://schemas.openxmlformats.org/officeDocument/2006/relationships/header" Target="header7.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www.dtpli.vic.gov.au/regionalgrowthplans"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C7B24-EC1C-467F-A48D-02B1A9BD1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70</Pages>
  <Words>28403</Words>
  <Characters>167238</Characters>
  <Application>Microsoft Office Word</Application>
  <DocSecurity>0</DocSecurity>
  <Lines>1393</Lines>
  <Paragraphs>390</Paragraphs>
  <ScaleCrop>false</ScaleCrop>
  <HeadingPairs>
    <vt:vector size="2" baseType="variant">
      <vt:variant>
        <vt:lpstr>Title</vt:lpstr>
      </vt:variant>
      <vt:variant>
        <vt:i4>1</vt:i4>
      </vt:variant>
    </vt:vector>
  </HeadingPairs>
  <TitlesOfParts>
    <vt:vector size="1" baseType="lpstr">
      <vt:lpstr>Annotated Template for</vt:lpstr>
    </vt:vector>
  </TitlesOfParts>
  <Company>CenITex</Company>
  <LinksUpToDate>false</LinksUpToDate>
  <CharactersWithSpaces>195251</CharactersWithSpaces>
  <SharedDoc>false</SharedDoc>
  <HLinks>
    <vt:vector size="258" baseType="variant">
      <vt:variant>
        <vt:i4>1966160</vt:i4>
      </vt:variant>
      <vt:variant>
        <vt:i4>294</vt:i4>
      </vt:variant>
      <vt:variant>
        <vt:i4>0</vt:i4>
      </vt:variant>
      <vt:variant>
        <vt:i4>5</vt:i4>
      </vt:variant>
      <vt:variant>
        <vt:lpwstr>http://www.dpcd.vic.gov.au/loddonmalleesouth/rgp</vt:lpwstr>
      </vt:variant>
      <vt:variant>
        <vt:lpwstr/>
      </vt:variant>
      <vt:variant>
        <vt:i4>1114175</vt:i4>
      </vt:variant>
      <vt:variant>
        <vt:i4>239</vt:i4>
      </vt:variant>
      <vt:variant>
        <vt:i4>0</vt:i4>
      </vt:variant>
      <vt:variant>
        <vt:i4>5</vt:i4>
      </vt:variant>
      <vt:variant>
        <vt:lpwstr/>
      </vt:variant>
      <vt:variant>
        <vt:lpwstr>_Toc352687622</vt:lpwstr>
      </vt:variant>
      <vt:variant>
        <vt:i4>1114175</vt:i4>
      </vt:variant>
      <vt:variant>
        <vt:i4>233</vt:i4>
      </vt:variant>
      <vt:variant>
        <vt:i4>0</vt:i4>
      </vt:variant>
      <vt:variant>
        <vt:i4>5</vt:i4>
      </vt:variant>
      <vt:variant>
        <vt:lpwstr/>
      </vt:variant>
      <vt:variant>
        <vt:lpwstr>_Toc352687621</vt:lpwstr>
      </vt:variant>
      <vt:variant>
        <vt:i4>1114175</vt:i4>
      </vt:variant>
      <vt:variant>
        <vt:i4>227</vt:i4>
      </vt:variant>
      <vt:variant>
        <vt:i4>0</vt:i4>
      </vt:variant>
      <vt:variant>
        <vt:i4>5</vt:i4>
      </vt:variant>
      <vt:variant>
        <vt:lpwstr/>
      </vt:variant>
      <vt:variant>
        <vt:lpwstr>_Toc352687620</vt:lpwstr>
      </vt:variant>
      <vt:variant>
        <vt:i4>1179711</vt:i4>
      </vt:variant>
      <vt:variant>
        <vt:i4>221</vt:i4>
      </vt:variant>
      <vt:variant>
        <vt:i4>0</vt:i4>
      </vt:variant>
      <vt:variant>
        <vt:i4>5</vt:i4>
      </vt:variant>
      <vt:variant>
        <vt:lpwstr/>
      </vt:variant>
      <vt:variant>
        <vt:lpwstr>_Toc352687619</vt:lpwstr>
      </vt:variant>
      <vt:variant>
        <vt:i4>1179711</vt:i4>
      </vt:variant>
      <vt:variant>
        <vt:i4>215</vt:i4>
      </vt:variant>
      <vt:variant>
        <vt:i4>0</vt:i4>
      </vt:variant>
      <vt:variant>
        <vt:i4>5</vt:i4>
      </vt:variant>
      <vt:variant>
        <vt:lpwstr/>
      </vt:variant>
      <vt:variant>
        <vt:lpwstr>_Toc352687618</vt:lpwstr>
      </vt:variant>
      <vt:variant>
        <vt:i4>1179711</vt:i4>
      </vt:variant>
      <vt:variant>
        <vt:i4>209</vt:i4>
      </vt:variant>
      <vt:variant>
        <vt:i4>0</vt:i4>
      </vt:variant>
      <vt:variant>
        <vt:i4>5</vt:i4>
      </vt:variant>
      <vt:variant>
        <vt:lpwstr/>
      </vt:variant>
      <vt:variant>
        <vt:lpwstr>_Toc352687617</vt:lpwstr>
      </vt:variant>
      <vt:variant>
        <vt:i4>1179711</vt:i4>
      </vt:variant>
      <vt:variant>
        <vt:i4>203</vt:i4>
      </vt:variant>
      <vt:variant>
        <vt:i4>0</vt:i4>
      </vt:variant>
      <vt:variant>
        <vt:i4>5</vt:i4>
      </vt:variant>
      <vt:variant>
        <vt:lpwstr/>
      </vt:variant>
      <vt:variant>
        <vt:lpwstr>_Toc352687616</vt:lpwstr>
      </vt:variant>
      <vt:variant>
        <vt:i4>1179711</vt:i4>
      </vt:variant>
      <vt:variant>
        <vt:i4>197</vt:i4>
      </vt:variant>
      <vt:variant>
        <vt:i4>0</vt:i4>
      </vt:variant>
      <vt:variant>
        <vt:i4>5</vt:i4>
      </vt:variant>
      <vt:variant>
        <vt:lpwstr/>
      </vt:variant>
      <vt:variant>
        <vt:lpwstr>_Toc352687615</vt:lpwstr>
      </vt:variant>
      <vt:variant>
        <vt:i4>1179711</vt:i4>
      </vt:variant>
      <vt:variant>
        <vt:i4>191</vt:i4>
      </vt:variant>
      <vt:variant>
        <vt:i4>0</vt:i4>
      </vt:variant>
      <vt:variant>
        <vt:i4>5</vt:i4>
      </vt:variant>
      <vt:variant>
        <vt:lpwstr/>
      </vt:variant>
      <vt:variant>
        <vt:lpwstr>_Toc352687614</vt:lpwstr>
      </vt:variant>
      <vt:variant>
        <vt:i4>1179711</vt:i4>
      </vt:variant>
      <vt:variant>
        <vt:i4>185</vt:i4>
      </vt:variant>
      <vt:variant>
        <vt:i4>0</vt:i4>
      </vt:variant>
      <vt:variant>
        <vt:i4>5</vt:i4>
      </vt:variant>
      <vt:variant>
        <vt:lpwstr/>
      </vt:variant>
      <vt:variant>
        <vt:lpwstr>_Toc352687613</vt:lpwstr>
      </vt:variant>
      <vt:variant>
        <vt:i4>1179711</vt:i4>
      </vt:variant>
      <vt:variant>
        <vt:i4>179</vt:i4>
      </vt:variant>
      <vt:variant>
        <vt:i4>0</vt:i4>
      </vt:variant>
      <vt:variant>
        <vt:i4>5</vt:i4>
      </vt:variant>
      <vt:variant>
        <vt:lpwstr/>
      </vt:variant>
      <vt:variant>
        <vt:lpwstr>_Toc352687612</vt:lpwstr>
      </vt:variant>
      <vt:variant>
        <vt:i4>1179711</vt:i4>
      </vt:variant>
      <vt:variant>
        <vt:i4>173</vt:i4>
      </vt:variant>
      <vt:variant>
        <vt:i4>0</vt:i4>
      </vt:variant>
      <vt:variant>
        <vt:i4>5</vt:i4>
      </vt:variant>
      <vt:variant>
        <vt:lpwstr/>
      </vt:variant>
      <vt:variant>
        <vt:lpwstr>_Toc352687611</vt:lpwstr>
      </vt:variant>
      <vt:variant>
        <vt:i4>1179711</vt:i4>
      </vt:variant>
      <vt:variant>
        <vt:i4>167</vt:i4>
      </vt:variant>
      <vt:variant>
        <vt:i4>0</vt:i4>
      </vt:variant>
      <vt:variant>
        <vt:i4>5</vt:i4>
      </vt:variant>
      <vt:variant>
        <vt:lpwstr/>
      </vt:variant>
      <vt:variant>
        <vt:lpwstr>_Toc352687610</vt:lpwstr>
      </vt:variant>
      <vt:variant>
        <vt:i4>1245247</vt:i4>
      </vt:variant>
      <vt:variant>
        <vt:i4>161</vt:i4>
      </vt:variant>
      <vt:variant>
        <vt:i4>0</vt:i4>
      </vt:variant>
      <vt:variant>
        <vt:i4>5</vt:i4>
      </vt:variant>
      <vt:variant>
        <vt:lpwstr/>
      </vt:variant>
      <vt:variant>
        <vt:lpwstr>_Toc352687609</vt:lpwstr>
      </vt:variant>
      <vt:variant>
        <vt:i4>1245247</vt:i4>
      </vt:variant>
      <vt:variant>
        <vt:i4>155</vt:i4>
      </vt:variant>
      <vt:variant>
        <vt:i4>0</vt:i4>
      </vt:variant>
      <vt:variant>
        <vt:i4>5</vt:i4>
      </vt:variant>
      <vt:variant>
        <vt:lpwstr/>
      </vt:variant>
      <vt:variant>
        <vt:lpwstr>_Toc352687608</vt:lpwstr>
      </vt:variant>
      <vt:variant>
        <vt:i4>1245247</vt:i4>
      </vt:variant>
      <vt:variant>
        <vt:i4>149</vt:i4>
      </vt:variant>
      <vt:variant>
        <vt:i4>0</vt:i4>
      </vt:variant>
      <vt:variant>
        <vt:i4>5</vt:i4>
      </vt:variant>
      <vt:variant>
        <vt:lpwstr/>
      </vt:variant>
      <vt:variant>
        <vt:lpwstr>_Toc352687607</vt:lpwstr>
      </vt:variant>
      <vt:variant>
        <vt:i4>1245247</vt:i4>
      </vt:variant>
      <vt:variant>
        <vt:i4>143</vt:i4>
      </vt:variant>
      <vt:variant>
        <vt:i4>0</vt:i4>
      </vt:variant>
      <vt:variant>
        <vt:i4>5</vt:i4>
      </vt:variant>
      <vt:variant>
        <vt:lpwstr/>
      </vt:variant>
      <vt:variant>
        <vt:lpwstr>_Toc352687606</vt:lpwstr>
      </vt:variant>
      <vt:variant>
        <vt:i4>1245247</vt:i4>
      </vt:variant>
      <vt:variant>
        <vt:i4>137</vt:i4>
      </vt:variant>
      <vt:variant>
        <vt:i4>0</vt:i4>
      </vt:variant>
      <vt:variant>
        <vt:i4>5</vt:i4>
      </vt:variant>
      <vt:variant>
        <vt:lpwstr/>
      </vt:variant>
      <vt:variant>
        <vt:lpwstr>_Toc352687605</vt:lpwstr>
      </vt:variant>
      <vt:variant>
        <vt:i4>1245247</vt:i4>
      </vt:variant>
      <vt:variant>
        <vt:i4>131</vt:i4>
      </vt:variant>
      <vt:variant>
        <vt:i4>0</vt:i4>
      </vt:variant>
      <vt:variant>
        <vt:i4>5</vt:i4>
      </vt:variant>
      <vt:variant>
        <vt:lpwstr/>
      </vt:variant>
      <vt:variant>
        <vt:lpwstr>_Toc352687604</vt:lpwstr>
      </vt:variant>
      <vt:variant>
        <vt:i4>1245247</vt:i4>
      </vt:variant>
      <vt:variant>
        <vt:i4>125</vt:i4>
      </vt:variant>
      <vt:variant>
        <vt:i4>0</vt:i4>
      </vt:variant>
      <vt:variant>
        <vt:i4>5</vt:i4>
      </vt:variant>
      <vt:variant>
        <vt:lpwstr/>
      </vt:variant>
      <vt:variant>
        <vt:lpwstr>_Toc352687603</vt:lpwstr>
      </vt:variant>
      <vt:variant>
        <vt:i4>1245247</vt:i4>
      </vt:variant>
      <vt:variant>
        <vt:i4>119</vt:i4>
      </vt:variant>
      <vt:variant>
        <vt:i4>0</vt:i4>
      </vt:variant>
      <vt:variant>
        <vt:i4>5</vt:i4>
      </vt:variant>
      <vt:variant>
        <vt:lpwstr/>
      </vt:variant>
      <vt:variant>
        <vt:lpwstr>_Toc352687602</vt:lpwstr>
      </vt:variant>
      <vt:variant>
        <vt:i4>1245247</vt:i4>
      </vt:variant>
      <vt:variant>
        <vt:i4>113</vt:i4>
      </vt:variant>
      <vt:variant>
        <vt:i4>0</vt:i4>
      </vt:variant>
      <vt:variant>
        <vt:i4>5</vt:i4>
      </vt:variant>
      <vt:variant>
        <vt:lpwstr/>
      </vt:variant>
      <vt:variant>
        <vt:lpwstr>_Toc352687601</vt:lpwstr>
      </vt:variant>
      <vt:variant>
        <vt:i4>1245247</vt:i4>
      </vt:variant>
      <vt:variant>
        <vt:i4>107</vt:i4>
      </vt:variant>
      <vt:variant>
        <vt:i4>0</vt:i4>
      </vt:variant>
      <vt:variant>
        <vt:i4>5</vt:i4>
      </vt:variant>
      <vt:variant>
        <vt:lpwstr/>
      </vt:variant>
      <vt:variant>
        <vt:lpwstr>_Toc352687600</vt:lpwstr>
      </vt:variant>
      <vt:variant>
        <vt:i4>1703996</vt:i4>
      </vt:variant>
      <vt:variant>
        <vt:i4>101</vt:i4>
      </vt:variant>
      <vt:variant>
        <vt:i4>0</vt:i4>
      </vt:variant>
      <vt:variant>
        <vt:i4>5</vt:i4>
      </vt:variant>
      <vt:variant>
        <vt:lpwstr/>
      </vt:variant>
      <vt:variant>
        <vt:lpwstr>_Toc352687599</vt:lpwstr>
      </vt:variant>
      <vt:variant>
        <vt:i4>1703996</vt:i4>
      </vt:variant>
      <vt:variant>
        <vt:i4>95</vt:i4>
      </vt:variant>
      <vt:variant>
        <vt:i4>0</vt:i4>
      </vt:variant>
      <vt:variant>
        <vt:i4>5</vt:i4>
      </vt:variant>
      <vt:variant>
        <vt:lpwstr/>
      </vt:variant>
      <vt:variant>
        <vt:lpwstr>_Toc352687598</vt:lpwstr>
      </vt:variant>
      <vt:variant>
        <vt:i4>1703996</vt:i4>
      </vt:variant>
      <vt:variant>
        <vt:i4>89</vt:i4>
      </vt:variant>
      <vt:variant>
        <vt:i4>0</vt:i4>
      </vt:variant>
      <vt:variant>
        <vt:i4>5</vt:i4>
      </vt:variant>
      <vt:variant>
        <vt:lpwstr/>
      </vt:variant>
      <vt:variant>
        <vt:lpwstr>_Toc352687597</vt:lpwstr>
      </vt:variant>
      <vt:variant>
        <vt:i4>1703996</vt:i4>
      </vt:variant>
      <vt:variant>
        <vt:i4>83</vt:i4>
      </vt:variant>
      <vt:variant>
        <vt:i4>0</vt:i4>
      </vt:variant>
      <vt:variant>
        <vt:i4>5</vt:i4>
      </vt:variant>
      <vt:variant>
        <vt:lpwstr/>
      </vt:variant>
      <vt:variant>
        <vt:lpwstr>_Toc352687596</vt:lpwstr>
      </vt:variant>
      <vt:variant>
        <vt:i4>1703996</vt:i4>
      </vt:variant>
      <vt:variant>
        <vt:i4>77</vt:i4>
      </vt:variant>
      <vt:variant>
        <vt:i4>0</vt:i4>
      </vt:variant>
      <vt:variant>
        <vt:i4>5</vt:i4>
      </vt:variant>
      <vt:variant>
        <vt:lpwstr/>
      </vt:variant>
      <vt:variant>
        <vt:lpwstr>_Toc352687595</vt:lpwstr>
      </vt:variant>
      <vt:variant>
        <vt:i4>1703996</vt:i4>
      </vt:variant>
      <vt:variant>
        <vt:i4>71</vt:i4>
      </vt:variant>
      <vt:variant>
        <vt:i4>0</vt:i4>
      </vt:variant>
      <vt:variant>
        <vt:i4>5</vt:i4>
      </vt:variant>
      <vt:variant>
        <vt:lpwstr/>
      </vt:variant>
      <vt:variant>
        <vt:lpwstr>_Toc352687594</vt:lpwstr>
      </vt:variant>
      <vt:variant>
        <vt:i4>1703996</vt:i4>
      </vt:variant>
      <vt:variant>
        <vt:i4>65</vt:i4>
      </vt:variant>
      <vt:variant>
        <vt:i4>0</vt:i4>
      </vt:variant>
      <vt:variant>
        <vt:i4>5</vt:i4>
      </vt:variant>
      <vt:variant>
        <vt:lpwstr/>
      </vt:variant>
      <vt:variant>
        <vt:lpwstr>_Toc352687593</vt:lpwstr>
      </vt:variant>
      <vt:variant>
        <vt:i4>1703996</vt:i4>
      </vt:variant>
      <vt:variant>
        <vt:i4>59</vt:i4>
      </vt:variant>
      <vt:variant>
        <vt:i4>0</vt:i4>
      </vt:variant>
      <vt:variant>
        <vt:i4>5</vt:i4>
      </vt:variant>
      <vt:variant>
        <vt:lpwstr/>
      </vt:variant>
      <vt:variant>
        <vt:lpwstr>_Toc352687591</vt:lpwstr>
      </vt:variant>
      <vt:variant>
        <vt:i4>1703996</vt:i4>
      </vt:variant>
      <vt:variant>
        <vt:i4>53</vt:i4>
      </vt:variant>
      <vt:variant>
        <vt:i4>0</vt:i4>
      </vt:variant>
      <vt:variant>
        <vt:i4>5</vt:i4>
      </vt:variant>
      <vt:variant>
        <vt:lpwstr/>
      </vt:variant>
      <vt:variant>
        <vt:lpwstr>_Toc352687590</vt:lpwstr>
      </vt:variant>
      <vt:variant>
        <vt:i4>1769532</vt:i4>
      </vt:variant>
      <vt:variant>
        <vt:i4>47</vt:i4>
      </vt:variant>
      <vt:variant>
        <vt:i4>0</vt:i4>
      </vt:variant>
      <vt:variant>
        <vt:i4>5</vt:i4>
      </vt:variant>
      <vt:variant>
        <vt:lpwstr/>
      </vt:variant>
      <vt:variant>
        <vt:lpwstr>_Toc352687589</vt:lpwstr>
      </vt:variant>
      <vt:variant>
        <vt:i4>1769532</vt:i4>
      </vt:variant>
      <vt:variant>
        <vt:i4>41</vt:i4>
      </vt:variant>
      <vt:variant>
        <vt:i4>0</vt:i4>
      </vt:variant>
      <vt:variant>
        <vt:i4>5</vt:i4>
      </vt:variant>
      <vt:variant>
        <vt:lpwstr/>
      </vt:variant>
      <vt:variant>
        <vt:lpwstr>_Toc352687588</vt:lpwstr>
      </vt:variant>
      <vt:variant>
        <vt:i4>1769532</vt:i4>
      </vt:variant>
      <vt:variant>
        <vt:i4>35</vt:i4>
      </vt:variant>
      <vt:variant>
        <vt:i4>0</vt:i4>
      </vt:variant>
      <vt:variant>
        <vt:i4>5</vt:i4>
      </vt:variant>
      <vt:variant>
        <vt:lpwstr/>
      </vt:variant>
      <vt:variant>
        <vt:lpwstr>_Toc352687587</vt:lpwstr>
      </vt:variant>
      <vt:variant>
        <vt:i4>1769532</vt:i4>
      </vt:variant>
      <vt:variant>
        <vt:i4>29</vt:i4>
      </vt:variant>
      <vt:variant>
        <vt:i4>0</vt:i4>
      </vt:variant>
      <vt:variant>
        <vt:i4>5</vt:i4>
      </vt:variant>
      <vt:variant>
        <vt:lpwstr/>
      </vt:variant>
      <vt:variant>
        <vt:lpwstr>_Toc352687586</vt:lpwstr>
      </vt:variant>
      <vt:variant>
        <vt:i4>1769532</vt:i4>
      </vt:variant>
      <vt:variant>
        <vt:i4>23</vt:i4>
      </vt:variant>
      <vt:variant>
        <vt:i4>0</vt:i4>
      </vt:variant>
      <vt:variant>
        <vt:i4>5</vt:i4>
      </vt:variant>
      <vt:variant>
        <vt:lpwstr/>
      </vt:variant>
      <vt:variant>
        <vt:lpwstr>_Toc352687585</vt:lpwstr>
      </vt:variant>
      <vt:variant>
        <vt:i4>1769532</vt:i4>
      </vt:variant>
      <vt:variant>
        <vt:i4>17</vt:i4>
      </vt:variant>
      <vt:variant>
        <vt:i4>0</vt:i4>
      </vt:variant>
      <vt:variant>
        <vt:i4>5</vt:i4>
      </vt:variant>
      <vt:variant>
        <vt:lpwstr/>
      </vt:variant>
      <vt:variant>
        <vt:lpwstr>_Toc352687584</vt:lpwstr>
      </vt:variant>
      <vt:variant>
        <vt:i4>1769532</vt:i4>
      </vt:variant>
      <vt:variant>
        <vt:i4>11</vt:i4>
      </vt:variant>
      <vt:variant>
        <vt:i4>0</vt:i4>
      </vt:variant>
      <vt:variant>
        <vt:i4>5</vt:i4>
      </vt:variant>
      <vt:variant>
        <vt:lpwstr/>
      </vt:variant>
      <vt:variant>
        <vt:lpwstr>_Toc352687583</vt:lpwstr>
      </vt:variant>
      <vt:variant>
        <vt:i4>5701668</vt:i4>
      </vt:variant>
      <vt:variant>
        <vt:i4>6</vt:i4>
      </vt:variant>
      <vt:variant>
        <vt:i4>0</vt:i4>
      </vt:variant>
      <vt:variant>
        <vt:i4>5</vt:i4>
      </vt:variant>
      <vt:variant>
        <vt:lpwstr>mailto:LoddonMalleeSouth.RGP@dpcd.vic.gov.au</vt:lpwstr>
      </vt:variant>
      <vt:variant>
        <vt:lpwstr/>
      </vt:variant>
      <vt:variant>
        <vt:i4>7143465</vt:i4>
      </vt:variant>
      <vt:variant>
        <vt:i4>3</vt:i4>
      </vt:variant>
      <vt:variant>
        <vt:i4>0</vt:i4>
      </vt:variant>
      <vt:variant>
        <vt:i4>5</vt:i4>
      </vt:variant>
      <vt:variant>
        <vt:lpwstr>\\P00389\DMNFSL1\DOC-CENTRAL\dk44\AppData\Local\Microsoft\Windows\Temporary Internet Files\Low\Content.IE5\GPCLU03Z\www.dpcd.vic.gov.au\loddonmalleesouth\rgp</vt:lpwstr>
      </vt:variant>
      <vt:variant>
        <vt:lpwstr/>
      </vt:variant>
      <vt:variant>
        <vt:i4>7602287</vt:i4>
      </vt:variant>
      <vt:variant>
        <vt:i4>0</vt:i4>
      </vt:variant>
      <vt:variant>
        <vt:i4>0</vt:i4>
      </vt:variant>
      <vt:variant>
        <vt:i4>5</vt:i4>
      </vt:variant>
      <vt:variant>
        <vt:lpwstr>http://www.dpcd.vic.gov.au/regionalgrowthplans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Template for</dc:title>
  <dc:creator>rw78</dc:creator>
  <cp:lastModifiedBy>vickry6</cp:lastModifiedBy>
  <cp:revision>5</cp:revision>
  <cp:lastPrinted>2014-02-24T02:43:00Z</cp:lastPrinted>
  <dcterms:created xsi:type="dcterms:W3CDTF">2014-04-25T23:01:00Z</dcterms:created>
  <dcterms:modified xsi:type="dcterms:W3CDTF">2014-04-29T00:48:00Z</dcterms:modified>
</cp:coreProperties>
</file>