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149E" w:rsidRPr="00283CEC" w:rsidRDefault="0045149E" w:rsidP="00646CA9"/>
    <w:p w:rsidR="0045149E" w:rsidRPr="00283CEC" w:rsidRDefault="0045149E" w:rsidP="00646CA9">
      <w:r w:rsidRPr="00283CEC">
        <w:t xml:space="preserve">This version of the </w:t>
      </w:r>
      <w:r w:rsidRPr="00283CEC">
        <w:rPr>
          <w:b/>
          <w:i/>
        </w:rPr>
        <w:t>Gippsland Regional Growth Plan</w:t>
      </w:r>
      <w:r w:rsidRPr="00283CEC">
        <w:rPr>
          <w:b/>
          <w:i/>
          <w:iCs/>
        </w:rPr>
        <w:t xml:space="preserve"> </w:t>
      </w:r>
      <w:r w:rsidRPr="00283CEC">
        <w:t>has been prepared for use with screen reader software. The printed publication may contain photographs, captions and design features that have been necessarily omitted from this version. In other respects this document contains identical text to that in the PDF version of the document which is available at</w:t>
      </w:r>
      <w:r w:rsidR="00A7298E">
        <w:t>:</w:t>
      </w:r>
      <w:r w:rsidRPr="00283CEC">
        <w:t xml:space="preserve"> </w:t>
      </w:r>
      <w:hyperlink r:id="rId8" w:history="1">
        <w:r w:rsidR="00A7298E" w:rsidRPr="00582F2D">
          <w:rPr>
            <w:rStyle w:val="Hyperlink"/>
          </w:rPr>
          <w:t>www.dtpli.vic.gov.au/regionalgrowthplans</w:t>
        </w:r>
      </w:hyperlink>
      <w:r w:rsidR="00A7298E">
        <w:t xml:space="preserve"> </w:t>
      </w:r>
    </w:p>
    <w:p w:rsidR="0045149E" w:rsidRPr="00283CEC" w:rsidRDefault="0045149E" w:rsidP="00646CA9"/>
    <w:p w:rsidR="00C8557A" w:rsidRPr="00283CEC" w:rsidRDefault="00E93DDE" w:rsidP="00646CA9">
      <w:pPr>
        <w:pStyle w:val="Title"/>
      </w:pPr>
      <w:r w:rsidRPr="00283CEC">
        <w:t>Regional Growth Plan</w:t>
      </w:r>
    </w:p>
    <w:p w:rsidR="00E93DDE" w:rsidRPr="00283CEC" w:rsidRDefault="00E93DDE" w:rsidP="00646CA9">
      <w:pPr>
        <w:pStyle w:val="Title"/>
        <w:rPr>
          <w:sz w:val="28"/>
          <w:szCs w:val="28"/>
        </w:rPr>
      </w:pPr>
    </w:p>
    <w:p w:rsidR="00A5266D" w:rsidRPr="00283CEC" w:rsidRDefault="00A5266D" w:rsidP="00A5266D">
      <w:pPr>
        <w:pStyle w:val="Subtitle"/>
      </w:pPr>
    </w:p>
    <w:p w:rsidR="007716FB" w:rsidRPr="00283CEC" w:rsidRDefault="007716FB" w:rsidP="005D44DB">
      <w:pPr>
        <w:pStyle w:val="bt"/>
        <w:rPr>
          <w:sz w:val="28"/>
          <w:szCs w:val="28"/>
        </w:rPr>
        <w:sectPr w:rsidR="007716FB" w:rsidRPr="00283CEC" w:rsidSect="00E731E4">
          <w:headerReference w:type="first" r:id="rId9"/>
          <w:pgSz w:w="11906" w:h="16838"/>
          <w:pgMar w:top="1440" w:right="1440" w:bottom="1440" w:left="1440" w:header="708" w:footer="708" w:gutter="0"/>
          <w:cols w:space="708"/>
          <w:titlePg/>
          <w:docGrid w:linePitch="360"/>
        </w:sectPr>
      </w:pPr>
    </w:p>
    <w:p w:rsidR="008C33E7" w:rsidRPr="0020699A" w:rsidRDefault="00470138" w:rsidP="00CD4010">
      <w:pPr>
        <w:pStyle w:val="bt"/>
        <w:rPr>
          <w:b/>
          <w:szCs w:val="20"/>
        </w:rPr>
      </w:pPr>
      <w:r w:rsidRPr="0020699A">
        <w:rPr>
          <w:b/>
          <w:szCs w:val="20"/>
        </w:rPr>
        <w:lastRenderedPageBreak/>
        <w:t>Acknowledgement of Country</w:t>
      </w:r>
    </w:p>
    <w:p w:rsidR="00470138" w:rsidRPr="00283CEC" w:rsidRDefault="00470138" w:rsidP="00CD4010">
      <w:pPr>
        <w:pStyle w:val="bt"/>
        <w:rPr>
          <w:szCs w:val="20"/>
        </w:rPr>
      </w:pPr>
      <w:r w:rsidRPr="00283CEC">
        <w:rPr>
          <w:szCs w:val="20"/>
        </w:rPr>
        <w:t>The Gippsland Local Government Network and the Department of Transport, Planning and Local Infrastructure acknowledge Aboriginal Traditional Owners within the region, their rich culture and spiritual connection to Country.  We also recognise and acknowledge the contribution and interest of Aboriginal people and organisations in land use planning, land management and natural resource management.</w:t>
      </w:r>
    </w:p>
    <w:p w:rsidR="008C33E7" w:rsidRPr="00283CEC" w:rsidRDefault="008C33E7" w:rsidP="00CD4010">
      <w:pPr>
        <w:pStyle w:val="bt"/>
        <w:rPr>
          <w:szCs w:val="20"/>
        </w:rPr>
      </w:pPr>
    </w:p>
    <w:p w:rsidR="008C33E7" w:rsidRPr="00283CEC" w:rsidRDefault="008C33E7" w:rsidP="00CD4010">
      <w:pPr>
        <w:pStyle w:val="bt"/>
        <w:rPr>
          <w:szCs w:val="20"/>
        </w:rPr>
      </w:pPr>
    </w:p>
    <w:p w:rsidR="008C33E7" w:rsidRPr="00283CEC" w:rsidRDefault="008C33E7" w:rsidP="00CD4010">
      <w:pPr>
        <w:pStyle w:val="bt"/>
        <w:rPr>
          <w:szCs w:val="20"/>
        </w:rPr>
      </w:pPr>
    </w:p>
    <w:p w:rsidR="008C33E7" w:rsidRPr="00283CEC" w:rsidRDefault="008C33E7" w:rsidP="00CD4010">
      <w:pPr>
        <w:pStyle w:val="bt"/>
        <w:rPr>
          <w:szCs w:val="20"/>
        </w:rPr>
      </w:pPr>
    </w:p>
    <w:p w:rsidR="00B97FB2" w:rsidRDefault="00B97FB2" w:rsidP="00B97FB2">
      <w:pPr>
        <w:pStyle w:val="bt"/>
      </w:pPr>
    </w:p>
    <w:p w:rsidR="00B97FB2" w:rsidRDefault="00B97FB2" w:rsidP="00B97FB2">
      <w:pPr>
        <w:pStyle w:val="bt"/>
      </w:pPr>
    </w:p>
    <w:p w:rsidR="00B97FB2" w:rsidRDefault="00B97FB2" w:rsidP="00B97FB2">
      <w:pPr>
        <w:pStyle w:val="bt"/>
      </w:pPr>
      <w:r>
        <w:t>Authorised and published by the Victorian Government, 1 Treasury Place, Melbourne</w:t>
      </w:r>
    </w:p>
    <w:p w:rsidR="00B97FB2" w:rsidRDefault="00B97FB2" w:rsidP="00B97FB2">
      <w:pPr>
        <w:pStyle w:val="bt"/>
      </w:pPr>
      <w:r>
        <w:t>Printed by Finsbury Green, Melbourne</w:t>
      </w:r>
    </w:p>
    <w:p w:rsidR="00B97FB2" w:rsidRPr="00116E6E" w:rsidRDefault="00B97FB2" w:rsidP="00B97FB2">
      <w:pPr>
        <w:pStyle w:val="bt"/>
        <w:rPr>
          <w:sz w:val="28"/>
          <w:szCs w:val="28"/>
        </w:rPr>
      </w:pPr>
      <w:r w:rsidRPr="00116E6E">
        <w:rPr>
          <w:sz w:val="28"/>
          <w:szCs w:val="28"/>
        </w:rPr>
        <w:t>If you would like to receive this publication in an accessible format, please telephone 1300 366 356.</w:t>
      </w:r>
    </w:p>
    <w:p w:rsidR="00B97FB2" w:rsidRDefault="00B97FB2" w:rsidP="00B97FB2">
      <w:pPr>
        <w:pStyle w:val="bt"/>
      </w:pPr>
      <w:r>
        <w:t xml:space="preserve">This document is also available in Word format at </w:t>
      </w:r>
      <w:hyperlink r:id="rId10" w:history="1">
        <w:r>
          <w:rPr>
            <w:color w:val="0000FF"/>
            <w:u w:val="single"/>
          </w:rPr>
          <w:t>www.dtpli.vic.gov.au/regionalgrowthplans</w:t>
        </w:r>
      </w:hyperlink>
    </w:p>
    <w:p w:rsidR="00B97FB2" w:rsidRDefault="00B97FB2" w:rsidP="00B97FB2">
      <w:pPr>
        <w:pStyle w:val="bt"/>
      </w:pPr>
      <w:r>
        <w:t>Unless indicated otherwise, this work is made available under the terms of the Creative Commons Attribution 3.0 Australia licence.</w:t>
      </w:r>
    </w:p>
    <w:p w:rsidR="00B97FB2" w:rsidRDefault="00B97FB2" w:rsidP="00B97FB2">
      <w:pPr>
        <w:pStyle w:val="bt"/>
      </w:pPr>
      <w:r>
        <w:t>To view a copy of the licence, visit creativecommons.org/licences/by/3.0/au</w:t>
      </w:r>
    </w:p>
    <w:p w:rsidR="00B97FB2" w:rsidRDefault="00B97FB2" w:rsidP="00B97FB2">
      <w:pPr>
        <w:pStyle w:val="bt"/>
      </w:pPr>
      <w:r>
        <w:t>It is a condition of this Creative Commons Attribution 3.0 Licence that you must give credit to the original author who is the State of Victoria.</w:t>
      </w:r>
    </w:p>
    <w:p w:rsidR="00B97FB2" w:rsidRDefault="00B97FB2" w:rsidP="00B97FB2">
      <w:pPr>
        <w:pStyle w:val="bt"/>
        <w:rPr>
          <w:b/>
          <w:bCs/>
        </w:rPr>
      </w:pPr>
      <w:r>
        <w:rPr>
          <w:b/>
          <w:bCs/>
        </w:rPr>
        <w:t>Disclaimer</w:t>
      </w:r>
    </w:p>
    <w:p w:rsidR="00B97FB2" w:rsidRDefault="00B97FB2" w:rsidP="00B97FB2">
      <w:pPr>
        <w:pStyle w:val="bt"/>
      </w:pPr>
      <w: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B97FB2" w:rsidRPr="00F846E1" w:rsidRDefault="00AD511E" w:rsidP="00B97FB2">
      <w:pPr>
        <w:pStyle w:val="bt"/>
        <w:rPr>
          <w:b/>
          <w:bCs/>
        </w:rPr>
      </w:pPr>
      <w:r>
        <w:rPr>
          <w:b/>
          <w:bCs/>
        </w:rPr>
        <w:t>May</w:t>
      </w:r>
      <w:r w:rsidRPr="00F846E1">
        <w:rPr>
          <w:b/>
          <w:bCs/>
        </w:rPr>
        <w:t xml:space="preserve"> </w:t>
      </w:r>
      <w:r w:rsidR="00F846E1" w:rsidRPr="00F846E1">
        <w:rPr>
          <w:b/>
          <w:bCs/>
        </w:rPr>
        <w:t>2014</w:t>
      </w:r>
    </w:p>
    <w:p w:rsidR="002717D5" w:rsidRPr="00E90B74" w:rsidRDefault="002717D5" w:rsidP="0020699A">
      <w:pPr>
        <w:pStyle w:val="bt"/>
        <w:rPr>
          <w:rFonts w:cs="Calibri"/>
          <w:b/>
          <w:bCs/>
        </w:rPr>
      </w:pPr>
    </w:p>
    <w:p w:rsidR="00CD4010" w:rsidRPr="00283CEC" w:rsidRDefault="00CD4010" w:rsidP="00CD4010">
      <w:pPr>
        <w:pStyle w:val="bt"/>
        <w:spacing w:before="0"/>
        <w:rPr>
          <w:rFonts w:cs="Calibri"/>
          <w:b/>
          <w:bCs/>
          <w:szCs w:val="20"/>
        </w:rPr>
      </w:pPr>
      <w:r w:rsidRPr="00283CEC">
        <w:rPr>
          <w:rFonts w:cs="Calibri"/>
          <w:b/>
          <w:bCs/>
        </w:rPr>
        <w:t xml:space="preserve">Note: The Gippsland Local Government Network (GLGN) is an alliance of six councils: Bass Coast Shire Council, Baw </w:t>
      </w:r>
      <w:proofErr w:type="spellStart"/>
      <w:r w:rsidRPr="00283CEC">
        <w:rPr>
          <w:rFonts w:cs="Calibri"/>
          <w:b/>
          <w:bCs/>
        </w:rPr>
        <w:t>Baw</w:t>
      </w:r>
      <w:proofErr w:type="spellEnd"/>
      <w:r w:rsidRPr="00283CEC">
        <w:rPr>
          <w:rFonts w:cs="Calibri"/>
          <w:b/>
          <w:bCs/>
        </w:rPr>
        <w:t xml:space="preserve"> Shire Council, East Gippsland Shire Council, Latrobe City Council, South Gippsland Shire Council and Wellington Shire Council.</w:t>
      </w:r>
    </w:p>
    <w:p w:rsidR="00E93DDE" w:rsidRPr="00283CEC" w:rsidRDefault="007716FB">
      <w:pPr>
        <w:pStyle w:val="bt"/>
        <w:sectPr w:rsidR="00E93DDE" w:rsidRPr="00283CEC" w:rsidSect="00870E6F">
          <w:headerReference w:type="default" r:id="rId11"/>
          <w:headerReference w:type="first" r:id="rId12"/>
          <w:footerReference w:type="first" r:id="rId13"/>
          <w:pgSz w:w="11906" w:h="16838"/>
          <w:pgMar w:top="1440" w:right="1440" w:bottom="1134" w:left="1440" w:header="708" w:footer="708" w:gutter="0"/>
          <w:pgNumType w:fmt="lowerRoman" w:start="1"/>
          <w:cols w:space="708"/>
          <w:titlePg/>
          <w:docGrid w:linePitch="360"/>
        </w:sectPr>
      </w:pPr>
      <w:bookmarkStart w:id="0" w:name="_Toc351626409"/>
      <w:bookmarkStart w:id="1" w:name="_Toc351705379"/>
      <w:bookmarkStart w:id="2" w:name="_Toc355366498"/>
      <w:r w:rsidRPr="00283CEC" w:rsidDel="007716FB">
        <w:rPr>
          <w:b/>
          <w:bCs/>
          <w:sz w:val="34"/>
          <w:szCs w:val="28"/>
          <w:lang w:val="en-US" w:eastAsia="en-US"/>
        </w:rPr>
        <w:t xml:space="preserve"> </w:t>
      </w:r>
      <w:bookmarkEnd w:id="0"/>
      <w:bookmarkEnd w:id="1"/>
      <w:bookmarkEnd w:id="2"/>
    </w:p>
    <w:p w:rsidR="004B59B7" w:rsidRPr="00D156F9" w:rsidRDefault="004B59B7" w:rsidP="002717D5">
      <w:pPr>
        <w:pStyle w:val="TOCHeading"/>
      </w:pPr>
      <w:r w:rsidRPr="004B3BA5">
        <w:lastRenderedPageBreak/>
        <w:t>Contents</w:t>
      </w:r>
    </w:p>
    <w:p w:rsidR="00DF1843" w:rsidRDefault="00E2132D">
      <w:pPr>
        <w:pStyle w:val="TOC1"/>
        <w:rPr>
          <w:rFonts w:asciiTheme="minorHAnsi" w:eastAsiaTheme="minorEastAsia" w:hAnsiTheme="minorHAnsi" w:cstheme="minorBidi"/>
          <w:noProof/>
          <w:lang w:eastAsia="en-AU"/>
        </w:rPr>
      </w:pPr>
      <w:r w:rsidRPr="00283CEC">
        <w:fldChar w:fldCharType="begin"/>
      </w:r>
      <w:r w:rsidR="00F9225F" w:rsidRPr="00283CEC">
        <w:instrText xml:space="preserve"> TOC \o "1-2" \h \z \u </w:instrText>
      </w:r>
      <w:r w:rsidRPr="00283CEC">
        <w:fldChar w:fldCharType="separate"/>
      </w:r>
      <w:hyperlink w:anchor="_Toc376791228" w:history="1">
        <w:r w:rsidR="00DF1843" w:rsidRPr="005A08C5">
          <w:rPr>
            <w:rStyle w:val="Hyperlink"/>
            <w:noProof/>
          </w:rPr>
          <w:t>EXECUTIVE SUMMARY</w:t>
        </w:r>
        <w:r w:rsidR="00DF1843">
          <w:rPr>
            <w:noProof/>
            <w:webHidden/>
          </w:rPr>
          <w:tab/>
        </w:r>
        <w:r>
          <w:rPr>
            <w:noProof/>
            <w:webHidden/>
          </w:rPr>
          <w:fldChar w:fldCharType="begin"/>
        </w:r>
        <w:r w:rsidR="00DF1843">
          <w:rPr>
            <w:noProof/>
            <w:webHidden/>
          </w:rPr>
          <w:instrText xml:space="preserve"> PAGEREF _Toc376791228 \h </w:instrText>
        </w:r>
        <w:r>
          <w:rPr>
            <w:noProof/>
            <w:webHidden/>
          </w:rPr>
        </w:r>
        <w:r>
          <w:rPr>
            <w:noProof/>
            <w:webHidden/>
          </w:rPr>
          <w:fldChar w:fldCharType="separate"/>
        </w:r>
        <w:r w:rsidR="001D67DE">
          <w:rPr>
            <w:noProof/>
            <w:webHidden/>
          </w:rPr>
          <w:t>i</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29" w:history="1">
        <w:r w:rsidR="00DF1843" w:rsidRPr="005A08C5">
          <w:rPr>
            <w:rStyle w:val="Hyperlink"/>
            <w:noProof/>
          </w:rPr>
          <w:t>PART A:</w:t>
        </w:r>
        <w:r w:rsidR="00DF1843">
          <w:rPr>
            <w:rFonts w:asciiTheme="minorHAnsi" w:eastAsiaTheme="minorEastAsia" w:hAnsiTheme="minorHAnsi" w:cstheme="minorBidi"/>
            <w:noProof/>
            <w:lang w:eastAsia="en-AU"/>
          </w:rPr>
          <w:tab/>
        </w:r>
        <w:r w:rsidR="00DF1843" w:rsidRPr="005A08C5">
          <w:rPr>
            <w:rStyle w:val="Hyperlink"/>
            <w:noProof/>
          </w:rPr>
          <w:t>INTRODUCTION</w:t>
        </w:r>
        <w:r w:rsidR="00DF1843">
          <w:rPr>
            <w:noProof/>
            <w:webHidden/>
          </w:rPr>
          <w:tab/>
        </w:r>
        <w:r>
          <w:rPr>
            <w:noProof/>
            <w:webHidden/>
          </w:rPr>
          <w:fldChar w:fldCharType="begin"/>
        </w:r>
        <w:r w:rsidR="00DF1843">
          <w:rPr>
            <w:noProof/>
            <w:webHidden/>
          </w:rPr>
          <w:instrText xml:space="preserve"> PAGEREF _Toc376791229 \h </w:instrText>
        </w:r>
        <w:r>
          <w:rPr>
            <w:noProof/>
            <w:webHidden/>
          </w:rPr>
        </w:r>
        <w:r>
          <w:rPr>
            <w:noProof/>
            <w:webHidden/>
          </w:rPr>
          <w:fldChar w:fldCharType="separate"/>
        </w:r>
        <w:r w:rsidR="001D67DE">
          <w:rPr>
            <w:noProof/>
            <w:webHidden/>
          </w:rPr>
          <w:t>3</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0" w:history="1">
        <w:r w:rsidR="00DF1843" w:rsidRPr="005A08C5">
          <w:rPr>
            <w:rStyle w:val="Hyperlink"/>
            <w:noProof/>
          </w:rPr>
          <w:t>1.</w:t>
        </w:r>
        <w:r w:rsidR="00DF1843">
          <w:rPr>
            <w:rFonts w:asciiTheme="minorHAnsi" w:eastAsiaTheme="minorEastAsia" w:hAnsiTheme="minorHAnsi" w:cstheme="minorBidi"/>
            <w:noProof/>
            <w:lang w:eastAsia="en-AU"/>
          </w:rPr>
          <w:tab/>
        </w:r>
        <w:r w:rsidR="00DF1843" w:rsidRPr="005A08C5">
          <w:rPr>
            <w:rStyle w:val="Hyperlink"/>
            <w:noProof/>
          </w:rPr>
          <w:t>What is a regional growth plan?</w:t>
        </w:r>
        <w:r w:rsidR="00DF1843">
          <w:rPr>
            <w:noProof/>
            <w:webHidden/>
          </w:rPr>
          <w:tab/>
        </w:r>
        <w:r>
          <w:rPr>
            <w:noProof/>
            <w:webHidden/>
          </w:rPr>
          <w:fldChar w:fldCharType="begin"/>
        </w:r>
        <w:r w:rsidR="00DF1843">
          <w:rPr>
            <w:noProof/>
            <w:webHidden/>
          </w:rPr>
          <w:instrText xml:space="preserve"> PAGEREF _Toc376791230 \h </w:instrText>
        </w:r>
        <w:r>
          <w:rPr>
            <w:noProof/>
            <w:webHidden/>
          </w:rPr>
        </w:r>
        <w:r>
          <w:rPr>
            <w:noProof/>
            <w:webHidden/>
          </w:rPr>
          <w:fldChar w:fldCharType="separate"/>
        </w:r>
        <w:r w:rsidR="001D67DE">
          <w:rPr>
            <w:noProof/>
            <w:webHidden/>
          </w:rPr>
          <w:t>3</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1" w:history="1">
        <w:r w:rsidR="00DF1843" w:rsidRPr="005A08C5">
          <w:rPr>
            <w:rStyle w:val="Hyperlink"/>
            <w:noProof/>
          </w:rPr>
          <w:t>2.</w:t>
        </w:r>
        <w:r w:rsidR="00DF1843">
          <w:rPr>
            <w:rFonts w:asciiTheme="minorHAnsi" w:eastAsiaTheme="minorEastAsia" w:hAnsiTheme="minorHAnsi" w:cstheme="minorBidi"/>
            <w:noProof/>
            <w:lang w:eastAsia="en-AU"/>
          </w:rPr>
          <w:tab/>
        </w:r>
        <w:r w:rsidR="00DF1843" w:rsidRPr="005A08C5">
          <w:rPr>
            <w:rStyle w:val="Hyperlink"/>
            <w:noProof/>
          </w:rPr>
          <w:t>Why we need this plan</w:t>
        </w:r>
        <w:r w:rsidR="00DF1843">
          <w:rPr>
            <w:noProof/>
            <w:webHidden/>
          </w:rPr>
          <w:tab/>
        </w:r>
        <w:r>
          <w:rPr>
            <w:noProof/>
            <w:webHidden/>
          </w:rPr>
          <w:fldChar w:fldCharType="begin"/>
        </w:r>
        <w:r w:rsidR="00DF1843">
          <w:rPr>
            <w:noProof/>
            <w:webHidden/>
          </w:rPr>
          <w:instrText xml:space="preserve"> PAGEREF _Toc376791231 \h </w:instrText>
        </w:r>
        <w:r>
          <w:rPr>
            <w:noProof/>
            <w:webHidden/>
          </w:rPr>
        </w:r>
        <w:r>
          <w:rPr>
            <w:noProof/>
            <w:webHidden/>
          </w:rPr>
          <w:fldChar w:fldCharType="separate"/>
        </w:r>
        <w:r w:rsidR="001D67DE">
          <w:rPr>
            <w:noProof/>
            <w:webHidden/>
          </w:rPr>
          <w:t>3</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2" w:history="1">
        <w:r w:rsidR="00DF1843" w:rsidRPr="005A08C5">
          <w:rPr>
            <w:rStyle w:val="Hyperlink"/>
            <w:noProof/>
          </w:rPr>
          <w:t>3.</w:t>
        </w:r>
        <w:r w:rsidR="00DF1843">
          <w:rPr>
            <w:rFonts w:asciiTheme="minorHAnsi" w:eastAsiaTheme="minorEastAsia" w:hAnsiTheme="minorHAnsi" w:cstheme="minorBidi"/>
            <w:noProof/>
            <w:lang w:eastAsia="en-AU"/>
          </w:rPr>
          <w:tab/>
        </w:r>
        <w:r w:rsidR="00DF1843" w:rsidRPr="005A08C5">
          <w:rPr>
            <w:rStyle w:val="Hyperlink"/>
            <w:noProof/>
          </w:rPr>
          <w:t>How this plan will be used</w:t>
        </w:r>
        <w:r w:rsidR="00DF1843">
          <w:rPr>
            <w:noProof/>
            <w:webHidden/>
          </w:rPr>
          <w:tab/>
        </w:r>
        <w:r>
          <w:rPr>
            <w:noProof/>
            <w:webHidden/>
          </w:rPr>
          <w:fldChar w:fldCharType="begin"/>
        </w:r>
        <w:r w:rsidR="00DF1843">
          <w:rPr>
            <w:noProof/>
            <w:webHidden/>
          </w:rPr>
          <w:instrText xml:space="preserve"> PAGEREF _Toc376791232 \h </w:instrText>
        </w:r>
        <w:r>
          <w:rPr>
            <w:noProof/>
            <w:webHidden/>
          </w:rPr>
        </w:r>
        <w:r>
          <w:rPr>
            <w:noProof/>
            <w:webHidden/>
          </w:rPr>
          <w:fldChar w:fldCharType="separate"/>
        </w:r>
        <w:r w:rsidR="001D67DE">
          <w:rPr>
            <w:noProof/>
            <w:webHidden/>
          </w:rPr>
          <w:t>4</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3" w:history="1">
        <w:r w:rsidR="00DF1843" w:rsidRPr="005A08C5">
          <w:rPr>
            <w:rStyle w:val="Hyperlink"/>
            <w:iCs/>
            <w:noProof/>
          </w:rPr>
          <w:t>4.</w:t>
        </w:r>
        <w:r w:rsidR="00DF1843">
          <w:rPr>
            <w:rFonts w:asciiTheme="minorHAnsi" w:eastAsiaTheme="minorEastAsia" w:hAnsiTheme="minorHAnsi" w:cstheme="minorBidi"/>
            <w:noProof/>
            <w:lang w:eastAsia="en-AU"/>
          </w:rPr>
          <w:tab/>
        </w:r>
        <w:r w:rsidR="00DF1843" w:rsidRPr="005A08C5">
          <w:rPr>
            <w:rStyle w:val="Hyperlink"/>
            <w:noProof/>
          </w:rPr>
          <w:t>How the plan was prepared</w:t>
        </w:r>
        <w:r w:rsidR="00DF1843">
          <w:rPr>
            <w:noProof/>
            <w:webHidden/>
          </w:rPr>
          <w:tab/>
        </w:r>
        <w:r>
          <w:rPr>
            <w:noProof/>
            <w:webHidden/>
          </w:rPr>
          <w:fldChar w:fldCharType="begin"/>
        </w:r>
        <w:r w:rsidR="00DF1843">
          <w:rPr>
            <w:noProof/>
            <w:webHidden/>
          </w:rPr>
          <w:instrText xml:space="preserve"> PAGEREF _Toc376791233 \h </w:instrText>
        </w:r>
        <w:r>
          <w:rPr>
            <w:noProof/>
            <w:webHidden/>
          </w:rPr>
        </w:r>
        <w:r>
          <w:rPr>
            <w:noProof/>
            <w:webHidden/>
          </w:rPr>
          <w:fldChar w:fldCharType="separate"/>
        </w:r>
        <w:r w:rsidR="001D67DE">
          <w:rPr>
            <w:noProof/>
            <w:webHidden/>
          </w:rPr>
          <w:t>4</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4" w:history="1">
        <w:r w:rsidR="00DF1843" w:rsidRPr="005A08C5">
          <w:rPr>
            <w:rStyle w:val="Hyperlink"/>
            <w:iCs/>
            <w:noProof/>
          </w:rPr>
          <w:t>5.</w:t>
        </w:r>
        <w:r w:rsidR="00DF1843">
          <w:rPr>
            <w:rFonts w:asciiTheme="minorHAnsi" w:eastAsiaTheme="minorEastAsia" w:hAnsiTheme="minorHAnsi" w:cstheme="minorBidi"/>
            <w:noProof/>
            <w:lang w:eastAsia="en-AU"/>
          </w:rPr>
          <w:tab/>
        </w:r>
        <w:r w:rsidR="00DF1843" w:rsidRPr="005A08C5">
          <w:rPr>
            <w:rStyle w:val="Hyperlink"/>
            <w:noProof/>
          </w:rPr>
          <w:t>Components of this plan</w:t>
        </w:r>
        <w:r w:rsidR="00DF1843">
          <w:rPr>
            <w:noProof/>
            <w:webHidden/>
          </w:rPr>
          <w:tab/>
        </w:r>
        <w:r>
          <w:rPr>
            <w:noProof/>
            <w:webHidden/>
          </w:rPr>
          <w:fldChar w:fldCharType="begin"/>
        </w:r>
        <w:r w:rsidR="00DF1843">
          <w:rPr>
            <w:noProof/>
            <w:webHidden/>
          </w:rPr>
          <w:instrText xml:space="preserve"> PAGEREF _Toc376791234 \h </w:instrText>
        </w:r>
        <w:r>
          <w:rPr>
            <w:noProof/>
            <w:webHidden/>
          </w:rPr>
        </w:r>
        <w:r>
          <w:rPr>
            <w:noProof/>
            <w:webHidden/>
          </w:rPr>
          <w:fldChar w:fldCharType="separate"/>
        </w:r>
        <w:r w:rsidR="001D67DE">
          <w:rPr>
            <w:noProof/>
            <w:webHidden/>
          </w:rPr>
          <w:t>5</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5" w:history="1">
        <w:r w:rsidR="00DF1843" w:rsidRPr="005A08C5">
          <w:rPr>
            <w:rStyle w:val="Hyperlink"/>
            <w:noProof/>
          </w:rPr>
          <w:t xml:space="preserve">PART B: </w:t>
        </w:r>
        <w:r w:rsidR="00DF1843">
          <w:rPr>
            <w:rFonts w:asciiTheme="minorHAnsi" w:eastAsiaTheme="minorEastAsia" w:hAnsiTheme="minorHAnsi" w:cstheme="minorBidi"/>
            <w:noProof/>
            <w:lang w:eastAsia="en-AU"/>
          </w:rPr>
          <w:tab/>
        </w:r>
        <w:r w:rsidR="00DF1843" w:rsidRPr="005A08C5">
          <w:rPr>
            <w:rStyle w:val="Hyperlink"/>
            <w:noProof/>
          </w:rPr>
          <w:t>REGIONAL OVERVIEW</w:t>
        </w:r>
        <w:r w:rsidR="00DF1843">
          <w:rPr>
            <w:noProof/>
            <w:webHidden/>
          </w:rPr>
          <w:tab/>
        </w:r>
        <w:r>
          <w:rPr>
            <w:noProof/>
            <w:webHidden/>
          </w:rPr>
          <w:fldChar w:fldCharType="begin"/>
        </w:r>
        <w:r w:rsidR="00DF1843">
          <w:rPr>
            <w:noProof/>
            <w:webHidden/>
          </w:rPr>
          <w:instrText xml:space="preserve"> PAGEREF _Toc376791235 \h </w:instrText>
        </w:r>
        <w:r>
          <w:rPr>
            <w:noProof/>
            <w:webHidden/>
          </w:rPr>
        </w:r>
        <w:r>
          <w:rPr>
            <w:noProof/>
            <w:webHidden/>
          </w:rPr>
          <w:fldChar w:fldCharType="separate"/>
        </w:r>
        <w:r w:rsidR="001D67DE">
          <w:rPr>
            <w:noProof/>
            <w:webHidden/>
          </w:rPr>
          <w:t>6</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6" w:history="1">
        <w:r w:rsidR="00DF1843" w:rsidRPr="005A08C5">
          <w:rPr>
            <w:rStyle w:val="Hyperlink"/>
            <w:noProof/>
          </w:rPr>
          <w:t>6.</w:t>
        </w:r>
        <w:r w:rsidR="00DF1843">
          <w:rPr>
            <w:rFonts w:asciiTheme="minorHAnsi" w:eastAsiaTheme="minorEastAsia" w:hAnsiTheme="minorHAnsi" w:cstheme="minorBidi"/>
            <w:noProof/>
            <w:lang w:eastAsia="en-AU"/>
          </w:rPr>
          <w:tab/>
        </w:r>
        <w:r w:rsidR="00DF1843" w:rsidRPr="005A08C5">
          <w:rPr>
            <w:rStyle w:val="Hyperlink"/>
            <w:noProof/>
          </w:rPr>
          <w:t>Snapshot of the region</w:t>
        </w:r>
        <w:r w:rsidR="00DF1843">
          <w:rPr>
            <w:noProof/>
            <w:webHidden/>
          </w:rPr>
          <w:tab/>
        </w:r>
        <w:r>
          <w:rPr>
            <w:noProof/>
            <w:webHidden/>
          </w:rPr>
          <w:fldChar w:fldCharType="begin"/>
        </w:r>
        <w:r w:rsidR="00DF1843">
          <w:rPr>
            <w:noProof/>
            <w:webHidden/>
          </w:rPr>
          <w:instrText xml:space="preserve"> PAGEREF _Toc376791236 \h </w:instrText>
        </w:r>
        <w:r>
          <w:rPr>
            <w:noProof/>
            <w:webHidden/>
          </w:rPr>
        </w:r>
        <w:r>
          <w:rPr>
            <w:noProof/>
            <w:webHidden/>
          </w:rPr>
          <w:fldChar w:fldCharType="separate"/>
        </w:r>
        <w:r w:rsidR="001D67DE">
          <w:rPr>
            <w:noProof/>
            <w:webHidden/>
          </w:rPr>
          <w:t>6</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7" w:history="1">
        <w:r w:rsidR="00DF1843" w:rsidRPr="005A08C5">
          <w:rPr>
            <w:rStyle w:val="Hyperlink"/>
            <w:noProof/>
          </w:rPr>
          <w:t>7.</w:t>
        </w:r>
        <w:r w:rsidR="00DF1843">
          <w:rPr>
            <w:rFonts w:asciiTheme="minorHAnsi" w:eastAsiaTheme="minorEastAsia" w:hAnsiTheme="minorHAnsi" w:cstheme="minorBidi"/>
            <w:noProof/>
            <w:lang w:eastAsia="en-AU"/>
          </w:rPr>
          <w:tab/>
        </w:r>
        <w:r w:rsidR="00DF1843" w:rsidRPr="005A08C5">
          <w:rPr>
            <w:rStyle w:val="Hyperlink"/>
            <w:noProof/>
          </w:rPr>
          <w:t>Drivers of change</w:t>
        </w:r>
        <w:r w:rsidR="00DF1843">
          <w:rPr>
            <w:noProof/>
            <w:webHidden/>
          </w:rPr>
          <w:tab/>
        </w:r>
        <w:r>
          <w:rPr>
            <w:noProof/>
            <w:webHidden/>
          </w:rPr>
          <w:fldChar w:fldCharType="begin"/>
        </w:r>
        <w:r w:rsidR="00DF1843">
          <w:rPr>
            <w:noProof/>
            <w:webHidden/>
          </w:rPr>
          <w:instrText xml:space="preserve"> PAGEREF _Toc376791237 \h </w:instrText>
        </w:r>
        <w:r>
          <w:rPr>
            <w:noProof/>
            <w:webHidden/>
          </w:rPr>
        </w:r>
        <w:r>
          <w:rPr>
            <w:noProof/>
            <w:webHidden/>
          </w:rPr>
          <w:fldChar w:fldCharType="separate"/>
        </w:r>
        <w:r w:rsidR="001D67DE">
          <w:rPr>
            <w:noProof/>
            <w:webHidden/>
          </w:rPr>
          <w:t>9</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8" w:history="1">
        <w:r w:rsidR="00DF1843" w:rsidRPr="005A08C5">
          <w:rPr>
            <w:rStyle w:val="Hyperlink"/>
            <w:noProof/>
          </w:rPr>
          <w:t>8.</w:t>
        </w:r>
        <w:r w:rsidR="00DF1843">
          <w:rPr>
            <w:rFonts w:asciiTheme="minorHAnsi" w:eastAsiaTheme="minorEastAsia" w:hAnsiTheme="minorHAnsi" w:cstheme="minorBidi"/>
            <w:noProof/>
            <w:lang w:eastAsia="en-AU"/>
          </w:rPr>
          <w:tab/>
        </w:r>
        <w:r w:rsidR="00DF1843" w:rsidRPr="005A08C5">
          <w:rPr>
            <w:rStyle w:val="Hyperlink"/>
            <w:noProof/>
          </w:rPr>
          <w:t>Challenges for growth</w:t>
        </w:r>
        <w:r w:rsidR="00DF1843">
          <w:rPr>
            <w:noProof/>
            <w:webHidden/>
          </w:rPr>
          <w:tab/>
        </w:r>
        <w:r>
          <w:rPr>
            <w:noProof/>
            <w:webHidden/>
          </w:rPr>
          <w:fldChar w:fldCharType="begin"/>
        </w:r>
        <w:r w:rsidR="00DF1843">
          <w:rPr>
            <w:noProof/>
            <w:webHidden/>
          </w:rPr>
          <w:instrText xml:space="preserve"> PAGEREF _Toc376791238 \h </w:instrText>
        </w:r>
        <w:r>
          <w:rPr>
            <w:noProof/>
            <w:webHidden/>
          </w:rPr>
        </w:r>
        <w:r>
          <w:rPr>
            <w:noProof/>
            <w:webHidden/>
          </w:rPr>
          <w:fldChar w:fldCharType="separate"/>
        </w:r>
        <w:r w:rsidR="001D67DE">
          <w:rPr>
            <w:noProof/>
            <w:webHidden/>
          </w:rPr>
          <w:t>12</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39" w:history="1">
        <w:r w:rsidR="00DF1843" w:rsidRPr="005A08C5">
          <w:rPr>
            <w:rStyle w:val="Hyperlink"/>
            <w:noProof/>
          </w:rPr>
          <w:t>9.</w:t>
        </w:r>
        <w:r w:rsidR="00DF1843">
          <w:rPr>
            <w:rFonts w:asciiTheme="minorHAnsi" w:eastAsiaTheme="minorEastAsia" w:hAnsiTheme="minorHAnsi" w:cstheme="minorBidi"/>
            <w:noProof/>
            <w:lang w:eastAsia="en-AU"/>
          </w:rPr>
          <w:tab/>
        </w:r>
        <w:r w:rsidR="00DF1843" w:rsidRPr="005A08C5">
          <w:rPr>
            <w:rStyle w:val="Hyperlink"/>
            <w:noProof/>
          </w:rPr>
          <w:t>Vision for the region</w:t>
        </w:r>
        <w:r w:rsidR="00DF1843">
          <w:rPr>
            <w:noProof/>
            <w:webHidden/>
          </w:rPr>
          <w:tab/>
        </w:r>
        <w:r>
          <w:rPr>
            <w:noProof/>
            <w:webHidden/>
          </w:rPr>
          <w:fldChar w:fldCharType="begin"/>
        </w:r>
        <w:r w:rsidR="00DF1843">
          <w:rPr>
            <w:noProof/>
            <w:webHidden/>
          </w:rPr>
          <w:instrText xml:space="preserve"> PAGEREF _Toc376791239 \h </w:instrText>
        </w:r>
        <w:r>
          <w:rPr>
            <w:noProof/>
            <w:webHidden/>
          </w:rPr>
        </w:r>
        <w:r>
          <w:rPr>
            <w:noProof/>
            <w:webHidden/>
          </w:rPr>
          <w:fldChar w:fldCharType="separate"/>
        </w:r>
        <w:r w:rsidR="001D67DE">
          <w:rPr>
            <w:noProof/>
            <w:webHidden/>
          </w:rPr>
          <w:t>12</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40" w:history="1">
        <w:r w:rsidR="00DF1843" w:rsidRPr="005A08C5">
          <w:rPr>
            <w:rStyle w:val="Hyperlink"/>
            <w:noProof/>
          </w:rPr>
          <w:t>10.</w:t>
        </w:r>
        <w:r w:rsidR="00DF1843">
          <w:rPr>
            <w:rFonts w:asciiTheme="minorHAnsi" w:eastAsiaTheme="minorEastAsia" w:hAnsiTheme="minorHAnsi" w:cstheme="minorBidi"/>
            <w:noProof/>
            <w:lang w:eastAsia="en-AU"/>
          </w:rPr>
          <w:tab/>
        </w:r>
        <w:r w:rsidR="00DF1843" w:rsidRPr="005A08C5">
          <w:rPr>
            <w:rStyle w:val="Hyperlink"/>
            <w:noProof/>
          </w:rPr>
          <w:t>Principles to achieve the vision</w:t>
        </w:r>
        <w:r w:rsidR="00DF1843">
          <w:rPr>
            <w:noProof/>
            <w:webHidden/>
          </w:rPr>
          <w:tab/>
        </w:r>
        <w:r>
          <w:rPr>
            <w:noProof/>
            <w:webHidden/>
          </w:rPr>
          <w:fldChar w:fldCharType="begin"/>
        </w:r>
        <w:r w:rsidR="00DF1843">
          <w:rPr>
            <w:noProof/>
            <w:webHidden/>
          </w:rPr>
          <w:instrText xml:space="preserve"> PAGEREF _Toc376791240 \h </w:instrText>
        </w:r>
        <w:r>
          <w:rPr>
            <w:noProof/>
            <w:webHidden/>
          </w:rPr>
        </w:r>
        <w:r>
          <w:rPr>
            <w:noProof/>
            <w:webHidden/>
          </w:rPr>
          <w:fldChar w:fldCharType="separate"/>
        </w:r>
        <w:r w:rsidR="001D67DE">
          <w:rPr>
            <w:noProof/>
            <w:webHidden/>
          </w:rPr>
          <w:t>13</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41" w:history="1">
        <w:r w:rsidR="00DF1843" w:rsidRPr="005A08C5">
          <w:rPr>
            <w:rStyle w:val="Hyperlink"/>
            <w:noProof/>
          </w:rPr>
          <w:t>PART C:</w:t>
        </w:r>
        <w:r w:rsidR="00DF1843">
          <w:rPr>
            <w:rFonts w:asciiTheme="minorHAnsi" w:eastAsiaTheme="minorEastAsia" w:hAnsiTheme="minorHAnsi" w:cstheme="minorBidi"/>
            <w:noProof/>
            <w:lang w:eastAsia="en-AU"/>
          </w:rPr>
          <w:tab/>
        </w:r>
        <w:r w:rsidR="00DF1843" w:rsidRPr="005A08C5">
          <w:rPr>
            <w:rStyle w:val="Hyperlink"/>
            <w:noProof/>
          </w:rPr>
          <w:t>TOWARDS THE REGIONAL GROWTH PLAN – REGIONAL LAND USE FRAMEWORK</w:t>
        </w:r>
        <w:r w:rsidR="00DF1843">
          <w:rPr>
            <w:noProof/>
            <w:webHidden/>
          </w:rPr>
          <w:tab/>
        </w:r>
        <w:r>
          <w:rPr>
            <w:noProof/>
            <w:webHidden/>
          </w:rPr>
          <w:fldChar w:fldCharType="begin"/>
        </w:r>
        <w:r w:rsidR="00DF1843">
          <w:rPr>
            <w:noProof/>
            <w:webHidden/>
          </w:rPr>
          <w:instrText xml:space="preserve"> PAGEREF _Toc376791241 \h </w:instrText>
        </w:r>
        <w:r>
          <w:rPr>
            <w:noProof/>
            <w:webHidden/>
          </w:rPr>
        </w:r>
        <w:r>
          <w:rPr>
            <w:noProof/>
            <w:webHidden/>
          </w:rPr>
          <w:fldChar w:fldCharType="separate"/>
        </w:r>
        <w:r w:rsidR="001D67DE">
          <w:rPr>
            <w:noProof/>
            <w:webHidden/>
          </w:rPr>
          <w:t>14</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42" w:history="1">
        <w:r w:rsidR="00DF1843" w:rsidRPr="005A08C5">
          <w:rPr>
            <w:rStyle w:val="Hyperlink"/>
            <w:noProof/>
          </w:rPr>
          <w:t>11.</w:t>
        </w:r>
        <w:r w:rsidR="00DF1843">
          <w:rPr>
            <w:rFonts w:asciiTheme="minorHAnsi" w:eastAsiaTheme="minorEastAsia" w:hAnsiTheme="minorHAnsi" w:cstheme="minorBidi"/>
            <w:noProof/>
            <w:lang w:eastAsia="en-AU"/>
          </w:rPr>
          <w:tab/>
        </w:r>
        <w:r w:rsidR="00DF1843" w:rsidRPr="005A08C5">
          <w:rPr>
            <w:rStyle w:val="Hyperlink"/>
            <w:noProof/>
          </w:rPr>
          <w:t>Regional economy</w:t>
        </w:r>
        <w:r w:rsidR="00DF1843">
          <w:rPr>
            <w:noProof/>
            <w:webHidden/>
          </w:rPr>
          <w:tab/>
        </w:r>
        <w:r>
          <w:rPr>
            <w:noProof/>
            <w:webHidden/>
          </w:rPr>
          <w:fldChar w:fldCharType="begin"/>
        </w:r>
        <w:r w:rsidR="00DF1843">
          <w:rPr>
            <w:noProof/>
            <w:webHidden/>
          </w:rPr>
          <w:instrText xml:space="preserve"> PAGEREF _Toc376791242 \h </w:instrText>
        </w:r>
        <w:r>
          <w:rPr>
            <w:noProof/>
            <w:webHidden/>
          </w:rPr>
        </w:r>
        <w:r>
          <w:rPr>
            <w:noProof/>
            <w:webHidden/>
          </w:rPr>
          <w:fldChar w:fldCharType="separate"/>
        </w:r>
        <w:r w:rsidR="001D67DE">
          <w:rPr>
            <w:noProof/>
            <w:webHidden/>
          </w:rPr>
          <w:t>14</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43" w:history="1">
        <w:r w:rsidR="00DF1843" w:rsidRPr="005A08C5">
          <w:rPr>
            <w:rStyle w:val="Hyperlink"/>
            <w:noProof/>
          </w:rPr>
          <w:t>11.1</w:t>
        </w:r>
        <w:r w:rsidR="00DF1843">
          <w:rPr>
            <w:rFonts w:asciiTheme="minorHAnsi" w:eastAsiaTheme="minorEastAsia" w:hAnsiTheme="minorHAnsi" w:cstheme="minorBidi"/>
            <w:noProof/>
            <w:lang w:eastAsia="en-AU"/>
          </w:rPr>
          <w:tab/>
        </w:r>
        <w:r w:rsidR="00DF1843" w:rsidRPr="005A08C5">
          <w:rPr>
            <w:rStyle w:val="Hyperlink"/>
            <w:noProof/>
          </w:rPr>
          <w:t>Business, industry and services: working in the Gippsland region</w:t>
        </w:r>
        <w:r w:rsidR="00DF1843">
          <w:rPr>
            <w:noProof/>
            <w:webHidden/>
          </w:rPr>
          <w:tab/>
        </w:r>
        <w:r>
          <w:rPr>
            <w:noProof/>
            <w:webHidden/>
          </w:rPr>
          <w:fldChar w:fldCharType="begin"/>
        </w:r>
        <w:r w:rsidR="00DF1843">
          <w:rPr>
            <w:noProof/>
            <w:webHidden/>
          </w:rPr>
          <w:instrText xml:space="preserve"> PAGEREF _Toc376791243 \h </w:instrText>
        </w:r>
        <w:r>
          <w:rPr>
            <w:noProof/>
            <w:webHidden/>
          </w:rPr>
        </w:r>
        <w:r>
          <w:rPr>
            <w:noProof/>
            <w:webHidden/>
          </w:rPr>
          <w:fldChar w:fldCharType="separate"/>
        </w:r>
        <w:r w:rsidR="001D67DE">
          <w:rPr>
            <w:noProof/>
            <w:webHidden/>
          </w:rPr>
          <w:t>15</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44" w:history="1">
        <w:r w:rsidR="00DF1843" w:rsidRPr="005A08C5">
          <w:rPr>
            <w:rStyle w:val="Hyperlink"/>
            <w:noProof/>
          </w:rPr>
          <w:t>11.2</w:t>
        </w:r>
        <w:r w:rsidR="00DF1843">
          <w:rPr>
            <w:rFonts w:asciiTheme="minorHAnsi" w:eastAsiaTheme="minorEastAsia" w:hAnsiTheme="minorHAnsi" w:cstheme="minorBidi"/>
            <w:noProof/>
            <w:lang w:eastAsia="en-AU"/>
          </w:rPr>
          <w:tab/>
        </w:r>
        <w:r w:rsidR="00DF1843" w:rsidRPr="005A08C5">
          <w:rPr>
            <w:rStyle w:val="Hyperlink"/>
            <w:noProof/>
          </w:rPr>
          <w:t>Agriculture</w:t>
        </w:r>
        <w:r w:rsidR="00DF1843">
          <w:rPr>
            <w:noProof/>
            <w:webHidden/>
          </w:rPr>
          <w:tab/>
        </w:r>
        <w:r>
          <w:rPr>
            <w:noProof/>
            <w:webHidden/>
          </w:rPr>
          <w:fldChar w:fldCharType="begin"/>
        </w:r>
        <w:r w:rsidR="00DF1843">
          <w:rPr>
            <w:noProof/>
            <w:webHidden/>
          </w:rPr>
          <w:instrText xml:space="preserve"> PAGEREF _Toc376791244 \h </w:instrText>
        </w:r>
        <w:r>
          <w:rPr>
            <w:noProof/>
            <w:webHidden/>
          </w:rPr>
        </w:r>
        <w:r>
          <w:rPr>
            <w:noProof/>
            <w:webHidden/>
          </w:rPr>
          <w:fldChar w:fldCharType="separate"/>
        </w:r>
        <w:r w:rsidR="001D67DE">
          <w:rPr>
            <w:noProof/>
            <w:webHidden/>
          </w:rPr>
          <w:t>18</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45" w:history="1">
        <w:r w:rsidR="00DF1843" w:rsidRPr="005A08C5">
          <w:rPr>
            <w:rStyle w:val="Hyperlink"/>
            <w:noProof/>
          </w:rPr>
          <w:t>11.3</w:t>
        </w:r>
        <w:r w:rsidR="00DF1843">
          <w:rPr>
            <w:rFonts w:asciiTheme="minorHAnsi" w:eastAsiaTheme="minorEastAsia" w:hAnsiTheme="minorHAnsi" w:cstheme="minorBidi"/>
            <w:noProof/>
            <w:lang w:eastAsia="en-AU"/>
          </w:rPr>
          <w:tab/>
        </w:r>
        <w:r w:rsidR="00DF1843" w:rsidRPr="005A08C5">
          <w:rPr>
            <w:rStyle w:val="Hyperlink"/>
            <w:noProof/>
          </w:rPr>
          <w:t>Natural resources</w:t>
        </w:r>
        <w:r w:rsidR="00DF1843">
          <w:rPr>
            <w:noProof/>
            <w:webHidden/>
          </w:rPr>
          <w:tab/>
        </w:r>
        <w:r>
          <w:rPr>
            <w:noProof/>
            <w:webHidden/>
          </w:rPr>
          <w:fldChar w:fldCharType="begin"/>
        </w:r>
        <w:r w:rsidR="00DF1843">
          <w:rPr>
            <w:noProof/>
            <w:webHidden/>
          </w:rPr>
          <w:instrText xml:space="preserve"> PAGEREF _Toc376791245 \h </w:instrText>
        </w:r>
        <w:r>
          <w:rPr>
            <w:noProof/>
            <w:webHidden/>
          </w:rPr>
        </w:r>
        <w:r>
          <w:rPr>
            <w:noProof/>
            <w:webHidden/>
          </w:rPr>
          <w:fldChar w:fldCharType="separate"/>
        </w:r>
        <w:r w:rsidR="001D67DE">
          <w:rPr>
            <w:noProof/>
            <w:webHidden/>
          </w:rPr>
          <w:t>21</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46" w:history="1">
        <w:r w:rsidR="00DF1843" w:rsidRPr="005A08C5">
          <w:rPr>
            <w:rStyle w:val="Hyperlink"/>
            <w:noProof/>
          </w:rPr>
          <w:t>12.</w:t>
        </w:r>
        <w:r w:rsidR="00DF1843">
          <w:rPr>
            <w:rFonts w:asciiTheme="minorHAnsi" w:eastAsiaTheme="minorEastAsia" w:hAnsiTheme="minorHAnsi" w:cstheme="minorBidi"/>
            <w:noProof/>
            <w:lang w:eastAsia="en-AU"/>
          </w:rPr>
          <w:tab/>
        </w:r>
        <w:r w:rsidR="00DF1843" w:rsidRPr="005A08C5">
          <w:rPr>
            <w:rStyle w:val="Hyperlink"/>
            <w:noProof/>
          </w:rPr>
          <w:t>Environment and heritage</w:t>
        </w:r>
        <w:r w:rsidR="00DF1843">
          <w:rPr>
            <w:noProof/>
            <w:webHidden/>
          </w:rPr>
          <w:tab/>
        </w:r>
        <w:r>
          <w:rPr>
            <w:noProof/>
            <w:webHidden/>
          </w:rPr>
          <w:fldChar w:fldCharType="begin"/>
        </w:r>
        <w:r w:rsidR="00DF1843">
          <w:rPr>
            <w:noProof/>
            <w:webHidden/>
          </w:rPr>
          <w:instrText xml:space="preserve"> PAGEREF _Toc376791246 \h </w:instrText>
        </w:r>
        <w:r>
          <w:rPr>
            <w:noProof/>
            <w:webHidden/>
          </w:rPr>
        </w:r>
        <w:r>
          <w:rPr>
            <w:noProof/>
            <w:webHidden/>
          </w:rPr>
          <w:fldChar w:fldCharType="separate"/>
        </w:r>
        <w:r w:rsidR="001D67DE">
          <w:rPr>
            <w:noProof/>
            <w:webHidden/>
          </w:rPr>
          <w:t>24</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47" w:history="1">
        <w:r w:rsidR="00DF1843" w:rsidRPr="005A08C5">
          <w:rPr>
            <w:rStyle w:val="Hyperlink"/>
            <w:noProof/>
          </w:rPr>
          <w:t>12.1</w:t>
        </w:r>
        <w:r w:rsidR="00DF1843">
          <w:rPr>
            <w:rFonts w:asciiTheme="minorHAnsi" w:eastAsiaTheme="minorEastAsia" w:hAnsiTheme="minorHAnsi" w:cstheme="minorBidi"/>
            <w:noProof/>
            <w:lang w:eastAsia="en-AU"/>
          </w:rPr>
          <w:tab/>
        </w:r>
        <w:r w:rsidR="00DF1843" w:rsidRPr="005A08C5">
          <w:rPr>
            <w:rStyle w:val="Hyperlink"/>
            <w:noProof/>
          </w:rPr>
          <w:t>Environment and heritage assets</w:t>
        </w:r>
        <w:r w:rsidR="00DF1843">
          <w:rPr>
            <w:noProof/>
            <w:webHidden/>
          </w:rPr>
          <w:tab/>
        </w:r>
        <w:r>
          <w:rPr>
            <w:noProof/>
            <w:webHidden/>
          </w:rPr>
          <w:fldChar w:fldCharType="begin"/>
        </w:r>
        <w:r w:rsidR="00DF1843">
          <w:rPr>
            <w:noProof/>
            <w:webHidden/>
          </w:rPr>
          <w:instrText xml:space="preserve"> PAGEREF _Toc376791247 \h </w:instrText>
        </w:r>
        <w:r>
          <w:rPr>
            <w:noProof/>
            <w:webHidden/>
          </w:rPr>
        </w:r>
        <w:r>
          <w:rPr>
            <w:noProof/>
            <w:webHidden/>
          </w:rPr>
          <w:fldChar w:fldCharType="separate"/>
        </w:r>
        <w:r w:rsidR="001D67DE">
          <w:rPr>
            <w:noProof/>
            <w:webHidden/>
          </w:rPr>
          <w:t>25</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48" w:history="1">
        <w:r w:rsidR="00DF1843" w:rsidRPr="005A08C5">
          <w:rPr>
            <w:rStyle w:val="Hyperlink"/>
            <w:noProof/>
          </w:rPr>
          <w:t>12.2</w:t>
        </w:r>
        <w:r w:rsidR="00DF1843">
          <w:rPr>
            <w:rFonts w:asciiTheme="minorHAnsi" w:eastAsiaTheme="minorEastAsia" w:hAnsiTheme="minorHAnsi" w:cstheme="minorBidi"/>
            <w:noProof/>
            <w:lang w:eastAsia="en-AU"/>
          </w:rPr>
          <w:tab/>
        </w:r>
        <w:r w:rsidR="00DF1843" w:rsidRPr="005A08C5">
          <w:rPr>
            <w:rStyle w:val="Hyperlink"/>
            <w:noProof/>
          </w:rPr>
          <w:t>Natural hazards and risks</w:t>
        </w:r>
        <w:r w:rsidR="00DF1843">
          <w:rPr>
            <w:noProof/>
            <w:webHidden/>
          </w:rPr>
          <w:tab/>
        </w:r>
        <w:r>
          <w:rPr>
            <w:noProof/>
            <w:webHidden/>
          </w:rPr>
          <w:fldChar w:fldCharType="begin"/>
        </w:r>
        <w:r w:rsidR="00DF1843">
          <w:rPr>
            <w:noProof/>
            <w:webHidden/>
          </w:rPr>
          <w:instrText xml:space="preserve"> PAGEREF _Toc376791248 \h </w:instrText>
        </w:r>
        <w:r>
          <w:rPr>
            <w:noProof/>
            <w:webHidden/>
          </w:rPr>
        </w:r>
        <w:r>
          <w:rPr>
            <w:noProof/>
            <w:webHidden/>
          </w:rPr>
          <w:fldChar w:fldCharType="separate"/>
        </w:r>
        <w:r w:rsidR="001D67DE">
          <w:rPr>
            <w:noProof/>
            <w:webHidden/>
          </w:rPr>
          <w:t>27</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49" w:history="1">
        <w:r w:rsidR="00DF1843" w:rsidRPr="005A08C5">
          <w:rPr>
            <w:rStyle w:val="Hyperlink"/>
            <w:noProof/>
          </w:rPr>
          <w:t>13.</w:t>
        </w:r>
        <w:r w:rsidR="00DF1843">
          <w:rPr>
            <w:rFonts w:asciiTheme="minorHAnsi" w:eastAsiaTheme="minorEastAsia" w:hAnsiTheme="minorHAnsi" w:cstheme="minorBidi"/>
            <w:noProof/>
            <w:lang w:eastAsia="en-AU"/>
          </w:rPr>
          <w:tab/>
        </w:r>
        <w:r w:rsidR="00DF1843" w:rsidRPr="005A08C5">
          <w:rPr>
            <w:rStyle w:val="Hyperlink"/>
            <w:noProof/>
          </w:rPr>
          <w:t>Living in the region</w:t>
        </w:r>
        <w:r w:rsidR="00DF1843">
          <w:rPr>
            <w:noProof/>
            <w:webHidden/>
          </w:rPr>
          <w:tab/>
        </w:r>
        <w:r>
          <w:rPr>
            <w:noProof/>
            <w:webHidden/>
          </w:rPr>
          <w:fldChar w:fldCharType="begin"/>
        </w:r>
        <w:r w:rsidR="00DF1843">
          <w:rPr>
            <w:noProof/>
            <w:webHidden/>
          </w:rPr>
          <w:instrText xml:space="preserve"> PAGEREF _Toc376791249 \h </w:instrText>
        </w:r>
        <w:r>
          <w:rPr>
            <w:noProof/>
            <w:webHidden/>
          </w:rPr>
        </w:r>
        <w:r>
          <w:rPr>
            <w:noProof/>
            <w:webHidden/>
          </w:rPr>
          <w:fldChar w:fldCharType="separate"/>
        </w:r>
        <w:r w:rsidR="001D67DE">
          <w:rPr>
            <w:noProof/>
            <w:webHidden/>
          </w:rPr>
          <w:t>30</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50" w:history="1">
        <w:r w:rsidR="00DF1843" w:rsidRPr="005A08C5">
          <w:rPr>
            <w:rStyle w:val="Hyperlink"/>
            <w:noProof/>
          </w:rPr>
          <w:t>13.1</w:t>
        </w:r>
        <w:r w:rsidR="00DF1843">
          <w:rPr>
            <w:rFonts w:asciiTheme="minorHAnsi" w:eastAsiaTheme="minorEastAsia" w:hAnsiTheme="minorHAnsi" w:cstheme="minorBidi"/>
            <w:noProof/>
            <w:lang w:eastAsia="en-AU"/>
          </w:rPr>
          <w:tab/>
        </w:r>
        <w:r w:rsidR="00DF1843" w:rsidRPr="005A08C5">
          <w:rPr>
            <w:rStyle w:val="Hyperlink"/>
            <w:noProof/>
          </w:rPr>
          <w:t>Existing settlement framework</w:t>
        </w:r>
        <w:r w:rsidR="00DF1843">
          <w:rPr>
            <w:noProof/>
            <w:webHidden/>
          </w:rPr>
          <w:tab/>
        </w:r>
        <w:r>
          <w:rPr>
            <w:noProof/>
            <w:webHidden/>
          </w:rPr>
          <w:fldChar w:fldCharType="begin"/>
        </w:r>
        <w:r w:rsidR="00DF1843">
          <w:rPr>
            <w:noProof/>
            <w:webHidden/>
          </w:rPr>
          <w:instrText xml:space="preserve"> PAGEREF _Toc376791250 \h </w:instrText>
        </w:r>
        <w:r>
          <w:rPr>
            <w:noProof/>
            <w:webHidden/>
          </w:rPr>
        </w:r>
        <w:r>
          <w:rPr>
            <w:noProof/>
            <w:webHidden/>
          </w:rPr>
          <w:fldChar w:fldCharType="separate"/>
        </w:r>
        <w:r w:rsidR="001D67DE">
          <w:rPr>
            <w:noProof/>
            <w:webHidden/>
          </w:rPr>
          <w:t>31</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51" w:history="1">
        <w:r w:rsidR="00DF1843" w:rsidRPr="005A08C5">
          <w:rPr>
            <w:rStyle w:val="Hyperlink"/>
            <w:noProof/>
          </w:rPr>
          <w:t>13.2</w:t>
        </w:r>
        <w:r w:rsidR="00DF1843">
          <w:rPr>
            <w:rFonts w:asciiTheme="minorHAnsi" w:eastAsiaTheme="minorEastAsia" w:hAnsiTheme="minorHAnsi" w:cstheme="minorBidi"/>
            <w:noProof/>
            <w:lang w:eastAsia="en-AU"/>
          </w:rPr>
          <w:tab/>
        </w:r>
        <w:r w:rsidR="00DF1843" w:rsidRPr="005A08C5">
          <w:rPr>
            <w:rStyle w:val="Hyperlink"/>
            <w:noProof/>
          </w:rPr>
          <w:t>Future settlement pattern</w:t>
        </w:r>
        <w:r w:rsidR="00DF1843">
          <w:rPr>
            <w:noProof/>
            <w:webHidden/>
          </w:rPr>
          <w:tab/>
        </w:r>
        <w:r>
          <w:rPr>
            <w:noProof/>
            <w:webHidden/>
          </w:rPr>
          <w:fldChar w:fldCharType="begin"/>
        </w:r>
        <w:r w:rsidR="00DF1843">
          <w:rPr>
            <w:noProof/>
            <w:webHidden/>
          </w:rPr>
          <w:instrText xml:space="preserve"> PAGEREF _Toc376791251 \h </w:instrText>
        </w:r>
        <w:r>
          <w:rPr>
            <w:noProof/>
            <w:webHidden/>
          </w:rPr>
        </w:r>
        <w:r>
          <w:rPr>
            <w:noProof/>
            <w:webHidden/>
          </w:rPr>
          <w:fldChar w:fldCharType="separate"/>
        </w:r>
        <w:r w:rsidR="001D67DE">
          <w:rPr>
            <w:noProof/>
            <w:webHidden/>
          </w:rPr>
          <w:t>31</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52" w:history="1">
        <w:r w:rsidR="00DF1843" w:rsidRPr="005A08C5">
          <w:rPr>
            <w:rStyle w:val="Hyperlink"/>
            <w:noProof/>
          </w:rPr>
          <w:t>13.3</w:t>
        </w:r>
        <w:r w:rsidR="00DF1843">
          <w:rPr>
            <w:rFonts w:asciiTheme="minorHAnsi" w:eastAsiaTheme="minorEastAsia" w:hAnsiTheme="minorHAnsi" w:cstheme="minorBidi"/>
            <w:noProof/>
            <w:lang w:eastAsia="en-AU"/>
          </w:rPr>
          <w:tab/>
        </w:r>
        <w:r w:rsidR="00DF1843" w:rsidRPr="005A08C5">
          <w:rPr>
            <w:rStyle w:val="Hyperlink"/>
            <w:noProof/>
          </w:rPr>
          <w:t>Future directions for cities and towns</w:t>
        </w:r>
        <w:r w:rsidR="00DF1843">
          <w:rPr>
            <w:noProof/>
            <w:webHidden/>
          </w:rPr>
          <w:tab/>
        </w:r>
        <w:r>
          <w:rPr>
            <w:noProof/>
            <w:webHidden/>
          </w:rPr>
          <w:fldChar w:fldCharType="begin"/>
        </w:r>
        <w:r w:rsidR="00DF1843">
          <w:rPr>
            <w:noProof/>
            <w:webHidden/>
          </w:rPr>
          <w:instrText xml:space="preserve"> PAGEREF _Toc376791252 \h </w:instrText>
        </w:r>
        <w:r>
          <w:rPr>
            <w:noProof/>
            <w:webHidden/>
          </w:rPr>
        </w:r>
        <w:r>
          <w:rPr>
            <w:noProof/>
            <w:webHidden/>
          </w:rPr>
          <w:fldChar w:fldCharType="separate"/>
        </w:r>
        <w:r w:rsidR="001D67DE">
          <w:rPr>
            <w:noProof/>
            <w:webHidden/>
          </w:rPr>
          <w:t>34</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53" w:history="1">
        <w:r w:rsidR="00DF1843" w:rsidRPr="005A08C5">
          <w:rPr>
            <w:rStyle w:val="Hyperlink"/>
            <w:noProof/>
          </w:rPr>
          <w:t>14.</w:t>
        </w:r>
        <w:r w:rsidR="00DF1843">
          <w:rPr>
            <w:rFonts w:asciiTheme="minorHAnsi" w:eastAsiaTheme="minorEastAsia" w:hAnsiTheme="minorHAnsi" w:cstheme="minorBidi"/>
            <w:noProof/>
            <w:lang w:eastAsia="en-AU"/>
          </w:rPr>
          <w:tab/>
        </w:r>
        <w:r w:rsidR="00DF1843" w:rsidRPr="005A08C5">
          <w:rPr>
            <w:rStyle w:val="Hyperlink"/>
            <w:noProof/>
          </w:rPr>
          <w:t>Regional infrastructure</w:t>
        </w:r>
        <w:r w:rsidR="00DF1843">
          <w:rPr>
            <w:noProof/>
            <w:webHidden/>
          </w:rPr>
          <w:tab/>
        </w:r>
        <w:r>
          <w:rPr>
            <w:noProof/>
            <w:webHidden/>
          </w:rPr>
          <w:fldChar w:fldCharType="begin"/>
        </w:r>
        <w:r w:rsidR="00DF1843">
          <w:rPr>
            <w:noProof/>
            <w:webHidden/>
          </w:rPr>
          <w:instrText xml:space="preserve"> PAGEREF _Toc376791253 \h </w:instrText>
        </w:r>
        <w:r>
          <w:rPr>
            <w:noProof/>
            <w:webHidden/>
          </w:rPr>
        </w:r>
        <w:r>
          <w:rPr>
            <w:noProof/>
            <w:webHidden/>
          </w:rPr>
          <w:fldChar w:fldCharType="separate"/>
        </w:r>
        <w:r w:rsidR="001D67DE">
          <w:rPr>
            <w:noProof/>
            <w:webHidden/>
          </w:rPr>
          <w:t>39</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54" w:history="1">
        <w:r w:rsidR="00DF1843" w:rsidRPr="005A08C5">
          <w:rPr>
            <w:rStyle w:val="Hyperlink"/>
            <w:noProof/>
          </w:rPr>
          <w:t>14.1</w:t>
        </w:r>
        <w:r w:rsidR="00DF1843">
          <w:rPr>
            <w:rFonts w:asciiTheme="minorHAnsi" w:eastAsiaTheme="minorEastAsia" w:hAnsiTheme="minorHAnsi" w:cstheme="minorBidi"/>
            <w:noProof/>
            <w:lang w:eastAsia="en-AU"/>
          </w:rPr>
          <w:tab/>
        </w:r>
        <w:r w:rsidR="00DF1843" w:rsidRPr="005A08C5">
          <w:rPr>
            <w:rStyle w:val="Hyperlink"/>
            <w:noProof/>
          </w:rPr>
          <w:t>Water, energy and utilities</w:t>
        </w:r>
        <w:r w:rsidR="00DF1843">
          <w:rPr>
            <w:noProof/>
            <w:webHidden/>
          </w:rPr>
          <w:tab/>
        </w:r>
        <w:r>
          <w:rPr>
            <w:noProof/>
            <w:webHidden/>
          </w:rPr>
          <w:fldChar w:fldCharType="begin"/>
        </w:r>
        <w:r w:rsidR="00DF1843">
          <w:rPr>
            <w:noProof/>
            <w:webHidden/>
          </w:rPr>
          <w:instrText xml:space="preserve"> PAGEREF _Toc376791254 \h </w:instrText>
        </w:r>
        <w:r>
          <w:rPr>
            <w:noProof/>
            <w:webHidden/>
          </w:rPr>
        </w:r>
        <w:r>
          <w:rPr>
            <w:noProof/>
            <w:webHidden/>
          </w:rPr>
          <w:fldChar w:fldCharType="separate"/>
        </w:r>
        <w:r w:rsidR="001D67DE">
          <w:rPr>
            <w:noProof/>
            <w:webHidden/>
          </w:rPr>
          <w:t>39</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55" w:history="1">
        <w:r w:rsidR="00DF1843" w:rsidRPr="005A08C5">
          <w:rPr>
            <w:rStyle w:val="Hyperlink"/>
            <w:noProof/>
          </w:rPr>
          <w:t>14.2</w:t>
        </w:r>
        <w:r w:rsidR="00DF1843">
          <w:rPr>
            <w:rFonts w:asciiTheme="minorHAnsi" w:eastAsiaTheme="minorEastAsia" w:hAnsiTheme="minorHAnsi" w:cstheme="minorBidi"/>
            <w:noProof/>
            <w:lang w:eastAsia="en-AU"/>
          </w:rPr>
          <w:tab/>
        </w:r>
        <w:r w:rsidR="00DF1843" w:rsidRPr="005A08C5">
          <w:rPr>
            <w:rStyle w:val="Hyperlink"/>
            <w:noProof/>
          </w:rPr>
          <w:t>Transport networks</w:t>
        </w:r>
        <w:r w:rsidR="00DF1843">
          <w:rPr>
            <w:noProof/>
            <w:webHidden/>
          </w:rPr>
          <w:tab/>
        </w:r>
        <w:r>
          <w:rPr>
            <w:noProof/>
            <w:webHidden/>
          </w:rPr>
          <w:fldChar w:fldCharType="begin"/>
        </w:r>
        <w:r w:rsidR="00DF1843">
          <w:rPr>
            <w:noProof/>
            <w:webHidden/>
          </w:rPr>
          <w:instrText xml:space="preserve"> PAGEREF _Toc376791255 \h </w:instrText>
        </w:r>
        <w:r>
          <w:rPr>
            <w:noProof/>
            <w:webHidden/>
          </w:rPr>
        </w:r>
        <w:r>
          <w:rPr>
            <w:noProof/>
            <w:webHidden/>
          </w:rPr>
          <w:fldChar w:fldCharType="separate"/>
        </w:r>
        <w:r w:rsidR="001D67DE">
          <w:rPr>
            <w:noProof/>
            <w:webHidden/>
          </w:rPr>
          <w:t>45</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56" w:history="1">
        <w:r w:rsidR="00DF1843" w:rsidRPr="005A08C5">
          <w:rPr>
            <w:rStyle w:val="Hyperlink"/>
            <w:noProof/>
          </w:rPr>
          <w:t>14.3</w:t>
        </w:r>
        <w:r w:rsidR="00DF1843">
          <w:rPr>
            <w:rFonts w:asciiTheme="minorHAnsi" w:eastAsiaTheme="minorEastAsia" w:hAnsiTheme="minorHAnsi" w:cstheme="minorBidi"/>
            <w:noProof/>
            <w:lang w:eastAsia="en-AU"/>
          </w:rPr>
          <w:tab/>
        </w:r>
        <w:r w:rsidR="00DF1843" w:rsidRPr="005A08C5">
          <w:rPr>
            <w:rStyle w:val="Hyperlink"/>
            <w:noProof/>
          </w:rPr>
          <w:t>Social infrastructure</w:t>
        </w:r>
        <w:r w:rsidR="00DF1843">
          <w:rPr>
            <w:noProof/>
            <w:webHidden/>
          </w:rPr>
          <w:tab/>
        </w:r>
        <w:r>
          <w:rPr>
            <w:noProof/>
            <w:webHidden/>
          </w:rPr>
          <w:fldChar w:fldCharType="begin"/>
        </w:r>
        <w:r w:rsidR="00DF1843">
          <w:rPr>
            <w:noProof/>
            <w:webHidden/>
          </w:rPr>
          <w:instrText xml:space="preserve"> PAGEREF _Toc376791256 \h </w:instrText>
        </w:r>
        <w:r>
          <w:rPr>
            <w:noProof/>
            <w:webHidden/>
          </w:rPr>
        </w:r>
        <w:r>
          <w:rPr>
            <w:noProof/>
            <w:webHidden/>
          </w:rPr>
          <w:fldChar w:fldCharType="separate"/>
        </w:r>
        <w:r w:rsidR="001D67DE">
          <w:rPr>
            <w:noProof/>
            <w:webHidden/>
          </w:rPr>
          <w:t>49</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57" w:history="1">
        <w:r w:rsidR="00DF1843" w:rsidRPr="005A08C5">
          <w:rPr>
            <w:rStyle w:val="Hyperlink"/>
            <w:noProof/>
          </w:rPr>
          <w:t xml:space="preserve">PART D: </w:t>
        </w:r>
        <w:r w:rsidR="00DF1843">
          <w:rPr>
            <w:rFonts w:asciiTheme="minorHAnsi" w:eastAsiaTheme="minorEastAsia" w:hAnsiTheme="minorHAnsi" w:cstheme="minorBidi"/>
            <w:noProof/>
            <w:lang w:eastAsia="en-AU"/>
          </w:rPr>
          <w:tab/>
        </w:r>
        <w:r w:rsidR="00DF1843" w:rsidRPr="005A08C5">
          <w:rPr>
            <w:rStyle w:val="Hyperlink"/>
            <w:noProof/>
          </w:rPr>
          <w:t xml:space="preserve"> REGIONAL GROWTH PLAN</w:t>
        </w:r>
        <w:r w:rsidR="00DF1843">
          <w:rPr>
            <w:noProof/>
            <w:webHidden/>
          </w:rPr>
          <w:tab/>
        </w:r>
        <w:r>
          <w:rPr>
            <w:noProof/>
            <w:webHidden/>
          </w:rPr>
          <w:fldChar w:fldCharType="begin"/>
        </w:r>
        <w:r w:rsidR="00DF1843">
          <w:rPr>
            <w:noProof/>
            <w:webHidden/>
          </w:rPr>
          <w:instrText xml:space="preserve"> PAGEREF _Toc376791257 \h </w:instrText>
        </w:r>
        <w:r>
          <w:rPr>
            <w:noProof/>
            <w:webHidden/>
          </w:rPr>
        </w:r>
        <w:r>
          <w:rPr>
            <w:noProof/>
            <w:webHidden/>
          </w:rPr>
          <w:fldChar w:fldCharType="separate"/>
        </w:r>
        <w:r w:rsidR="001D67DE">
          <w:rPr>
            <w:noProof/>
            <w:webHidden/>
          </w:rPr>
          <w:t>52</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58" w:history="1">
        <w:r w:rsidR="00DF1843" w:rsidRPr="005A08C5">
          <w:rPr>
            <w:rStyle w:val="Hyperlink"/>
            <w:noProof/>
          </w:rPr>
          <w:t>15.</w:t>
        </w:r>
        <w:r w:rsidR="00DF1843">
          <w:rPr>
            <w:rFonts w:asciiTheme="minorHAnsi" w:eastAsiaTheme="minorEastAsia" w:hAnsiTheme="minorHAnsi" w:cstheme="minorBidi"/>
            <w:noProof/>
            <w:lang w:eastAsia="en-AU"/>
          </w:rPr>
          <w:tab/>
        </w:r>
        <w:r w:rsidR="00DF1843" w:rsidRPr="005A08C5">
          <w:rPr>
            <w:rStyle w:val="Hyperlink"/>
            <w:noProof/>
          </w:rPr>
          <w:t>Future directions for regional growth</w:t>
        </w:r>
        <w:r w:rsidR="00DF1843">
          <w:rPr>
            <w:noProof/>
            <w:webHidden/>
          </w:rPr>
          <w:tab/>
        </w:r>
        <w:r>
          <w:rPr>
            <w:noProof/>
            <w:webHidden/>
          </w:rPr>
          <w:fldChar w:fldCharType="begin"/>
        </w:r>
        <w:r w:rsidR="00DF1843">
          <w:rPr>
            <w:noProof/>
            <w:webHidden/>
          </w:rPr>
          <w:instrText xml:space="preserve"> PAGEREF _Toc376791258 \h </w:instrText>
        </w:r>
        <w:r>
          <w:rPr>
            <w:noProof/>
            <w:webHidden/>
          </w:rPr>
        </w:r>
        <w:r>
          <w:rPr>
            <w:noProof/>
            <w:webHidden/>
          </w:rPr>
          <w:fldChar w:fldCharType="separate"/>
        </w:r>
        <w:r w:rsidR="001D67DE">
          <w:rPr>
            <w:noProof/>
            <w:webHidden/>
          </w:rPr>
          <w:t>52</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59" w:history="1">
        <w:r w:rsidR="00DF1843" w:rsidRPr="005A08C5">
          <w:rPr>
            <w:rStyle w:val="Hyperlink"/>
            <w:noProof/>
          </w:rPr>
          <w:t>PART E:</w:t>
        </w:r>
        <w:r w:rsidR="00DF1843">
          <w:rPr>
            <w:rFonts w:asciiTheme="minorHAnsi" w:eastAsiaTheme="minorEastAsia" w:hAnsiTheme="minorHAnsi" w:cstheme="minorBidi"/>
            <w:noProof/>
            <w:lang w:eastAsia="en-AU"/>
          </w:rPr>
          <w:tab/>
        </w:r>
        <w:r w:rsidR="00DF1843" w:rsidRPr="005A08C5">
          <w:rPr>
            <w:rStyle w:val="Hyperlink"/>
            <w:noProof/>
          </w:rPr>
          <w:t>DELIVERING REGIONAL GROWTH</w:t>
        </w:r>
        <w:r w:rsidR="00DF1843">
          <w:rPr>
            <w:noProof/>
            <w:webHidden/>
          </w:rPr>
          <w:tab/>
        </w:r>
        <w:r>
          <w:rPr>
            <w:noProof/>
            <w:webHidden/>
          </w:rPr>
          <w:fldChar w:fldCharType="begin"/>
        </w:r>
        <w:r w:rsidR="00DF1843">
          <w:rPr>
            <w:noProof/>
            <w:webHidden/>
          </w:rPr>
          <w:instrText xml:space="preserve"> PAGEREF _Toc376791259 \h </w:instrText>
        </w:r>
        <w:r>
          <w:rPr>
            <w:noProof/>
            <w:webHidden/>
          </w:rPr>
        </w:r>
        <w:r>
          <w:rPr>
            <w:noProof/>
            <w:webHidden/>
          </w:rPr>
          <w:fldChar w:fldCharType="separate"/>
        </w:r>
        <w:r w:rsidR="001D67DE">
          <w:rPr>
            <w:noProof/>
            <w:webHidden/>
          </w:rPr>
          <w:t>56</w:t>
        </w:r>
        <w:r>
          <w:rPr>
            <w:noProof/>
            <w:webHidden/>
          </w:rPr>
          <w:fldChar w:fldCharType="end"/>
        </w:r>
      </w:hyperlink>
    </w:p>
    <w:p w:rsidR="00DF1843" w:rsidRDefault="00E2132D">
      <w:pPr>
        <w:pStyle w:val="TOC1"/>
        <w:rPr>
          <w:rFonts w:asciiTheme="minorHAnsi" w:eastAsiaTheme="minorEastAsia" w:hAnsiTheme="minorHAnsi" w:cstheme="minorBidi"/>
          <w:noProof/>
          <w:lang w:eastAsia="en-AU"/>
        </w:rPr>
      </w:pPr>
      <w:hyperlink w:anchor="_Toc376791260" w:history="1">
        <w:r w:rsidR="00DF1843" w:rsidRPr="005A08C5">
          <w:rPr>
            <w:rStyle w:val="Hyperlink"/>
            <w:noProof/>
          </w:rPr>
          <w:t>16.</w:t>
        </w:r>
        <w:r w:rsidR="00DF1843">
          <w:rPr>
            <w:rFonts w:asciiTheme="minorHAnsi" w:eastAsiaTheme="minorEastAsia" w:hAnsiTheme="minorHAnsi" w:cstheme="minorBidi"/>
            <w:noProof/>
            <w:lang w:eastAsia="en-AU"/>
          </w:rPr>
          <w:tab/>
        </w:r>
        <w:r w:rsidR="00DF1843" w:rsidRPr="005A08C5">
          <w:rPr>
            <w:rStyle w:val="Hyperlink"/>
            <w:noProof/>
          </w:rPr>
          <w:t>Implementation</w:t>
        </w:r>
        <w:r w:rsidR="00DF1843">
          <w:rPr>
            <w:noProof/>
            <w:webHidden/>
          </w:rPr>
          <w:tab/>
        </w:r>
        <w:r>
          <w:rPr>
            <w:noProof/>
            <w:webHidden/>
          </w:rPr>
          <w:fldChar w:fldCharType="begin"/>
        </w:r>
        <w:r w:rsidR="00DF1843">
          <w:rPr>
            <w:noProof/>
            <w:webHidden/>
          </w:rPr>
          <w:instrText xml:space="preserve"> PAGEREF _Toc376791260 \h </w:instrText>
        </w:r>
        <w:r>
          <w:rPr>
            <w:noProof/>
            <w:webHidden/>
          </w:rPr>
        </w:r>
        <w:r>
          <w:rPr>
            <w:noProof/>
            <w:webHidden/>
          </w:rPr>
          <w:fldChar w:fldCharType="separate"/>
        </w:r>
        <w:r w:rsidR="001D67DE">
          <w:rPr>
            <w:noProof/>
            <w:webHidden/>
          </w:rPr>
          <w:t>56</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61" w:history="1">
        <w:r w:rsidR="00DF1843" w:rsidRPr="005A08C5">
          <w:rPr>
            <w:rStyle w:val="Hyperlink"/>
            <w:noProof/>
          </w:rPr>
          <w:t>16.1</w:t>
        </w:r>
        <w:r w:rsidR="00DF1843">
          <w:rPr>
            <w:rFonts w:asciiTheme="minorHAnsi" w:eastAsiaTheme="minorEastAsia" w:hAnsiTheme="minorHAnsi" w:cstheme="minorBidi"/>
            <w:noProof/>
            <w:lang w:eastAsia="en-AU"/>
          </w:rPr>
          <w:tab/>
        </w:r>
        <w:r w:rsidR="00DF1843" w:rsidRPr="005A08C5">
          <w:rPr>
            <w:rStyle w:val="Hyperlink"/>
            <w:noProof/>
          </w:rPr>
          <w:t>Planning schemes</w:t>
        </w:r>
        <w:r w:rsidR="00DF1843">
          <w:rPr>
            <w:noProof/>
            <w:webHidden/>
          </w:rPr>
          <w:tab/>
        </w:r>
        <w:r>
          <w:rPr>
            <w:noProof/>
            <w:webHidden/>
          </w:rPr>
          <w:fldChar w:fldCharType="begin"/>
        </w:r>
        <w:r w:rsidR="00DF1843">
          <w:rPr>
            <w:noProof/>
            <w:webHidden/>
          </w:rPr>
          <w:instrText xml:space="preserve"> PAGEREF _Toc376791261 \h </w:instrText>
        </w:r>
        <w:r>
          <w:rPr>
            <w:noProof/>
            <w:webHidden/>
          </w:rPr>
        </w:r>
        <w:r>
          <w:rPr>
            <w:noProof/>
            <w:webHidden/>
          </w:rPr>
          <w:fldChar w:fldCharType="separate"/>
        </w:r>
        <w:r w:rsidR="001D67DE">
          <w:rPr>
            <w:noProof/>
            <w:webHidden/>
          </w:rPr>
          <w:t>56</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62" w:history="1">
        <w:r w:rsidR="00DF1843" w:rsidRPr="005A08C5">
          <w:rPr>
            <w:rStyle w:val="Hyperlink"/>
            <w:noProof/>
          </w:rPr>
          <w:t>16.2</w:t>
        </w:r>
        <w:r w:rsidR="00DF1843">
          <w:rPr>
            <w:rFonts w:asciiTheme="minorHAnsi" w:eastAsiaTheme="minorEastAsia" w:hAnsiTheme="minorHAnsi" w:cstheme="minorBidi"/>
            <w:noProof/>
            <w:lang w:eastAsia="en-AU"/>
          </w:rPr>
          <w:tab/>
        </w:r>
        <w:r w:rsidR="00DF1843" w:rsidRPr="005A08C5">
          <w:rPr>
            <w:rStyle w:val="Hyperlink"/>
            <w:noProof/>
          </w:rPr>
          <w:t>Links to Regional Strategic Plan implementation</w:t>
        </w:r>
        <w:r w:rsidR="00DF1843">
          <w:rPr>
            <w:noProof/>
            <w:webHidden/>
          </w:rPr>
          <w:tab/>
        </w:r>
        <w:r>
          <w:rPr>
            <w:noProof/>
            <w:webHidden/>
          </w:rPr>
          <w:fldChar w:fldCharType="begin"/>
        </w:r>
        <w:r w:rsidR="00DF1843">
          <w:rPr>
            <w:noProof/>
            <w:webHidden/>
          </w:rPr>
          <w:instrText xml:space="preserve"> PAGEREF _Toc376791262 \h </w:instrText>
        </w:r>
        <w:r>
          <w:rPr>
            <w:noProof/>
            <w:webHidden/>
          </w:rPr>
        </w:r>
        <w:r>
          <w:rPr>
            <w:noProof/>
            <w:webHidden/>
          </w:rPr>
          <w:fldChar w:fldCharType="separate"/>
        </w:r>
        <w:r w:rsidR="001D67DE">
          <w:rPr>
            <w:noProof/>
            <w:webHidden/>
          </w:rPr>
          <w:t>56</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63" w:history="1">
        <w:r w:rsidR="00DF1843" w:rsidRPr="005A08C5">
          <w:rPr>
            <w:rStyle w:val="Hyperlink"/>
            <w:noProof/>
          </w:rPr>
          <w:t>16.3</w:t>
        </w:r>
        <w:r w:rsidR="00DF1843">
          <w:rPr>
            <w:rFonts w:asciiTheme="minorHAnsi" w:eastAsiaTheme="minorEastAsia" w:hAnsiTheme="minorHAnsi" w:cstheme="minorBidi"/>
            <w:noProof/>
            <w:lang w:eastAsia="en-AU"/>
          </w:rPr>
          <w:tab/>
        </w:r>
        <w:r w:rsidR="00DF1843" w:rsidRPr="005A08C5">
          <w:rPr>
            <w:rStyle w:val="Hyperlink"/>
            <w:noProof/>
          </w:rPr>
          <w:t>A plan for implementation of actions</w:t>
        </w:r>
        <w:r w:rsidR="00DF1843">
          <w:rPr>
            <w:noProof/>
            <w:webHidden/>
          </w:rPr>
          <w:tab/>
        </w:r>
        <w:r>
          <w:rPr>
            <w:noProof/>
            <w:webHidden/>
          </w:rPr>
          <w:fldChar w:fldCharType="begin"/>
        </w:r>
        <w:r w:rsidR="00DF1843">
          <w:rPr>
            <w:noProof/>
            <w:webHidden/>
          </w:rPr>
          <w:instrText xml:space="preserve"> PAGEREF _Toc376791263 \h </w:instrText>
        </w:r>
        <w:r>
          <w:rPr>
            <w:noProof/>
            <w:webHidden/>
          </w:rPr>
        </w:r>
        <w:r>
          <w:rPr>
            <w:noProof/>
            <w:webHidden/>
          </w:rPr>
          <w:fldChar w:fldCharType="separate"/>
        </w:r>
        <w:r w:rsidR="001D67DE">
          <w:rPr>
            <w:noProof/>
            <w:webHidden/>
          </w:rPr>
          <w:t>56</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64" w:history="1">
        <w:r w:rsidR="00DF1843" w:rsidRPr="005A08C5">
          <w:rPr>
            <w:rStyle w:val="Hyperlink"/>
            <w:noProof/>
          </w:rPr>
          <w:t>16.4</w:t>
        </w:r>
        <w:r w:rsidR="00DF1843">
          <w:rPr>
            <w:rFonts w:asciiTheme="minorHAnsi" w:eastAsiaTheme="minorEastAsia" w:hAnsiTheme="minorHAnsi" w:cstheme="minorBidi"/>
            <w:noProof/>
            <w:lang w:eastAsia="en-AU"/>
          </w:rPr>
          <w:tab/>
        </w:r>
        <w:r w:rsidR="00DF1843" w:rsidRPr="005A08C5">
          <w:rPr>
            <w:rStyle w:val="Hyperlink"/>
            <w:noProof/>
          </w:rPr>
          <w:t>Review and performance</w:t>
        </w:r>
        <w:r w:rsidR="00DF1843">
          <w:rPr>
            <w:noProof/>
            <w:webHidden/>
          </w:rPr>
          <w:tab/>
        </w:r>
        <w:r>
          <w:rPr>
            <w:noProof/>
            <w:webHidden/>
          </w:rPr>
          <w:fldChar w:fldCharType="begin"/>
        </w:r>
        <w:r w:rsidR="00DF1843">
          <w:rPr>
            <w:noProof/>
            <w:webHidden/>
          </w:rPr>
          <w:instrText xml:space="preserve"> PAGEREF _Toc376791264 \h </w:instrText>
        </w:r>
        <w:r>
          <w:rPr>
            <w:noProof/>
            <w:webHidden/>
          </w:rPr>
        </w:r>
        <w:r>
          <w:rPr>
            <w:noProof/>
            <w:webHidden/>
          </w:rPr>
          <w:fldChar w:fldCharType="separate"/>
        </w:r>
        <w:r w:rsidR="001D67DE">
          <w:rPr>
            <w:noProof/>
            <w:webHidden/>
          </w:rPr>
          <w:t>58</w:t>
        </w:r>
        <w:r>
          <w:rPr>
            <w:noProof/>
            <w:webHidden/>
          </w:rPr>
          <w:fldChar w:fldCharType="end"/>
        </w:r>
      </w:hyperlink>
    </w:p>
    <w:p w:rsidR="00DF1843" w:rsidRDefault="00E2132D">
      <w:pPr>
        <w:pStyle w:val="TOC2"/>
        <w:rPr>
          <w:rFonts w:asciiTheme="minorHAnsi" w:eastAsiaTheme="minorEastAsia" w:hAnsiTheme="minorHAnsi" w:cstheme="minorBidi"/>
          <w:noProof/>
          <w:lang w:eastAsia="en-AU"/>
        </w:rPr>
      </w:pPr>
      <w:hyperlink w:anchor="_Toc376791265" w:history="1">
        <w:r w:rsidR="00DF1843" w:rsidRPr="005A08C5">
          <w:rPr>
            <w:rStyle w:val="Hyperlink"/>
            <w:noProof/>
          </w:rPr>
          <w:t>16.5</w:t>
        </w:r>
        <w:r w:rsidR="00DF1843">
          <w:rPr>
            <w:rFonts w:asciiTheme="minorHAnsi" w:eastAsiaTheme="minorEastAsia" w:hAnsiTheme="minorHAnsi" w:cstheme="minorBidi"/>
            <w:noProof/>
            <w:lang w:eastAsia="en-AU"/>
          </w:rPr>
          <w:tab/>
        </w:r>
        <w:r w:rsidR="00DF1843" w:rsidRPr="005A08C5">
          <w:rPr>
            <w:rStyle w:val="Hyperlink"/>
            <w:noProof/>
          </w:rPr>
          <w:t>Implementation summary</w:t>
        </w:r>
        <w:r w:rsidR="00DF1843">
          <w:rPr>
            <w:noProof/>
            <w:webHidden/>
          </w:rPr>
          <w:tab/>
        </w:r>
        <w:r>
          <w:rPr>
            <w:noProof/>
            <w:webHidden/>
          </w:rPr>
          <w:fldChar w:fldCharType="begin"/>
        </w:r>
        <w:r w:rsidR="00DF1843">
          <w:rPr>
            <w:noProof/>
            <w:webHidden/>
          </w:rPr>
          <w:instrText xml:space="preserve"> PAGEREF _Toc376791265 \h </w:instrText>
        </w:r>
        <w:r>
          <w:rPr>
            <w:noProof/>
            <w:webHidden/>
          </w:rPr>
        </w:r>
        <w:r>
          <w:rPr>
            <w:noProof/>
            <w:webHidden/>
          </w:rPr>
          <w:fldChar w:fldCharType="separate"/>
        </w:r>
        <w:r w:rsidR="001D67DE">
          <w:rPr>
            <w:noProof/>
            <w:webHidden/>
          </w:rPr>
          <w:t>58</w:t>
        </w:r>
        <w:r>
          <w:rPr>
            <w:noProof/>
            <w:webHidden/>
          </w:rPr>
          <w:fldChar w:fldCharType="end"/>
        </w:r>
      </w:hyperlink>
    </w:p>
    <w:p w:rsidR="00E7607E" w:rsidRDefault="00E2132D" w:rsidP="006C3211">
      <w:pPr>
        <w:pStyle w:val="TOC1"/>
      </w:pPr>
      <w:hyperlink w:anchor="_Toc376791266" w:history="1">
        <w:r w:rsidR="00DF1843" w:rsidRPr="005A08C5">
          <w:rPr>
            <w:rStyle w:val="Hyperlink"/>
            <w:noProof/>
          </w:rPr>
          <w:t>Glossary</w:t>
        </w:r>
        <w:r w:rsidR="00DF1843">
          <w:rPr>
            <w:noProof/>
            <w:webHidden/>
          </w:rPr>
          <w:tab/>
        </w:r>
        <w:r w:rsidR="000E69CD">
          <w:rPr>
            <w:noProof/>
            <w:webHidden/>
          </w:rPr>
          <w:tab/>
        </w:r>
        <w:r>
          <w:rPr>
            <w:noProof/>
            <w:webHidden/>
          </w:rPr>
          <w:fldChar w:fldCharType="begin"/>
        </w:r>
        <w:r w:rsidR="00DF1843">
          <w:rPr>
            <w:noProof/>
            <w:webHidden/>
          </w:rPr>
          <w:instrText xml:space="preserve"> PAGEREF _Toc376791266 \h </w:instrText>
        </w:r>
        <w:r>
          <w:rPr>
            <w:noProof/>
            <w:webHidden/>
          </w:rPr>
        </w:r>
        <w:r>
          <w:rPr>
            <w:noProof/>
            <w:webHidden/>
          </w:rPr>
          <w:fldChar w:fldCharType="separate"/>
        </w:r>
        <w:r w:rsidR="001D67DE">
          <w:rPr>
            <w:noProof/>
            <w:webHidden/>
          </w:rPr>
          <w:t>60</w:t>
        </w:r>
        <w:r>
          <w:rPr>
            <w:noProof/>
            <w:webHidden/>
          </w:rPr>
          <w:fldChar w:fldCharType="end"/>
        </w:r>
      </w:hyperlink>
      <w:r w:rsidRPr="00283CEC">
        <w:fldChar w:fldCharType="end"/>
      </w:r>
    </w:p>
    <w:p w:rsidR="00E02F62" w:rsidRPr="00283CEC" w:rsidRDefault="00E02F62" w:rsidP="002717D5">
      <w:pPr>
        <w:pStyle w:val="TOCHeading"/>
      </w:pPr>
      <w:r w:rsidRPr="00283CEC">
        <w:t>Tables</w:t>
      </w:r>
    </w:p>
    <w:p w:rsidR="007E31A2" w:rsidRDefault="00E2132D">
      <w:pPr>
        <w:pStyle w:val="TableofFigures"/>
        <w:tabs>
          <w:tab w:val="right" w:leader="dot" w:pos="9016"/>
        </w:tabs>
        <w:rPr>
          <w:rFonts w:asciiTheme="minorHAnsi" w:eastAsiaTheme="minorEastAsia" w:hAnsiTheme="minorHAnsi" w:cstheme="minorBidi"/>
          <w:noProof/>
          <w:lang w:eastAsia="en-AU"/>
        </w:rPr>
      </w:pPr>
      <w:r w:rsidRPr="00283CEC">
        <w:fldChar w:fldCharType="begin"/>
      </w:r>
      <w:r w:rsidR="00D47139" w:rsidRPr="00283CEC">
        <w:instrText xml:space="preserve"> TOC \c "Table" </w:instrText>
      </w:r>
      <w:r w:rsidRPr="00283CEC">
        <w:fldChar w:fldCharType="separate"/>
      </w:r>
      <w:r w:rsidR="007E31A2">
        <w:rPr>
          <w:noProof/>
        </w:rPr>
        <w:t xml:space="preserve">Table 1: </w:t>
      </w:r>
      <w:r w:rsidR="007E31A2" w:rsidRPr="00C74E33">
        <w:rPr>
          <w:noProof/>
        </w:rPr>
        <w:t>Gippsland fast facts</w:t>
      </w:r>
      <w:r w:rsidR="007E31A2">
        <w:rPr>
          <w:noProof/>
        </w:rPr>
        <w:tab/>
      </w:r>
      <w:r>
        <w:rPr>
          <w:noProof/>
        </w:rPr>
        <w:fldChar w:fldCharType="begin"/>
      </w:r>
      <w:r w:rsidR="007E31A2">
        <w:rPr>
          <w:noProof/>
        </w:rPr>
        <w:instrText xml:space="preserve"> PAGEREF _Toc374361096 \h </w:instrText>
      </w:r>
      <w:r>
        <w:rPr>
          <w:noProof/>
        </w:rPr>
      </w:r>
      <w:r>
        <w:rPr>
          <w:noProof/>
        </w:rPr>
        <w:fldChar w:fldCharType="separate"/>
      </w:r>
      <w:r w:rsidR="001D67DE">
        <w:rPr>
          <w:noProof/>
        </w:rPr>
        <w:t>6</w:t>
      </w:r>
      <w:r>
        <w:rPr>
          <w:noProof/>
        </w:rPr>
        <w:fldChar w:fldCharType="end"/>
      </w:r>
    </w:p>
    <w:p w:rsidR="007E31A2" w:rsidRDefault="007E31A2">
      <w:pPr>
        <w:pStyle w:val="TableofFigures"/>
        <w:tabs>
          <w:tab w:val="right" w:leader="dot" w:pos="9016"/>
        </w:tabs>
        <w:rPr>
          <w:rFonts w:asciiTheme="minorHAnsi" w:eastAsiaTheme="minorEastAsia" w:hAnsiTheme="minorHAnsi" w:cstheme="minorBidi"/>
          <w:noProof/>
          <w:lang w:eastAsia="en-AU"/>
        </w:rPr>
      </w:pPr>
      <w:r>
        <w:rPr>
          <w:noProof/>
        </w:rPr>
        <w:t xml:space="preserve">Table 2: </w:t>
      </w:r>
      <w:r w:rsidRPr="00C74E33">
        <w:rPr>
          <w:noProof/>
        </w:rPr>
        <w:t>Local government areas projected population</w:t>
      </w:r>
      <w:r>
        <w:rPr>
          <w:noProof/>
        </w:rPr>
        <w:tab/>
      </w:r>
      <w:r w:rsidR="00E2132D">
        <w:rPr>
          <w:noProof/>
        </w:rPr>
        <w:fldChar w:fldCharType="begin"/>
      </w:r>
      <w:r>
        <w:rPr>
          <w:noProof/>
        </w:rPr>
        <w:instrText xml:space="preserve"> PAGEREF _Toc374361097 \h </w:instrText>
      </w:r>
      <w:r w:rsidR="00E2132D">
        <w:rPr>
          <w:noProof/>
        </w:rPr>
      </w:r>
      <w:r w:rsidR="00E2132D">
        <w:rPr>
          <w:noProof/>
        </w:rPr>
        <w:fldChar w:fldCharType="separate"/>
      </w:r>
      <w:r w:rsidR="001D67DE">
        <w:rPr>
          <w:noProof/>
        </w:rPr>
        <w:t>7</w:t>
      </w:r>
      <w:r w:rsidR="00E2132D">
        <w:rPr>
          <w:noProof/>
        </w:rPr>
        <w:fldChar w:fldCharType="end"/>
      </w:r>
    </w:p>
    <w:p w:rsidR="007E31A2" w:rsidRDefault="007E31A2">
      <w:pPr>
        <w:pStyle w:val="TableofFigures"/>
        <w:tabs>
          <w:tab w:val="right" w:leader="dot" w:pos="9016"/>
        </w:tabs>
        <w:rPr>
          <w:rFonts w:asciiTheme="minorHAnsi" w:eastAsiaTheme="minorEastAsia" w:hAnsiTheme="minorHAnsi" w:cstheme="minorBidi"/>
          <w:noProof/>
          <w:lang w:eastAsia="en-AU"/>
        </w:rPr>
      </w:pPr>
      <w:r>
        <w:rPr>
          <w:noProof/>
        </w:rPr>
        <w:t xml:space="preserve">Table 3: </w:t>
      </w:r>
      <w:r w:rsidRPr="00C74E33">
        <w:rPr>
          <w:noProof/>
        </w:rPr>
        <w:t>Indicative household demand and land supply</w:t>
      </w:r>
      <w:r>
        <w:rPr>
          <w:noProof/>
        </w:rPr>
        <w:tab/>
      </w:r>
      <w:r w:rsidR="00E2132D">
        <w:rPr>
          <w:noProof/>
        </w:rPr>
        <w:fldChar w:fldCharType="begin"/>
      </w:r>
      <w:r>
        <w:rPr>
          <w:noProof/>
        </w:rPr>
        <w:instrText xml:space="preserve"> PAGEREF _Toc374361098 \h </w:instrText>
      </w:r>
      <w:r w:rsidR="00E2132D">
        <w:rPr>
          <w:noProof/>
        </w:rPr>
      </w:r>
      <w:r w:rsidR="00E2132D">
        <w:rPr>
          <w:noProof/>
        </w:rPr>
        <w:fldChar w:fldCharType="separate"/>
      </w:r>
      <w:r w:rsidR="001D67DE">
        <w:rPr>
          <w:noProof/>
        </w:rPr>
        <w:t>35</w:t>
      </w:r>
      <w:r w:rsidR="00E2132D">
        <w:rPr>
          <w:noProof/>
        </w:rPr>
        <w:fldChar w:fldCharType="end"/>
      </w:r>
    </w:p>
    <w:p w:rsidR="007E31A2" w:rsidRDefault="007E31A2">
      <w:pPr>
        <w:pStyle w:val="TableofFigures"/>
        <w:tabs>
          <w:tab w:val="right" w:leader="dot" w:pos="9016"/>
        </w:tabs>
        <w:rPr>
          <w:rFonts w:asciiTheme="minorHAnsi" w:eastAsiaTheme="minorEastAsia" w:hAnsiTheme="minorHAnsi" w:cstheme="minorBidi"/>
          <w:noProof/>
          <w:lang w:eastAsia="en-AU"/>
        </w:rPr>
      </w:pPr>
      <w:r>
        <w:rPr>
          <w:noProof/>
        </w:rPr>
        <w:t xml:space="preserve">Table 4: </w:t>
      </w:r>
      <w:r w:rsidRPr="00C74E33">
        <w:rPr>
          <w:noProof/>
        </w:rPr>
        <w:t>Summary of infrastructure considerations</w:t>
      </w:r>
      <w:r>
        <w:rPr>
          <w:noProof/>
        </w:rPr>
        <w:tab/>
      </w:r>
      <w:r w:rsidR="00E2132D">
        <w:rPr>
          <w:noProof/>
        </w:rPr>
        <w:fldChar w:fldCharType="begin"/>
      </w:r>
      <w:r>
        <w:rPr>
          <w:noProof/>
        </w:rPr>
        <w:instrText xml:space="preserve"> PAGEREF _Toc374361099 \h </w:instrText>
      </w:r>
      <w:r w:rsidR="00E2132D">
        <w:rPr>
          <w:noProof/>
        </w:rPr>
      </w:r>
      <w:r w:rsidR="00E2132D">
        <w:rPr>
          <w:noProof/>
        </w:rPr>
        <w:fldChar w:fldCharType="separate"/>
      </w:r>
      <w:r w:rsidR="001D67DE">
        <w:rPr>
          <w:noProof/>
        </w:rPr>
        <w:t>40</w:t>
      </w:r>
      <w:r w:rsidR="00E2132D">
        <w:rPr>
          <w:noProof/>
        </w:rPr>
        <w:fldChar w:fldCharType="end"/>
      </w:r>
    </w:p>
    <w:p w:rsidR="007E31A2" w:rsidRDefault="007E31A2">
      <w:pPr>
        <w:pStyle w:val="TableofFigures"/>
        <w:tabs>
          <w:tab w:val="right" w:leader="dot" w:pos="9016"/>
        </w:tabs>
        <w:rPr>
          <w:rFonts w:asciiTheme="minorHAnsi" w:eastAsiaTheme="minorEastAsia" w:hAnsiTheme="minorHAnsi" w:cstheme="minorBidi"/>
          <w:noProof/>
          <w:lang w:eastAsia="en-AU"/>
        </w:rPr>
      </w:pPr>
      <w:r>
        <w:rPr>
          <w:noProof/>
        </w:rPr>
        <w:t xml:space="preserve">Table 5: </w:t>
      </w:r>
      <w:r w:rsidRPr="00C74E33">
        <w:rPr>
          <w:noProof/>
        </w:rPr>
        <w:t>Overview of strategies for regional growth</w:t>
      </w:r>
      <w:r>
        <w:rPr>
          <w:noProof/>
        </w:rPr>
        <w:tab/>
      </w:r>
      <w:r w:rsidR="00E2132D">
        <w:rPr>
          <w:noProof/>
        </w:rPr>
        <w:fldChar w:fldCharType="begin"/>
      </w:r>
      <w:r>
        <w:rPr>
          <w:noProof/>
        </w:rPr>
        <w:instrText xml:space="preserve"> PAGEREF _Toc374361100 \h </w:instrText>
      </w:r>
      <w:r w:rsidR="00E2132D">
        <w:rPr>
          <w:noProof/>
        </w:rPr>
      </w:r>
      <w:r w:rsidR="00E2132D">
        <w:rPr>
          <w:noProof/>
        </w:rPr>
        <w:fldChar w:fldCharType="separate"/>
      </w:r>
      <w:r w:rsidR="001D67DE">
        <w:rPr>
          <w:noProof/>
        </w:rPr>
        <w:t>52</w:t>
      </w:r>
      <w:r w:rsidR="00E2132D">
        <w:rPr>
          <w:noProof/>
        </w:rPr>
        <w:fldChar w:fldCharType="end"/>
      </w:r>
    </w:p>
    <w:p w:rsidR="00665BC5" w:rsidRPr="00283CEC" w:rsidRDefault="00E2132D" w:rsidP="002C3AF4">
      <w:pPr>
        <w:pStyle w:val="TableofFigures"/>
      </w:pPr>
      <w:r w:rsidRPr="00283CEC">
        <w:fldChar w:fldCharType="end"/>
      </w:r>
    </w:p>
    <w:p w:rsidR="00AE29CC" w:rsidRPr="00283CEC" w:rsidRDefault="00AE29CC" w:rsidP="002C3AF4">
      <w:pPr>
        <w:pStyle w:val="TableofFigures"/>
        <w:sectPr w:rsidR="00AE29CC" w:rsidRPr="00283CEC" w:rsidSect="006B6033">
          <w:headerReference w:type="default" r:id="rId14"/>
          <w:footerReference w:type="default" r:id="rId15"/>
          <w:headerReference w:type="first" r:id="rId16"/>
          <w:footerReference w:type="first" r:id="rId17"/>
          <w:pgSz w:w="11906" w:h="16838"/>
          <w:pgMar w:top="1440" w:right="1440" w:bottom="1440" w:left="1440" w:header="708" w:footer="708" w:gutter="0"/>
          <w:cols w:space="708"/>
          <w:docGrid w:linePitch="360"/>
        </w:sectPr>
      </w:pPr>
    </w:p>
    <w:p w:rsidR="00A13A59" w:rsidRPr="00283CEC" w:rsidRDefault="00A13A59" w:rsidP="002C3AF4">
      <w:pPr>
        <w:pStyle w:val="Heading1"/>
      </w:pPr>
      <w:bookmarkStart w:id="3" w:name="_Toc376791228"/>
      <w:r w:rsidRPr="00283CEC">
        <w:t>EXECUTIVE SUMMARY</w:t>
      </w:r>
      <w:bookmarkEnd w:id="3"/>
    </w:p>
    <w:p w:rsidR="0024367C" w:rsidRPr="00283CEC" w:rsidRDefault="0024367C" w:rsidP="0024367C">
      <w:pPr>
        <w:pStyle w:val="bt"/>
      </w:pPr>
      <w:r w:rsidRPr="00283CEC">
        <w:t xml:space="preserve">Gippsland has always been an important driver of the Victorian and Australian economies because of its vital role in supplying energy, earth resources, water and food. It also comprises nationally recognised tourist destinations and some of the state’s most important environmental </w:t>
      </w:r>
      <w:r w:rsidR="00D62722" w:rsidRPr="00283CEC">
        <w:t xml:space="preserve">and cultural heritage </w:t>
      </w:r>
      <w:r w:rsidRPr="00283CEC">
        <w:t xml:space="preserve">assets. </w:t>
      </w:r>
      <w:r w:rsidR="009904C2" w:rsidRPr="00283CEC">
        <w:t xml:space="preserve">The </w:t>
      </w:r>
      <w:r w:rsidR="00804CAA" w:rsidRPr="00283CEC">
        <w:rPr>
          <w:rStyle w:val="Emphasis"/>
          <w:i w:val="0"/>
        </w:rPr>
        <w:t>Gippsland Regional Growth Plan</w:t>
      </w:r>
      <w:r w:rsidRPr="00283CEC">
        <w:rPr>
          <w:rStyle w:val="Emphasis"/>
          <w:i w:val="0"/>
        </w:rPr>
        <w:t xml:space="preserve"> </w:t>
      </w:r>
      <w:r w:rsidRPr="00283CEC">
        <w:t>will leverage off these regional assets to help create a healthy and thriving community</w:t>
      </w:r>
      <w:r w:rsidR="00C473D7" w:rsidRPr="00283CEC">
        <w:t>,</w:t>
      </w:r>
      <w:r w:rsidRPr="00283CEC">
        <w:t xml:space="preserve"> which is supported by a vibrant and diverse economy.  </w:t>
      </w:r>
    </w:p>
    <w:p w:rsidR="0024367C" w:rsidRPr="00283CEC" w:rsidRDefault="0024367C" w:rsidP="0024367C">
      <w:pPr>
        <w:pStyle w:val="bt"/>
      </w:pPr>
      <w:r w:rsidRPr="00283CEC">
        <w:t>Whil</w:t>
      </w:r>
      <w:r w:rsidR="00D74544" w:rsidRPr="00283CEC">
        <w:t>e</w:t>
      </w:r>
      <w:r w:rsidRPr="00283CEC">
        <w:t xml:space="preserve"> </w:t>
      </w:r>
      <w:r w:rsidR="009904C2" w:rsidRPr="00283CEC">
        <w:t xml:space="preserve">the </w:t>
      </w:r>
      <w:r w:rsidRPr="00283CEC">
        <w:t>Gippsland</w:t>
      </w:r>
      <w:r w:rsidR="009904C2" w:rsidRPr="00283CEC">
        <w:t xml:space="preserve"> region</w:t>
      </w:r>
      <w:r w:rsidRPr="00283CEC">
        <w:t xml:space="preserve"> has </w:t>
      </w:r>
      <w:r w:rsidR="00D74544" w:rsidRPr="00283CEC">
        <w:t xml:space="preserve">valuable </w:t>
      </w:r>
      <w:r w:rsidRPr="00283CEC">
        <w:t xml:space="preserve">assets </w:t>
      </w:r>
      <w:r w:rsidR="00F74180" w:rsidRPr="00283CEC">
        <w:t xml:space="preserve">that </w:t>
      </w:r>
      <w:r w:rsidRPr="00283CEC">
        <w:t>underpin its future, it is facing a period of change. Energy production needs to transition to a low carbon platform, new oil and gas fields need to be explored, and cleaner and greener value</w:t>
      </w:r>
      <w:r w:rsidR="00F74180" w:rsidRPr="00283CEC">
        <w:t>-</w:t>
      </w:r>
      <w:r w:rsidRPr="00283CEC">
        <w:t>adding opportunities are needed in natural resource and food production. Climate change will provide both challenges and opportunities for agriculture and place pressure on some coastal areas</w:t>
      </w:r>
      <w:r w:rsidR="00F74180" w:rsidRPr="00283CEC">
        <w:t xml:space="preserve">. There will also </w:t>
      </w:r>
      <w:r w:rsidRPr="00283CEC">
        <w:t xml:space="preserve">be a need to manage increased risks from </w:t>
      </w:r>
      <w:r w:rsidR="00FF3565" w:rsidRPr="00283CEC">
        <w:t>flood</w:t>
      </w:r>
      <w:r w:rsidRPr="00283CEC">
        <w:t xml:space="preserve">, </w:t>
      </w:r>
      <w:r w:rsidR="00FF3565" w:rsidRPr="00283CEC">
        <w:t>bushfire</w:t>
      </w:r>
      <w:r w:rsidR="00D62722" w:rsidRPr="00283CEC">
        <w:t>, coastal hazards</w:t>
      </w:r>
      <w:r w:rsidRPr="00283CEC">
        <w:t xml:space="preserve"> and rising sea levels. The </w:t>
      </w:r>
      <w:r w:rsidR="009904C2" w:rsidRPr="00283CEC">
        <w:t>r</w:t>
      </w:r>
      <w:r w:rsidRPr="00283CEC">
        <w:t>egion’s growing population needs to be accommodated</w:t>
      </w:r>
      <w:r w:rsidR="00F74180" w:rsidRPr="00283CEC">
        <w:t xml:space="preserve">, with a need for more </w:t>
      </w:r>
      <w:r w:rsidRPr="00283CEC">
        <w:t>housing choices, services and infrastructure.</w:t>
      </w:r>
    </w:p>
    <w:p w:rsidR="0024367C" w:rsidRPr="00283CEC" w:rsidRDefault="00F74180" w:rsidP="0024367C">
      <w:pPr>
        <w:pStyle w:val="bt"/>
      </w:pPr>
      <w:r w:rsidRPr="00283CEC">
        <w:t xml:space="preserve">This </w:t>
      </w:r>
      <w:r w:rsidR="00481E4D" w:rsidRPr="00283CEC">
        <w:t>p</w:t>
      </w:r>
      <w:r w:rsidRPr="00283CEC">
        <w:t xml:space="preserve">lan </w:t>
      </w:r>
      <w:r w:rsidR="0024367C" w:rsidRPr="00283CEC">
        <w:t xml:space="preserve">addresses </w:t>
      </w:r>
      <w:r w:rsidRPr="00283CEC">
        <w:t xml:space="preserve">a wide range of </w:t>
      </w:r>
      <w:r w:rsidR="0024367C" w:rsidRPr="00283CEC">
        <w:t xml:space="preserve">challenges by recognising Gippsland’s assets of regional significance and putting an integrated planning </w:t>
      </w:r>
      <w:r w:rsidR="006A1E64" w:rsidRPr="00283CEC">
        <w:t>framework in</w:t>
      </w:r>
      <w:r w:rsidRPr="00283CEC">
        <w:t xml:space="preserve"> place </w:t>
      </w:r>
      <w:r w:rsidR="0024367C" w:rsidRPr="00283CEC">
        <w:t>to direct and manage sustainable growth across the region. It establishes regional policy to guide the use and preservation of these assets and provides a higher level of certainty and direction for investors, infrastructure</w:t>
      </w:r>
      <w:r w:rsidR="00A139E5" w:rsidRPr="00283CEC">
        <w:t xml:space="preserve"> and </w:t>
      </w:r>
      <w:r w:rsidR="0024367C" w:rsidRPr="00283CEC">
        <w:t xml:space="preserve">service providers, </w:t>
      </w:r>
      <w:proofErr w:type="gramStart"/>
      <w:r w:rsidR="0024367C" w:rsidRPr="00283CEC">
        <w:t>the</w:t>
      </w:r>
      <w:proofErr w:type="gramEnd"/>
      <w:r w:rsidR="0024367C" w:rsidRPr="00283CEC">
        <w:t xml:space="preserve"> community and decision</w:t>
      </w:r>
      <w:r w:rsidR="00C473D7" w:rsidRPr="00283CEC">
        <w:t xml:space="preserve"> </w:t>
      </w:r>
      <w:r w:rsidR="0024367C" w:rsidRPr="00283CEC">
        <w:t>makers.</w:t>
      </w:r>
    </w:p>
    <w:p w:rsidR="0024367C" w:rsidRPr="00283CEC" w:rsidRDefault="00F74180" w:rsidP="0024367C">
      <w:pPr>
        <w:pStyle w:val="bt"/>
      </w:pPr>
      <w:r w:rsidRPr="00283CEC">
        <w:t xml:space="preserve">To </w:t>
      </w:r>
      <w:r w:rsidR="0024367C" w:rsidRPr="00283CEC">
        <w:t>grow and diversify Gippsland’s economy</w:t>
      </w:r>
      <w:r w:rsidR="00481E4D" w:rsidRPr="00283CEC">
        <w:t>,</w:t>
      </w:r>
      <w:r w:rsidR="0024367C" w:rsidRPr="00283CEC">
        <w:t xml:space="preserve"> and take advantage of value</w:t>
      </w:r>
      <w:r w:rsidRPr="00283CEC">
        <w:t>-</w:t>
      </w:r>
      <w:r w:rsidR="0024367C" w:rsidRPr="00283CEC">
        <w:t>adding opportunities within the region</w:t>
      </w:r>
      <w:r w:rsidRPr="00283CEC">
        <w:t>,</w:t>
      </w:r>
      <w:r w:rsidR="0024367C" w:rsidRPr="00283CEC">
        <w:t xml:space="preserve"> </w:t>
      </w:r>
      <w:r w:rsidRPr="00283CEC">
        <w:t>efforts should be focused on the sectors</w:t>
      </w:r>
      <w:r w:rsidR="00F1583C" w:rsidRPr="00283CEC">
        <w:t xml:space="preserve"> of </w:t>
      </w:r>
      <w:r w:rsidR="0024367C" w:rsidRPr="00283CEC">
        <w:t>energy and earth resources, agriculture, forestry, fisheries, commercial</w:t>
      </w:r>
      <w:r w:rsidR="00F1583C" w:rsidRPr="00283CEC">
        <w:t xml:space="preserve"> and </w:t>
      </w:r>
      <w:r w:rsidR="0024367C" w:rsidRPr="00283CEC">
        <w:t xml:space="preserve">industrial </w:t>
      </w:r>
      <w:r w:rsidR="00F1583C" w:rsidRPr="00283CEC">
        <w:t xml:space="preserve">development, </w:t>
      </w:r>
      <w:r w:rsidR="0024367C" w:rsidRPr="00283CEC">
        <w:t>and construction. Opportunities for strong employment growth are provided in the areas of tourism, knowledge and green industry sectors</w:t>
      </w:r>
      <w:r w:rsidR="00BA3C07" w:rsidRPr="00283CEC">
        <w:t xml:space="preserve"> such as sustainable and renewable technologies</w:t>
      </w:r>
      <w:r w:rsidR="0024367C" w:rsidRPr="00283CEC">
        <w:t xml:space="preserve">, and the service sector. Areas of strategic significance are identified for both agriculture and tourism to support the region’s aspirations </w:t>
      </w:r>
      <w:r w:rsidR="00F1583C" w:rsidRPr="00283CEC">
        <w:t xml:space="preserve">to be an important </w:t>
      </w:r>
      <w:r w:rsidR="005E41A0" w:rsidRPr="00283CEC">
        <w:t xml:space="preserve">contributor to the </w:t>
      </w:r>
      <w:r w:rsidR="00E3077E" w:rsidRPr="00283CEC">
        <w:t>state’s</w:t>
      </w:r>
      <w:r w:rsidR="005E41A0" w:rsidRPr="00283CEC">
        <w:t xml:space="preserve"> agriculture and food production </w:t>
      </w:r>
      <w:r w:rsidR="0024367C" w:rsidRPr="00283CEC">
        <w:t xml:space="preserve">for Australia and Asia, and </w:t>
      </w:r>
      <w:r w:rsidR="00F1583C" w:rsidRPr="00283CEC">
        <w:t xml:space="preserve">to increase employment in </w:t>
      </w:r>
      <w:r w:rsidR="0024367C" w:rsidRPr="00283CEC">
        <w:t>nature-based</w:t>
      </w:r>
      <w:r w:rsidR="00F504E4" w:rsidRPr="00283CEC">
        <w:t xml:space="preserve"> </w:t>
      </w:r>
      <w:r w:rsidR="0024367C" w:rsidRPr="00283CEC">
        <w:t>tourism.</w:t>
      </w:r>
    </w:p>
    <w:p w:rsidR="00BC2E3B" w:rsidRPr="00283CEC" w:rsidRDefault="0024367C" w:rsidP="0024367C">
      <w:pPr>
        <w:pStyle w:val="bt"/>
      </w:pPr>
      <w:r w:rsidRPr="00283CEC">
        <w:t xml:space="preserve">Gippsland is forecast to become </w:t>
      </w:r>
      <w:r w:rsidR="009904C2" w:rsidRPr="00283CEC">
        <w:t xml:space="preserve">a </w:t>
      </w:r>
      <w:r w:rsidRPr="00283CEC">
        <w:t xml:space="preserve">fast growing </w:t>
      </w:r>
      <w:r w:rsidR="009904C2" w:rsidRPr="00283CEC">
        <w:t xml:space="preserve">part </w:t>
      </w:r>
      <w:r w:rsidR="00F1583C" w:rsidRPr="00283CEC">
        <w:t xml:space="preserve">of </w:t>
      </w:r>
      <w:r w:rsidRPr="00283CEC">
        <w:t xml:space="preserve">Victoria as more </w:t>
      </w:r>
      <w:r w:rsidR="00FB5ACD" w:rsidRPr="00283CEC">
        <w:t xml:space="preserve">people relocate to the region from </w:t>
      </w:r>
      <w:r w:rsidRPr="00283CEC">
        <w:t xml:space="preserve">Melbourne. </w:t>
      </w:r>
      <w:r w:rsidR="00B41332" w:rsidRPr="00283CEC">
        <w:t>This plan considers the implication</w:t>
      </w:r>
      <w:r w:rsidR="007716FB" w:rsidRPr="00283CEC">
        <w:t>s</w:t>
      </w:r>
      <w:r w:rsidR="00B41332" w:rsidRPr="00283CEC">
        <w:t xml:space="preserve"> of growing the region to</w:t>
      </w:r>
      <w:r w:rsidRPr="00283CEC">
        <w:t xml:space="preserve"> a population </w:t>
      </w:r>
      <w:r w:rsidR="00F1583C" w:rsidRPr="00283CEC">
        <w:t xml:space="preserve">of </w:t>
      </w:r>
      <w:r w:rsidR="00625948" w:rsidRPr="00283CEC">
        <w:t>386</w:t>
      </w:r>
      <w:r w:rsidRPr="00283CEC">
        <w:t xml:space="preserve">,000 </w:t>
      </w:r>
      <w:r w:rsidR="00F1583C" w:rsidRPr="00283CEC">
        <w:t>by 2041, an</w:t>
      </w:r>
      <w:r w:rsidR="00625948" w:rsidRPr="00283CEC">
        <w:t xml:space="preserve"> increase of </w:t>
      </w:r>
      <w:r w:rsidR="00AF3972" w:rsidRPr="00283CEC">
        <w:t>116</w:t>
      </w:r>
      <w:r w:rsidRPr="00283CEC">
        <w:t>,</w:t>
      </w:r>
      <w:r w:rsidR="00AF3972" w:rsidRPr="00283CEC">
        <w:t xml:space="preserve">000 </w:t>
      </w:r>
      <w:r w:rsidR="00F1583C" w:rsidRPr="00283CEC">
        <w:t>people</w:t>
      </w:r>
      <w:r w:rsidRPr="00283CEC">
        <w:t xml:space="preserve">. </w:t>
      </w:r>
      <w:r w:rsidR="009F5D21" w:rsidRPr="00283CEC">
        <w:t xml:space="preserve">Significant new investment in the region, particularly efforts to develop clean and renewable energy and </w:t>
      </w:r>
      <w:r w:rsidR="00481E4D" w:rsidRPr="00283CEC">
        <w:t xml:space="preserve">to </w:t>
      </w:r>
      <w:r w:rsidR="009F5D21" w:rsidRPr="00283CEC">
        <w:t xml:space="preserve">foster supporting research and advanced manufacturing sectors could help attract </w:t>
      </w:r>
      <w:r w:rsidR="00A4583E" w:rsidRPr="00283CEC">
        <w:t xml:space="preserve">a </w:t>
      </w:r>
      <w:r w:rsidR="009F5D21" w:rsidRPr="00283CEC">
        <w:t>higher</w:t>
      </w:r>
      <w:r w:rsidR="00A4583E" w:rsidRPr="00283CEC">
        <w:t xml:space="preserve"> population </w:t>
      </w:r>
      <w:r w:rsidR="008862D1" w:rsidRPr="00283CEC">
        <w:t xml:space="preserve">of </w:t>
      </w:r>
      <w:r w:rsidR="00A4583E" w:rsidRPr="00283CEC">
        <w:t xml:space="preserve">up to 465,000 by 2041. </w:t>
      </w:r>
      <w:r w:rsidRPr="00283CEC">
        <w:t>This</w:t>
      </w:r>
      <w:r w:rsidR="00A4583E" w:rsidRPr="00283CEC">
        <w:t xml:space="preserve"> upper range figure </w:t>
      </w:r>
      <w:r w:rsidRPr="00283CEC">
        <w:t>envisages that Latrobe</w:t>
      </w:r>
      <w:r w:rsidR="00F45764" w:rsidRPr="00283CEC">
        <w:t xml:space="preserve"> City</w:t>
      </w:r>
      <w:r w:rsidR="009904C2" w:rsidRPr="00283CEC">
        <w:t>,</w:t>
      </w:r>
      <w:r w:rsidR="00F45764" w:rsidRPr="00283CEC">
        <w:t xml:space="preserve"> as the regional city</w:t>
      </w:r>
      <w:r w:rsidR="009904C2" w:rsidRPr="00283CEC">
        <w:t>,</w:t>
      </w:r>
      <w:r w:rsidR="00F45764" w:rsidRPr="00283CEC">
        <w:t xml:space="preserve"> comprising </w:t>
      </w:r>
      <w:r w:rsidRPr="00283CEC">
        <w:t>Moe, Morwell, Traralgon and Churchill</w:t>
      </w:r>
      <w:r w:rsidR="009904C2" w:rsidRPr="00283CEC">
        <w:t>,</w:t>
      </w:r>
      <w:r w:rsidRPr="00283CEC">
        <w:t xml:space="preserve"> </w:t>
      </w:r>
      <w:r w:rsidR="00CA08A9" w:rsidRPr="00283CEC">
        <w:t xml:space="preserve">has the capacity to </w:t>
      </w:r>
      <w:r w:rsidR="00133573" w:rsidRPr="00283CEC">
        <w:t>accommodate this</w:t>
      </w:r>
      <w:r w:rsidR="00CA08A9" w:rsidRPr="00283CEC">
        <w:t xml:space="preserve"> level of</w:t>
      </w:r>
      <w:r w:rsidRPr="00283CEC">
        <w:t xml:space="preserve"> population and economic growth. </w:t>
      </w:r>
    </w:p>
    <w:p w:rsidR="0024367C" w:rsidRPr="00686DF1" w:rsidRDefault="0024367C" w:rsidP="0024367C">
      <w:pPr>
        <w:pStyle w:val="bt"/>
      </w:pPr>
      <w:r w:rsidRPr="00283CEC">
        <w:t xml:space="preserve">A network of important regional centres comprising Bairnsdale, Leongatha, </w:t>
      </w:r>
      <w:proofErr w:type="gramStart"/>
      <w:r w:rsidRPr="00283CEC">
        <w:t>Sale</w:t>
      </w:r>
      <w:proofErr w:type="gramEnd"/>
      <w:r w:rsidRPr="00283CEC">
        <w:t xml:space="preserve">, Warragul and Wonthaggi and neighbouring towns </w:t>
      </w:r>
      <w:r w:rsidR="00FB5ACD" w:rsidRPr="00283CEC">
        <w:t xml:space="preserve">will benefit </w:t>
      </w:r>
      <w:r w:rsidRPr="00283CEC">
        <w:t xml:space="preserve">from high amenity, affordable housing and growing employment opportunities and distribute </w:t>
      </w:r>
      <w:r w:rsidR="00FB5ACD" w:rsidRPr="00686DF1">
        <w:t xml:space="preserve">these </w:t>
      </w:r>
      <w:r w:rsidRPr="00686DF1">
        <w:t>benefits across the region. This approach will stimulat</w:t>
      </w:r>
      <w:r w:rsidR="00FB5ACD" w:rsidRPr="00686DF1">
        <w:t xml:space="preserve">e </w:t>
      </w:r>
      <w:r w:rsidRPr="00686DF1">
        <w:t>stronger economic growth, attract high level services and provid</w:t>
      </w:r>
      <w:r w:rsidR="00FB5ACD" w:rsidRPr="00686DF1">
        <w:t>e</w:t>
      </w:r>
      <w:r w:rsidRPr="00686DF1">
        <w:t xml:space="preserve"> efficiencies in meeting community needs.</w:t>
      </w:r>
      <w:r w:rsidR="004A4D24" w:rsidRPr="00686DF1">
        <w:t xml:space="preserve"> </w:t>
      </w:r>
      <w:r w:rsidR="00EC7DE7" w:rsidRPr="00686DF1">
        <w:t>Plan Melbourne (Chapter 6 – State of Cities)</w:t>
      </w:r>
      <w:r w:rsidR="003752B3">
        <w:t xml:space="preserve"> identifies Warragul/Drouin, </w:t>
      </w:r>
      <w:r w:rsidR="00EC7DE7" w:rsidRPr="00686DF1">
        <w:t xml:space="preserve">Wonthaggi </w:t>
      </w:r>
      <w:r w:rsidR="003752B3">
        <w:t xml:space="preserve">and Leongatha </w:t>
      </w:r>
      <w:r w:rsidR="00EC7DE7" w:rsidRPr="00686DF1">
        <w:t>as peri-urban towns with potential to attract housing and population growth out of Melbourne. It is likely that demand for housing in these centres would be accelerated in the future with the imposition of a permanent growth boundary around Melbourne.</w:t>
      </w:r>
    </w:p>
    <w:p w:rsidR="0024367C" w:rsidRPr="00686DF1" w:rsidRDefault="0024367C" w:rsidP="0024367C">
      <w:pPr>
        <w:pStyle w:val="bt"/>
      </w:pPr>
      <w:r w:rsidRPr="00686DF1">
        <w:t>Economic development and future settlement patterns are planned to take advantage of existing infrastructure</w:t>
      </w:r>
      <w:r w:rsidR="00A1759E" w:rsidRPr="00686DF1">
        <w:t>,</w:t>
      </w:r>
      <w:r w:rsidRPr="00686DF1">
        <w:t xml:space="preserve"> servicing investment and capacity to reduce increased risks in places prone to </w:t>
      </w:r>
      <w:r w:rsidR="00837571" w:rsidRPr="00686DF1">
        <w:t xml:space="preserve">natural </w:t>
      </w:r>
      <w:r w:rsidRPr="00686DF1">
        <w:t xml:space="preserve">hazards. Significant road and rail networks are identified to support </w:t>
      </w:r>
      <w:r w:rsidR="00FB5ACD" w:rsidRPr="00686DF1">
        <w:t>Gippsland</w:t>
      </w:r>
      <w:r w:rsidR="00A1759E" w:rsidRPr="00686DF1">
        <w:t>’s</w:t>
      </w:r>
      <w:r w:rsidRPr="00686DF1">
        <w:t xml:space="preserve"> growth and provide better access to and from markets and services within and beyond the region. </w:t>
      </w:r>
    </w:p>
    <w:p w:rsidR="00FB040B" w:rsidRPr="00686DF1" w:rsidRDefault="0024367C" w:rsidP="0024367C">
      <w:pPr>
        <w:pStyle w:val="bt"/>
      </w:pPr>
      <w:r w:rsidRPr="00686DF1">
        <w:t>Th</w:t>
      </w:r>
      <w:r w:rsidR="00A1759E" w:rsidRPr="00686DF1">
        <w:t>is p</w:t>
      </w:r>
      <w:r w:rsidR="00FB5ACD" w:rsidRPr="00686DF1">
        <w:t xml:space="preserve">lan </w:t>
      </w:r>
      <w:r w:rsidRPr="00686DF1">
        <w:t>identif</w:t>
      </w:r>
      <w:r w:rsidR="00B41332" w:rsidRPr="00686DF1">
        <w:t>ies</w:t>
      </w:r>
      <w:r w:rsidRPr="00686DF1">
        <w:t xml:space="preserve"> </w:t>
      </w:r>
      <w:r w:rsidR="00C473D7" w:rsidRPr="00686DF1">
        <w:t xml:space="preserve">Gippsland’s </w:t>
      </w:r>
      <w:r w:rsidRPr="00686DF1">
        <w:t>key assets and respond</w:t>
      </w:r>
      <w:r w:rsidR="00C473D7" w:rsidRPr="00686DF1">
        <w:t>s</w:t>
      </w:r>
      <w:r w:rsidRPr="00686DF1">
        <w:t xml:space="preserve"> positively to the challenges that lie ahead. It adopts an integrated approach with a package of objectives and strategies for the economy, environment, regional living, infrastructure and transport.</w:t>
      </w:r>
    </w:p>
    <w:p w:rsidR="0024367C" w:rsidRPr="00686DF1" w:rsidRDefault="009977EB" w:rsidP="00B515F4">
      <w:pPr>
        <w:rPr>
          <w:sz w:val="20"/>
          <w:szCs w:val="20"/>
        </w:rPr>
      </w:pPr>
      <w:r w:rsidRPr="00686DF1">
        <w:rPr>
          <w:sz w:val="20"/>
          <w:szCs w:val="20"/>
        </w:rPr>
        <w:t>This plan is underpinned by four guiding principles with key objectives as follows:</w:t>
      </w:r>
    </w:p>
    <w:p w:rsidR="0024367C" w:rsidRPr="00686DF1" w:rsidRDefault="0024367C" w:rsidP="00FB040B">
      <w:pPr>
        <w:pStyle w:val="bt"/>
        <w:rPr>
          <w:rStyle w:val="Strong"/>
        </w:rPr>
      </w:pPr>
      <w:r w:rsidRPr="00686DF1">
        <w:rPr>
          <w:rStyle w:val="Strong"/>
        </w:rPr>
        <w:t xml:space="preserve">Principle 1: Strengthen economic resilience by growing a more diverse economy </w:t>
      </w:r>
      <w:r w:rsidR="00C473D7" w:rsidRPr="00686DF1">
        <w:rPr>
          <w:rStyle w:val="Strong"/>
        </w:rPr>
        <w:t xml:space="preserve">that </w:t>
      </w:r>
      <w:r w:rsidRPr="00686DF1">
        <w:rPr>
          <w:rStyle w:val="Strong"/>
        </w:rPr>
        <w:t>is supported by new investment, innovation and value</w:t>
      </w:r>
      <w:r w:rsidR="00FB5ACD" w:rsidRPr="00686DF1">
        <w:rPr>
          <w:rStyle w:val="Strong"/>
        </w:rPr>
        <w:t>-</w:t>
      </w:r>
      <w:r w:rsidRPr="00686DF1">
        <w:rPr>
          <w:rStyle w:val="Strong"/>
        </w:rPr>
        <w:t>adding in traditional strengths</w:t>
      </w:r>
    </w:p>
    <w:p w:rsidR="0024367C" w:rsidRPr="00686DF1" w:rsidRDefault="0024367C" w:rsidP="00767431">
      <w:pPr>
        <w:pStyle w:val="btbullet"/>
      </w:pPr>
      <w:r w:rsidRPr="00686DF1">
        <w:t>Facilitate vibrant and prosperous commercial centres in the region’s major urban centres that respond to changing population and market conditions</w:t>
      </w:r>
    </w:p>
    <w:p w:rsidR="0024367C" w:rsidRPr="00686DF1" w:rsidRDefault="0024367C" w:rsidP="00767431">
      <w:pPr>
        <w:pStyle w:val="btbullet"/>
      </w:pPr>
      <w:r w:rsidRPr="00686DF1">
        <w:t xml:space="preserve">Further diversify Gippsland’s service and manufacturing industries and support those </w:t>
      </w:r>
      <w:r w:rsidR="009F23B4" w:rsidRPr="00686DF1">
        <w:t xml:space="preserve">that </w:t>
      </w:r>
      <w:r w:rsidRPr="00686DF1">
        <w:t xml:space="preserve">have the greatest impact on job and investment generation, and </w:t>
      </w:r>
      <w:r w:rsidR="009F23B4" w:rsidRPr="00686DF1">
        <w:t xml:space="preserve">those that </w:t>
      </w:r>
      <w:r w:rsidRPr="00686DF1">
        <w:t>add value to local products</w:t>
      </w:r>
    </w:p>
    <w:p w:rsidR="0024367C" w:rsidRPr="00686DF1" w:rsidRDefault="0024367C" w:rsidP="00767431">
      <w:pPr>
        <w:pStyle w:val="btbullet"/>
      </w:pPr>
      <w:r w:rsidRPr="00686DF1">
        <w:t>Advance productive and innovative agriculture, forestry and fisheries sectors with a focus on export markets and local food processing</w:t>
      </w:r>
    </w:p>
    <w:p w:rsidR="0024367C" w:rsidRPr="00686DF1" w:rsidRDefault="0024367C" w:rsidP="00767431">
      <w:pPr>
        <w:pStyle w:val="btbullet"/>
      </w:pPr>
      <w:r w:rsidRPr="00686DF1">
        <w:t>Strengthen the energy sector and identify, protect, extract and process valued earth resources such as brown coal, oil and gas, and sand and rock subject to best practice environmental standards</w:t>
      </w:r>
    </w:p>
    <w:p w:rsidR="0024367C" w:rsidRPr="00686DF1" w:rsidRDefault="0024367C" w:rsidP="00767431">
      <w:pPr>
        <w:pStyle w:val="btbullet"/>
      </w:pPr>
      <w:r w:rsidRPr="00686DF1">
        <w:t>Facilitate the rejuvenation, expansion and development of regional tourism based on Gippsland’s environment</w:t>
      </w:r>
      <w:r w:rsidR="00020576" w:rsidRPr="00686DF1">
        <w:t>al and cultural heritage assets</w:t>
      </w:r>
      <w:r w:rsidRPr="00686DF1">
        <w:t xml:space="preserve"> and identified </w:t>
      </w:r>
      <w:r w:rsidR="00EF6CB9" w:rsidRPr="00686DF1">
        <w:t>s</w:t>
      </w:r>
      <w:r w:rsidRPr="00686DF1">
        <w:t xml:space="preserve">trategic </w:t>
      </w:r>
      <w:r w:rsidR="00EF6CB9" w:rsidRPr="00686DF1">
        <w:t>t</w:t>
      </w:r>
      <w:r w:rsidRPr="00686DF1">
        <w:t xml:space="preserve">ourism </w:t>
      </w:r>
      <w:r w:rsidR="00EF6CB9" w:rsidRPr="00686DF1">
        <w:t>i</w:t>
      </w:r>
      <w:r w:rsidRPr="00686DF1">
        <w:t xml:space="preserve">nvestment </w:t>
      </w:r>
      <w:r w:rsidR="00EF6CB9" w:rsidRPr="00686DF1">
        <w:t>a</w:t>
      </w:r>
      <w:r w:rsidRPr="00686DF1">
        <w:t>reas</w:t>
      </w:r>
    </w:p>
    <w:p w:rsidR="0024367C" w:rsidRPr="00686DF1" w:rsidRDefault="0024367C" w:rsidP="00FB040B">
      <w:pPr>
        <w:pStyle w:val="bt"/>
        <w:rPr>
          <w:rStyle w:val="Strong"/>
        </w:rPr>
      </w:pPr>
      <w:r w:rsidRPr="00686DF1">
        <w:rPr>
          <w:rStyle w:val="Strong"/>
        </w:rPr>
        <w:t xml:space="preserve">Principle 2: Promote a healthy environment by valuing Gippsland’s </w:t>
      </w:r>
      <w:r w:rsidR="004308F0" w:rsidRPr="00686DF1">
        <w:rPr>
          <w:rStyle w:val="Strong"/>
        </w:rPr>
        <w:t xml:space="preserve">environmental and heritage </w:t>
      </w:r>
      <w:r w:rsidRPr="00686DF1">
        <w:rPr>
          <w:rStyle w:val="Strong"/>
        </w:rPr>
        <w:t>assets</w:t>
      </w:r>
      <w:r w:rsidR="004308F0" w:rsidRPr="00686DF1">
        <w:rPr>
          <w:rStyle w:val="Strong"/>
        </w:rPr>
        <w:t>,</w:t>
      </w:r>
      <w:r w:rsidRPr="00686DF1">
        <w:rPr>
          <w:rStyle w:val="Strong"/>
        </w:rPr>
        <w:t xml:space="preserve"> and by minimising the region’s exposure to </w:t>
      </w:r>
      <w:r w:rsidR="004308F0" w:rsidRPr="00686DF1">
        <w:rPr>
          <w:rStyle w:val="Strong"/>
        </w:rPr>
        <w:t xml:space="preserve">natural hazards and </w:t>
      </w:r>
      <w:r w:rsidRPr="00686DF1">
        <w:rPr>
          <w:rStyle w:val="Strong"/>
        </w:rPr>
        <w:t>risks</w:t>
      </w:r>
    </w:p>
    <w:p w:rsidR="0024367C" w:rsidRPr="00686DF1" w:rsidRDefault="0024367C" w:rsidP="00767431">
      <w:pPr>
        <w:pStyle w:val="btbullet"/>
      </w:pPr>
      <w:r w:rsidRPr="00686DF1">
        <w:t>Manage risks to Gippsland’s communities and economy from natural hazards</w:t>
      </w:r>
    </w:p>
    <w:p w:rsidR="0024367C" w:rsidRPr="00686DF1" w:rsidRDefault="0024367C" w:rsidP="00767431">
      <w:pPr>
        <w:pStyle w:val="btbullet"/>
      </w:pPr>
      <w:r w:rsidRPr="00686DF1">
        <w:t xml:space="preserve">Manage Gippsland’s environmental </w:t>
      </w:r>
      <w:r w:rsidR="00B20BD7" w:rsidRPr="00686DF1">
        <w:t xml:space="preserve">and heritage </w:t>
      </w:r>
      <w:r w:rsidRPr="00686DF1">
        <w:t>assets to achieve the best outcomes for the region’s environment, economy and community</w:t>
      </w:r>
    </w:p>
    <w:p w:rsidR="0024367C" w:rsidRPr="00686DF1" w:rsidRDefault="0024367C" w:rsidP="00767431">
      <w:pPr>
        <w:pStyle w:val="btbullet"/>
      </w:pPr>
      <w:r w:rsidRPr="00686DF1">
        <w:t xml:space="preserve">Plan for potential impacts and opportunities arising from climate change and </w:t>
      </w:r>
      <w:r w:rsidR="00D9712A" w:rsidRPr="00686DF1">
        <w:t>initiatives to reduce greenhouse gas emissions</w:t>
      </w:r>
    </w:p>
    <w:p w:rsidR="0024367C" w:rsidRPr="00686DF1" w:rsidRDefault="0024367C" w:rsidP="00FB040B">
      <w:pPr>
        <w:pStyle w:val="bt"/>
        <w:rPr>
          <w:rStyle w:val="Strong"/>
        </w:rPr>
      </w:pPr>
      <w:r w:rsidRPr="00686DF1">
        <w:rPr>
          <w:rStyle w:val="Strong"/>
        </w:rPr>
        <w:t xml:space="preserve">Principle 3: Develop sustainable communities through a settlement framework comprising major urban centres </w:t>
      </w:r>
      <w:r w:rsidR="009F23B4" w:rsidRPr="00686DF1">
        <w:rPr>
          <w:rStyle w:val="Strong"/>
        </w:rPr>
        <w:t xml:space="preserve">that </w:t>
      </w:r>
      <w:r w:rsidRPr="00686DF1">
        <w:rPr>
          <w:rStyle w:val="Strong"/>
        </w:rPr>
        <w:t>ensure</w:t>
      </w:r>
      <w:r w:rsidR="009F23B4" w:rsidRPr="00686DF1">
        <w:rPr>
          <w:rStyle w:val="Strong"/>
        </w:rPr>
        <w:t>s</w:t>
      </w:r>
      <w:r w:rsidRPr="00686DF1">
        <w:rPr>
          <w:rStyle w:val="Strong"/>
        </w:rPr>
        <w:t xml:space="preserve"> residents have convenient access to jobs, services, infrastructure, and community facilities</w:t>
      </w:r>
    </w:p>
    <w:p w:rsidR="0024367C" w:rsidRPr="00686DF1" w:rsidRDefault="0024367C" w:rsidP="00767431">
      <w:pPr>
        <w:pStyle w:val="btbullet"/>
      </w:pPr>
      <w:r w:rsidRPr="00686DF1">
        <w:t>Promote the sustainable growth and development of Gippsland through an identified network of settlements</w:t>
      </w:r>
    </w:p>
    <w:p w:rsidR="0024367C" w:rsidRPr="00686DF1" w:rsidRDefault="0024367C" w:rsidP="00767431">
      <w:pPr>
        <w:pStyle w:val="btbullet"/>
      </w:pPr>
      <w:r w:rsidRPr="00686DF1">
        <w:t xml:space="preserve">Develop settlements </w:t>
      </w:r>
      <w:r w:rsidR="009F23B4" w:rsidRPr="00686DF1">
        <w:t xml:space="preserve">that </w:t>
      </w:r>
      <w:r w:rsidRPr="00686DF1">
        <w:t xml:space="preserve">have a strong identity, </w:t>
      </w:r>
      <w:r w:rsidR="00F504E4" w:rsidRPr="00686DF1">
        <w:t xml:space="preserve">value their natural and cultural heritage, and </w:t>
      </w:r>
      <w:r w:rsidRPr="00686DF1">
        <w:t>are prosperous and environmentally sustainable</w:t>
      </w:r>
    </w:p>
    <w:p w:rsidR="0024367C" w:rsidRPr="00686DF1" w:rsidRDefault="0024367C" w:rsidP="00FB040B">
      <w:pPr>
        <w:pStyle w:val="bt"/>
        <w:rPr>
          <w:rStyle w:val="Strong"/>
        </w:rPr>
      </w:pPr>
      <w:r w:rsidRPr="00686DF1">
        <w:rPr>
          <w:rStyle w:val="Strong"/>
        </w:rPr>
        <w:t>Principle 4: Deliver timely and accessible infrastructure to meet regional needs for transport, utilities and community facilities</w:t>
      </w:r>
    </w:p>
    <w:p w:rsidR="0024367C" w:rsidRPr="00686DF1" w:rsidRDefault="0024367C" w:rsidP="00767431">
      <w:pPr>
        <w:pStyle w:val="btbullet"/>
      </w:pPr>
      <w:r w:rsidRPr="00686DF1">
        <w:t>Work with utility and service agencies to optimise access to gas, electricity, drainage, water, sewerage and telecommunications and cater for a growing population and economy across the region</w:t>
      </w:r>
    </w:p>
    <w:p w:rsidR="0024367C" w:rsidRPr="00686DF1" w:rsidRDefault="0024367C" w:rsidP="00767431">
      <w:pPr>
        <w:pStyle w:val="btbullet"/>
      </w:pPr>
      <w:r w:rsidRPr="00686DF1">
        <w:t>Support road, rail and port improvements across Gippsland and beyond, particularly to markets and employment</w:t>
      </w:r>
    </w:p>
    <w:p w:rsidR="00A846D5" w:rsidRPr="00686DF1" w:rsidRDefault="0024367C" w:rsidP="00767431">
      <w:pPr>
        <w:pStyle w:val="btbullet"/>
      </w:pPr>
      <w:r w:rsidRPr="00686DF1">
        <w:t xml:space="preserve">Provide health, education, cultural and sporting facilities to meet local needs in locations </w:t>
      </w:r>
      <w:r w:rsidR="00FB5ACD" w:rsidRPr="00686DF1">
        <w:t xml:space="preserve">that </w:t>
      </w:r>
      <w:r w:rsidRPr="00686DF1">
        <w:t>are accessible and convenient to the people who will use them</w:t>
      </w:r>
    </w:p>
    <w:p w:rsidR="00A846D5" w:rsidRPr="00686DF1" w:rsidRDefault="00A846D5" w:rsidP="00767431">
      <w:pPr>
        <w:pStyle w:val="btbullet"/>
        <w:sectPr w:rsidR="00A846D5" w:rsidRPr="00686DF1" w:rsidSect="00E24106">
          <w:headerReference w:type="default" r:id="rId18"/>
          <w:footerReference w:type="default" r:id="rId19"/>
          <w:headerReference w:type="first" r:id="rId20"/>
          <w:pgSz w:w="11906" w:h="16838"/>
          <w:pgMar w:top="1440" w:right="1440" w:bottom="993" w:left="1440" w:header="708" w:footer="708" w:gutter="0"/>
          <w:pgNumType w:fmt="lowerRoman" w:start="1"/>
          <w:cols w:space="708"/>
          <w:docGrid w:linePitch="360"/>
        </w:sectPr>
      </w:pPr>
    </w:p>
    <w:p w:rsidR="00A43B5F" w:rsidRPr="00686DF1" w:rsidRDefault="00A43B5F" w:rsidP="002C3AF4">
      <w:pPr>
        <w:pStyle w:val="Heading1"/>
      </w:pPr>
      <w:bookmarkStart w:id="4" w:name="_Toc376791229"/>
      <w:r w:rsidRPr="00686DF1">
        <w:t>PART A</w:t>
      </w:r>
      <w:r w:rsidR="00E5661A" w:rsidRPr="00686DF1">
        <w:t>:</w:t>
      </w:r>
      <w:r w:rsidRPr="00686DF1">
        <w:tab/>
        <w:t>I</w:t>
      </w:r>
      <w:r w:rsidR="009B6188" w:rsidRPr="00686DF1">
        <w:t>NTRODUCTION</w:t>
      </w:r>
      <w:bookmarkEnd w:id="4"/>
    </w:p>
    <w:p w:rsidR="00D533B4" w:rsidRPr="00686DF1" w:rsidRDefault="006C17DF" w:rsidP="00FB040B">
      <w:pPr>
        <w:pStyle w:val="Heading11"/>
      </w:pPr>
      <w:bookmarkStart w:id="5" w:name="_Toc376791230"/>
      <w:r w:rsidRPr="00686DF1">
        <w:t>What is a</w:t>
      </w:r>
      <w:r w:rsidR="00A13A59" w:rsidRPr="00686DF1">
        <w:t xml:space="preserve"> </w:t>
      </w:r>
      <w:r w:rsidR="00831812" w:rsidRPr="00686DF1">
        <w:t>r</w:t>
      </w:r>
      <w:r w:rsidR="00A13A59" w:rsidRPr="00686DF1">
        <w:t xml:space="preserve">egional </w:t>
      </w:r>
      <w:r w:rsidR="00831812" w:rsidRPr="00686DF1">
        <w:t>g</w:t>
      </w:r>
      <w:r w:rsidR="00A13A59" w:rsidRPr="00686DF1">
        <w:t xml:space="preserve">rowth </w:t>
      </w:r>
      <w:r w:rsidR="00831812" w:rsidRPr="00686DF1">
        <w:t>p</w:t>
      </w:r>
      <w:r w:rsidR="00A13A59" w:rsidRPr="00686DF1">
        <w:t>lan</w:t>
      </w:r>
      <w:r w:rsidRPr="00686DF1">
        <w:t>?</w:t>
      </w:r>
      <w:bookmarkEnd w:id="5"/>
    </w:p>
    <w:p w:rsidR="00561FA9" w:rsidRPr="00686DF1" w:rsidRDefault="00561FA9" w:rsidP="00FB040B">
      <w:pPr>
        <w:pStyle w:val="bt"/>
      </w:pPr>
      <w:r w:rsidRPr="00686DF1">
        <w:t xml:space="preserve">Eight </w:t>
      </w:r>
      <w:r w:rsidR="002E30A7" w:rsidRPr="00686DF1">
        <w:t>r</w:t>
      </w:r>
      <w:r w:rsidRPr="00686DF1">
        <w:t xml:space="preserve">egional </w:t>
      </w:r>
      <w:r w:rsidR="002E30A7" w:rsidRPr="00686DF1">
        <w:t>g</w:t>
      </w:r>
      <w:r w:rsidRPr="00686DF1">
        <w:t xml:space="preserve">rowth </w:t>
      </w:r>
      <w:r w:rsidR="002E30A7" w:rsidRPr="00686DF1">
        <w:t>p</w:t>
      </w:r>
      <w:r w:rsidRPr="00686DF1">
        <w:t xml:space="preserve">lans </w:t>
      </w:r>
      <w:r w:rsidR="00FC77ED" w:rsidRPr="00686DF1">
        <w:t>have been</w:t>
      </w:r>
      <w:r w:rsidRPr="00686DF1">
        <w:t xml:space="preserve"> developed to provide broad direction for land use and development across regional Victoria</w:t>
      </w:r>
      <w:r w:rsidR="00085A34" w:rsidRPr="00686DF1">
        <w:t xml:space="preserve"> </w:t>
      </w:r>
      <w:r w:rsidR="008508AC" w:rsidRPr="00686DF1">
        <w:t>(refer to</w:t>
      </w:r>
      <w:r w:rsidR="00AD704A" w:rsidRPr="00686DF1">
        <w:t xml:space="preserve"> Map 1</w:t>
      </w:r>
      <w:r w:rsidR="008508AC" w:rsidRPr="00686DF1">
        <w:t>).</w:t>
      </w:r>
      <w:r w:rsidRPr="00686DF1">
        <w:t xml:space="preserve"> They also provide more detailed planning frameworks for key regional cities and centres.</w:t>
      </w:r>
    </w:p>
    <w:p w:rsidR="00A8291E" w:rsidRPr="00686DF1" w:rsidRDefault="00A8291E" w:rsidP="00A8291E">
      <w:pPr>
        <w:pStyle w:val="bt"/>
      </w:pPr>
      <w:r w:rsidRPr="00686DF1">
        <w:t>Increasing the growth of regional Victoria will help improve the state’s competitiveness by strengthening regional labour markets, expanding markets for local goods and services and providing a greater diversity of affordable housing and employment opportunities.</w:t>
      </w:r>
    </w:p>
    <w:p w:rsidR="009904C2" w:rsidRPr="00686DF1" w:rsidRDefault="00A8291E" w:rsidP="00FB040B">
      <w:pPr>
        <w:pStyle w:val="bt"/>
      </w:pPr>
      <w:r w:rsidRPr="00686DF1">
        <w:t xml:space="preserve">Regional growth plans, together with the new metropolitan planning strategy, </w:t>
      </w:r>
      <w:r w:rsidRPr="00686DF1">
        <w:rPr>
          <w:i/>
        </w:rPr>
        <w:t>Plan Melbourne</w:t>
      </w:r>
      <w:r w:rsidRPr="00686DF1">
        <w:t>, have been aligned in a way that builds on the interdependence of our urban settlements and facilitates their development as a networked ‘state of cities’. Unlocking the growth potential of these cities – so they can accommodate a greater proportion of the state’s future growth, with good transport connections between them and Melbourne – will create a state of cities where there are greater choices for people about where to live, work or start a business.</w:t>
      </w:r>
      <w:r w:rsidR="00D44BBC" w:rsidRPr="00686DF1">
        <w:t xml:space="preserve"> </w:t>
      </w:r>
      <w:r w:rsidR="00EC7DE7" w:rsidRPr="00686DF1">
        <w:t>It is likely that demand for housing in regional cities and centres would be accelerated in the future with the imposition of a permanent growth boundary around Melbourne.</w:t>
      </w:r>
    </w:p>
    <w:p w:rsidR="003B0A7E" w:rsidRPr="00686DF1" w:rsidRDefault="00561FA9" w:rsidP="00FB040B">
      <w:pPr>
        <w:pStyle w:val="bt"/>
      </w:pPr>
      <w:r w:rsidRPr="00686DF1">
        <w:t xml:space="preserve">The </w:t>
      </w:r>
      <w:r w:rsidR="001D645A" w:rsidRPr="00686DF1">
        <w:t>r</w:t>
      </w:r>
      <w:r w:rsidRPr="00686DF1">
        <w:t xml:space="preserve">egional </w:t>
      </w:r>
      <w:r w:rsidR="001D645A" w:rsidRPr="00686DF1">
        <w:t>g</w:t>
      </w:r>
      <w:r w:rsidRPr="00686DF1">
        <w:t xml:space="preserve">rowth </w:t>
      </w:r>
      <w:r w:rsidR="001D645A" w:rsidRPr="00686DF1">
        <w:t>p</w:t>
      </w:r>
      <w:r w:rsidRPr="00686DF1">
        <w:t xml:space="preserve">lans respond to directions established in the </w:t>
      </w:r>
      <w:r w:rsidR="001D645A" w:rsidRPr="00686DF1">
        <w:t>r</w:t>
      </w:r>
      <w:r w:rsidRPr="00686DF1">
        <w:t xml:space="preserve">egional </w:t>
      </w:r>
      <w:r w:rsidR="001D645A" w:rsidRPr="00686DF1">
        <w:t>s</w:t>
      </w:r>
      <w:r w:rsidRPr="00686DF1">
        <w:t xml:space="preserve">trategic </w:t>
      </w:r>
      <w:r w:rsidR="001D645A" w:rsidRPr="00686DF1">
        <w:t>p</w:t>
      </w:r>
      <w:r w:rsidRPr="00686DF1">
        <w:t>lans that were prepared across</w:t>
      </w:r>
      <w:r w:rsidR="00F82114" w:rsidRPr="00686DF1">
        <w:t xml:space="preserve"> regional Victoria between 2007 and </w:t>
      </w:r>
      <w:r w:rsidRPr="00686DF1">
        <w:t>2010.</w:t>
      </w:r>
    </w:p>
    <w:p w:rsidR="00561FA9" w:rsidRPr="00686DF1" w:rsidRDefault="00561FA9" w:rsidP="00FB040B">
      <w:pPr>
        <w:pStyle w:val="bt"/>
      </w:pPr>
      <w:r w:rsidRPr="00686DF1">
        <w:t xml:space="preserve">Regional </w:t>
      </w:r>
      <w:r w:rsidR="001D645A" w:rsidRPr="00686DF1">
        <w:t>g</w:t>
      </w:r>
      <w:r w:rsidRPr="00686DF1">
        <w:t xml:space="preserve">rowth </w:t>
      </w:r>
      <w:r w:rsidR="001D645A" w:rsidRPr="00686DF1">
        <w:t>p</w:t>
      </w:r>
      <w:r w:rsidRPr="00686DF1">
        <w:t xml:space="preserve">lans are the next stage in planning for growth and change in regional Victoria. They have been developed in a partnership between local government and state agencies and authorities. Regional </w:t>
      </w:r>
      <w:r w:rsidR="001D645A" w:rsidRPr="00686DF1">
        <w:t>g</w:t>
      </w:r>
      <w:r w:rsidRPr="00686DF1">
        <w:t xml:space="preserve">rowth </w:t>
      </w:r>
      <w:r w:rsidR="001D645A" w:rsidRPr="00686DF1">
        <w:t>p</w:t>
      </w:r>
      <w:r w:rsidRPr="00686DF1">
        <w:t>lans reflect state and local government objectives.</w:t>
      </w:r>
    </w:p>
    <w:p w:rsidR="009B587D" w:rsidRPr="00686DF1" w:rsidRDefault="00FC77ED" w:rsidP="009B587D">
      <w:pPr>
        <w:pStyle w:val="bt"/>
      </w:pPr>
      <w:r w:rsidRPr="00686DF1">
        <w:t xml:space="preserve">This </w:t>
      </w:r>
      <w:r w:rsidR="00561FA9" w:rsidRPr="00686DF1">
        <w:t>plan provide</w:t>
      </w:r>
      <w:r w:rsidRPr="00686DF1">
        <w:t>s</w:t>
      </w:r>
      <w:r w:rsidR="00561FA9" w:rsidRPr="00686DF1">
        <w:t xml:space="preserve"> a long</w:t>
      </w:r>
      <w:r w:rsidR="00620152" w:rsidRPr="00686DF1">
        <w:t>-</w:t>
      </w:r>
      <w:r w:rsidR="00561FA9" w:rsidRPr="00686DF1">
        <w:t>term view of the region to 2041 and beyond, allowing for some short</w:t>
      </w:r>
      <w:r w:rsidR="00620152" w:rsidRPr="00686DF1">
        <w:t>-</w:t>
      </w:r>
      <w:r w:rsidR="00561FA9" w:rsidRPr="00686DF1">
        <w:t>term actions, and providing long-term strategic land use direction.</w:t>
      </w:r>
      <w:bookmarkStart w:id="6" w:name="_Ref355952116"/>
      <w:bookmarkStart w:id="7" w:name="_Toc374361101"/>
    </w:p>
    <w:p w:rsidR="00126CF1" w:rsidRPr="00686DF1" w:rsidRDefault="006B4F4E" w:rsidP="009B587D">
      <w:pPr>
        <w:pStyle w:val="bt"/>
      </w:pPr>
      <w:r w:rsidRPr="00686DF1">
        <w:t>Map</w:t>
      </w:r>
      <w:r w:rsidR="00AD704A" w:rsidRPr="00686DF1">
        <w:t xml:space="preserve"> </w:t>
      </w:r>
      <w:bookmarkEnd w:id="6"/>
      <w:r w:rsidR="00F80BD2" w:rsidRPr="00686DF1">
        <w:t>1</w:t>
      </w:r>
      <w:r w:rsidR="009B587D" w:rsidRPr="00686DF1">
        <w:t xml:space="preserve"> is located here in the document and it shows -</w:t>
      </w:r>
      <w:r w:rsidR="00B80607" w:rsidRPr="00686DF1">
        <w:t xml:space="preserve"> </w:t>
      </w:r>
      <w:r w:rsidRPr="00686DF1">
        <w:t xml:space="preserve">The </w:t>
      </w:r>
      <w:r w:rsidR="00F668EA" w:rsidRPr="00686DF1">
        <w:t xml:space="preserve">areas covered by the </w:t>
      </w:r>
      <w:r w:rsidRPr="00686DF1">
        <w:t>eight regional growth plans</w:t>
      </w:r>
      <w:bookmarkEnd w:id="7"/>
    </w:p>
    <w:p w:rsidR="00A43B5F" w:rsidRPr="00686DF1" w:rsidRDefault="004338A5" w:rsidP="00272F89">
      <w:pPr>
        <w:pStyle w:val="Heading11"/>
      </w:pPr>
      <w:bookmarkStart w:id="8" w:name="_Toc376791231"/>
      <w:r w:rsidRPr="00686DF1">
        <w:t xml:space="preserve">Why </w:t>
      </w:r>
      <w:r w:rsidR="00FB5ACD" w:rsidRPr="00686DF1">
        <w:t>w</w:t>
      </w:r>
      <w:r w:rsidRPr="00686DF1">
        <w:t xml:space="preserve">e </w:t>
      </w:r>
      <w:r w:rsidR="00FB5ACD" w:rsidRPr="00686DF1">
        <w:t>n</w:t>
      </w:r>
      <w:r w:rsidRPr="00686DF1">
        <w:t xml:space="preserve">eed this </w:t>
      </w:r>
      <w:r w:rsidR="00831812" w:rsidRPr="00686DF1">
        <w:t>plan</w:t>
      </w:r>
      <w:bookmarkEnd w:id="8"/>
    </w:p>
    <w:p w:rsidR="00BA3E40" w:rsidRPr="00686DF1" w:rsidRDefault="00085A34" w:rsidP="00FB040B">
      <w:pPr>
        <w:pStyle w:val="bt"/>
      </w:pPr>
      <w:r w:rsidRPr="00686DF1">
        <w:t xml:space="preserve">The </w:t>
      </w:r>
      <w:r w:rsidR="00804CAA" w:rsidRPr="00686DF1">
        <w:rPr>
          <w:rStyle w:val="Emphasis"/>
          <w:i w:val="0"/>
        </w:rPr>
        <w:t>Gippsland Regional Growth Plan</w:t>
      </w:r>
      <w:r w:rsidR="00BA3E40" w:rsidRPr="00686DF1">
        <w:t xml:space="preserve"> translate</w:t>
      </w:r>
      <w:r w:rsidR="00B41332" w:rsidRPr="00686DF1">
        <w:t>s</w:t>
      </w:r>
      <w:r w:rsidR="00BA3E40" w:rsidRPr="00686DF1">
        <w:t xml:space="preserve"> and integrate</w:t>
      </w:r>
      <w:r w:rsidR="00B41332" w:rsidRPr="00686DF1">
        <w:t>s</w:t>
      </w:r>
      <w:r w:rsidR="00BA3E40" w:rsidRPr="00686DF1">
        <w:t xml:space="preserve"> emerging statewide regional land use planning policy. </w:t>
      </w:r>
      <w:r w:rsidR="00620152" w:rsidRPr="00686DF1">
        <w:t xml:space="preserve">It </w:t>
      </w:r>
      <w:r w:rsidR="00BA3E40" w:rsidRPr="00686DF1">
        <w:t>provide</w:t>
      </w:r>
      <w:r w:rsidR="00B41332" w:rsidRPr="00686DF1">
        <w:t>s</w:t>
      </w:r>
      <w:r w:rsidR="00BA3E40" w:rsidRPr="00686DF1">
        <w:t xml:space="preserve"> the basis for regional coordination and future planning of infrastructure to support regional land use objectives.</w:t>
      </w:r>
    </w:p>
    <w:p w:rsidR="00BA3E40" w:rsidRPr="00686DF1" w:rsidRDefault="00BA3E40" w:rsidP="00FB040B">
      <w:pPr>
        <w:pStyle w:val="bt"/>
      </w:pPr>
      <w:r w:rsidRPr="00686DF1">
        <w:t xml:space="preserve">The </w:t>
      </w:r>
      <w:r w:rsidR="005163F0" w:rsidRPr="00686DF1">
        <w:t>p</w:t>
      </w:r>
      <w:r w:rsidRPr="00686DF1">
        <w:t>lan:</w:t>
      </w:r>
    </w:p>
    <w:p w:rsidR="003B0A7E" w:rsidRPr="00686DF1" w:rsidRDefault="003B0A7E" w:rsidP="00767431">
      <w:pPr>
        <w:pStyle w:val="btbullet"/>
      </w:pPr>
      <w:r w:rsidRPr="00686DF1">
        <w:t>support</w:t>
      </w:r>
      <w:r w:rsidR="00B41332" w:rsidRPr="00686DF1">
        <w:t>s</w:t>
      </w:r>
      <w:r w:rsidRPr="00686DF1">
        <w:t xml:space="preserve"> the priorities of th</w:t>
      </w:r>
      <w:r w:rsidR="00DB5C52" w:rsidRPr="00686DF1">
        <w:t xml:space="preserve">e </w:t>
      </w:r>
      <w:r w:rsidR="00DB5C52" w:rsidRPr="00686DF1">
        <w:rPr>
          <w:rStyle w:val="Emphasis"/>
          <w:i w:val="0"/>
          <w:iCs w:val="0"/>
        </w:rPr>
        <w:t>Gippsland Regional Plan</w:t>
      </w:r>
      <w:r w:rsidR="00FB214A" w:rsidRPr="00686DF1">
        <w:rPr>
          <w:rStyle w:val="Emphasis"/>
          <w:i w:val="0"/>
          <w:iCs w:val="0"/>
        </w:rPr>
        <w:t xml:space="preserve"> </w:t>
      </w:r>
      <w:r w:rsidR="001E659A" w:rsidRPr="00686DF1">
        <w:t xml:space="preserve">particularly to </w:t>
      </w:r>
      <w:r w:rsidRPr="00686DF1">
        <w:t>provid</w:t>
      </w:r>
      <w:r w:rsidR="001E659A" w:rsidRPr="00686DF1">
        <w:t xml:space="preserve">e </w:t>
      </w:r>
      <w:r w:rsidR="00DB5C52" w:rsidRPr="00686DF1">
        <w:t xml:space="preserve">further </w:t>
      </w:r>
      <w:r w:rsidRPr="00686DF1">
        <w:t xml:space="preserve">direction for </w:t>
      </w:r>
      <w:r w:rsidR="00DB5C52" w:rsidRPr="00686DF1">
        <w:t>land use related priorities</w:t>
      </w:r>
      <w:r w:rsidR="005640E3" w:rsidRPr="00686DF1">
        <w:t>,</w:t>
      </w:r>
      <w:r w:rsidR="001E659A" w:rsidRPr="00686DF1">
        <w:t xml:space="preserve"> </w:t>
      </w:r>
      <w:r w:rsidRPr="00686DF1">
        <w:t>including:</w:t>
      </w:r>
    </w:p>
    <w:p w:rsidR="001E659A" w:rsidRPr="00686DF1" w:rsidRDefault="00804CAA" w:rsidP="00287B5F">
      <w:pPr>
        <w:pStyle w:val="btbullet"/>
        <w:numPr>
          <w:ilvl w:val="1"/>
          <w:numId w:val="2"/>
        </w:numPr>
        <w:rPr>
          <w:rStyle w:val="Emphasis"/>
          <w:i w:val="0"/>
        </w:rPr>
      </w:pPr>
      <w:r w:rsidRPr="00686DF1">
        <w:rPr>
          <w:rStyle w:val="Emphasis"/>
          <w:i w:val="0"/>
        </w:rPr>
        <w:t>Gippsland Low Carbon Economy Transition Plan</w:t>
      </w:r>
    </w:p>
    <w:p w:rsidR="001E659A" w:rsidRPr="00686DF1" w:rsidRDefault="00620152" w:rsidP="00287B5F">
      <w:pPr>
        <w:pStyle w:val="btbullet"/>
        <w:numPr>
          <w:ilvl w:val="1"/>
          <w:numId w:val="2"/>
        </w:numPr>
      </w:pPr>
      <w:r w:rsidRPr="00686DF1">
        <w:t>p</w:t>
      </w:r>
      <w:r w:rsidR="001E659A" w:rsidRPr="00686DF1">
        <w:t>ost</w:t>
      </w:r>
      <w:r w:rsidRPr="00686DF1">
        <w:t>-s</w:t>
      </w:r>
      <w:r w:rsidR="001E659A" w:rsidRPr="00686DF1">
        <w:t xml:space="preserve">econdary </w:t>
      </w:r>
      <w:r w:rsidRPr="00686DF1">
        <w:t>e</w:t>
      </w:r>
      <w:r w:rsidR="001E659A" w:rsidRPr="00686DF1">
        <w:t>ducation</w:t>
      </w:r>
    </w:p>
    <w:p w:rsidR="001E659A" w:rsidRPr="00686DF1" w:rsidRDefault="001E659A" w:rsidP="00287B5F">
      <w:pPr>
        <w:pStyle w:val="btbullet"/>
        <w:numPr>
          <w:ilvl w:val="1"/>
          <w:numId w:val="2"/>
        </w:numPr>
      </w:pPr>
      <w:r w:rsidRPr="00686DF1">
        <w:t xml:space="preserve">Gippsland’s </w:t>
      </w:r>
      <w:r w:rsidR="00620152" w:rsidRPr="00686DF1">
        <w:t>g</w:t>
      </w:r>
      <w:r w:rsidRPr="00686DF1">
        <w:t>ateways</w:t>
      </w:r>
    </w:p>
    <w:p w:rsidR="001E659A" w:rsidRPr="00686DF1" w:rsidRDefault="001E659A" w:rsidP="00287B5F">
      <w:pPr>
        <w:pStyle w:val="btbullet"/>
        <w:numPr>
          <w:ilvl w:val="1"/>
          <w:numId w:val="2"/>
        </w:numPr>
      </w:pPr>
      <w:r w:rsidRPr="00686DF1">
        <w:t>Centre for Sustainable Technologies</w:t>
      </w:r>
    </w:p>
    <w:p w:rsidR="001E659A" w:rsidRPr="00686DF1" w:rsidRDefault="00804CAA" w:rsidP="00287B5F">
      <w:pPr>
        <w:pStyle w:val="btbullet"/>
        <w:numPr>
          <w:ilvl w:val="1"/>
          <w:numId w:val="2"/>
        </w:numPr>
        <w:rPr>
          <w:rStyle w:val="Emphasis"/>
          <w:i w:val="0"/>
        </w:rPr>
      </w:pPr>
      <w:r w:rsidRPr="00686DF1">
        <w:rPr>
          <w:rStyle w:val="Emphasis"/>
          <w:i w:val="0"/>
        </w:rPr>
        <w:t>Gippsland Lakes Sustainable Development Framework</w:t>
      </w:r>
    </w:p>
    <w:p w:rsidR="001E659A" w:rsidRPr="00686DF1" w:rsidRDefault="001E659A" w:rsidP="00287B5F">
      <w:pPr>
        <w:pStyle w:val="btbullet"/>
        <w:numPr>
          <w:ilvl w:val="1"/>
          <w:numId w:val="2"/>
        </w:numPr>
      </w:pPr>
      <w:r w:rsidRPr="00686DF1">
        <w:t xml:space="preserve">Gippsland’s </w:t>
      </w:r>
      <w:r w:rsidR="00620152" w:rsidRPr="00686DF1">
        <w:t>w</w:t>
      </w:r>
      <w:r w:rsidRPr="00686DF1">
        <w:t>ater</w:t>
      </w:r>
    </w:p>
    <w:p w:rsidR="001E659A" w:rsidRPr="00686DF1" w:rsidRDefault="00620152" w:rsidP="00287B5F">
      <w:pPr>
        <w:pStyle w:val="btbullet"/>
        <w:numPr>
          <w:ilvl w:val="1"/>
          <w:numId w:val="2"/>
        </w:numPr>
      </w:pPr>
      <w:r w:rsidRPr="00686DF1">
        <w:t>t</w:t>
      </w:r>
      <w:r w:rsidR="001E659A" w:rsidRPr="00686DF1">
        <w:t xml:space="preserve">ourism </w:t>
      </w:r>
      <w:r w:rsidRPr="00686DF1">
        <w:t>i</w:t>
      </w:r>
      <w:r w:rsidR="001E659A" w:rsidRPr="00686DF1">
        <w:t>nfrastructure</w:t>
      </w:r>
    </w:p>
    <w:p w:rsidR="00BA3E40" w:rsidRPr="00686DF1" w:rsidRDefault="00BA3E40" w:rsidP="00767431">
      <w:pPr>
        <w:pStyle w:val="btbullet"/>
      </w:pPr>
      <w:r w:rsidRPr="00686DF1">
        <w:t>establish</w:t>
      </w:r>
      <w:r w:rsidR="00B41332" w:rsidRPr="00686DF1">
        <w:t>es</w:t>
      </w:r>
      <w:r w:rsidRPr="00686DF1">
        <w:t xml:space="preserve"> a framework for strategic land use and settlement planning that can sustainably accommodate growth</w:t>
      </w:r>
    </w:p>
    <w:p w:rsidR="00BA3E40" w:rsidRPr="00686DF1" w:rsidRDefault="00BA3E40" w:rsidP="00767431">
      <w:pPr>
        <w:pStyle w:val="btbullet"/>
      </w:pPr>
      <w:r w:rsidRPr="00686DF1">
        <w:t>identif</w:t>
      </w:r>
      <w:r w:rsidR="00B41332" w:rsidRPr="00686DF1">
        <w:t>ies</w:t>
      </w:r>
      <w:r w:rsidRPr="00686DF1">
        <w:t xml:space="preserve"> important economic, environmental, social and cultural resources to be pr</w:t>
      </w:r>
      <w:r w:rsidR="00BA3C07" w:rsidRPr="00686DF1">
        <w:t>otected</w:t>
      </w:r>
      <w:r w:rsidRPr="00686DF1">
        <w:t>, maintained or developed</w:t>
      </w:r>
    </w:p>
    <w:p w:rsidR="00BA3E40" w:rsidRPr="00686DF1" w:rsidRDefault="00BA3E40" w:rsidP="00767431">
      <w:pPr>
        <w:pStyle w:val="btbullet"/>
      </w:pPr>
      <w:r w:rsidRPr="00686DF1">
        <w:t>provide</w:t>
      </w:r>
      <w:r w:rsidR="00B41332" w:rsidRPr="00686DF1">
        <w:t>s</w:t>
      </w:r>
      <w:r w:rsidRPr="00686DF1">
        <w:t xml:space="preserve"> direction for accommodating growth and change including residential, employment, industrial, commercial, agriculture and other rural activities</w:t>
      </w:r>
    </w:p>
    <w:p w:rsidR="00BA3E40" w:rsidRPr="00686DF1" w:rsidRDefault="00BA3E40" w:rsidP="00767431">
      <w:pPr>
        <w:pStyle w:val="btbullet"/>
      </w:pPr>
      <w:r w:rsidRPr="00686DF1">
        <w:t>show</w:t>
      </w:r>
      <w:r w:rsidR="00B41332" w:rsidRPr="00686DF1">
        <w:t>s</w:t>
      </w:r>
      <w:r w:rsidRPr="00686DF1">
        <w:t xml:space="preserve"> which areas of land can accommodate growth and which are to be </w:t>
      </w:r>
      <w:r w:rsidR="006C59E8" w:rsidRPr="00686DF1">
        <w:t>preserved</w:t>
      </w:r>
    </w:p>
    <w:p w:rsidR="00BA3E40" w:rsidRPr="00686DF1" w:rsidRDefault="00BA3E40" w:rsidP="00767431">
      <w:pPr>
        <w:pStyle w:val="btbullet"/>
      </w:pPr>
      <w:proofErr w:type="gramStart"/>
      <w:r w:rsidRPr="00686DF1">
        <w:t>identif</w:t>
      </w:r>
      <w:r w:rsidR="00B41332" w:rsidRPr="00686DF1">
        <w:t>ies</w:t>
      </w:r>
      <w:proofErr w:type="gramEnd"/>
      <w:r w:rsidRPr="00686DF1">
        <w:t xml:space="preserve"> opportunities for supporting regional level infrastructure, providing an essential contribution to the long-term sustainability of the region</w:t>
      </w:r>
      <w:r w:rsidR="00620152" w:rsidRPr="00686DF1">
        <w:t>.</w:t>
      </w:r>
    </w:p>
    <w:p w:rsidR="00BA3E40" w:rsidRPr="00686DF1" w:rsidRDefault="00BA3E40" w:rsidP="00FB040B">
      <w:pPr>
        <w:pStyle w:val="bt"/>
      </w:pPr>
      <w:r w:rsidRPr="00686DF1">
        <w:t xml:space="preserve">The </w:t>
      </w:r>
      <w:r w:rsidR="005163F0" w:rsidRPr="00686DF1">
        <w:t>p</w:t>
      </w:r>
      <w:r w:rsidRPr="00686DF1">
        <w:t>lan help</w:t>
      </w:r>
      <w:r w:rsidR="00B41332" w:rsidRPr="00686DF1">
        <w:t>s</w:t>
      </w:r>
      <w:r w:rsidRPr="00686DF1">
        <w:t xml:space="preserve"> councils by streamlining planning policy and potentially reducing the strategic workload of councils. It will also contribute to broader regional goals.</w:t>
      </w:r>
    </w:p>
    <w:p w:rsidR="00BA3E40" w:rsidRPr="00283CEC" w:rsidRDefault="00BA3E40" w:rsidP="00FB040B">
      <w:pPr>
        <w:pStyle w:val="bt"/>
      </w:pPr>
      <w:r w:rsidRPr="00686DF1">
        <w:t xml:space="preserve">The </w:t>
      </w:r>
      <w:r w:rsidR="005163F0" w:rsidRPr="00686DF1">
        <w:t>p</w:t>
      </w:r>
      <w:r w:rsidRPr="00686DF1">
        <w:t>lan provide</w:t>
      </w:r>
      <w:r w:rsidR="00B41332" w:rsidRPr="00686DF1">
        <w:t>s</w:t>
      </w:r>
      <w:r w:rsidRPr="00686DF1">
        <w:t xml:space="preserve"> a regional strategic land use framework for growth and change. It is a strategic direction</w:t>
      </w:r>
      <w:r w:rsidR="00FD0753" w:rsidRPr="00686DF1">
        <w:t>-</w:t>
      </w:r>
      <w:r w:rsidRPr="00686DF1">
        <w:t>setting document</w:t>
      </w:r>
      <w:r w:rsidRPr="00283CEC">
        <w:t xml:space="preserve"> </w:t>
      </w:r>
      <w:r w:rsidR="00C45419" w:rsidRPr="00283CEC">
        <w:t xml:space="preserve">that </w:t>
      </w:r>
      <w:r w:rsidRPr="00283CEC">
        <w:t>identifies long</w:t>
      </w:r>
      <w:r w:rsidR="00C45419" w:rsidRPr="00283CEC">
        <w:t>-</w:t>
      </w:r>
      <w:r w:rsidRPr="00283CEC">
        <w:t xml:space="preserve">term land uses and growth objectives. It is not at a level where service planning or specific unquantified infrastructure could be committed. The </w:t>
      </w:r>
      <w:r w:rsidR="005163F0" w:rsidRPr="00283CEC">
        <w:t>p</w:t>
      </w:r>
      <w:r w:rsidRPr="00283CEC">
        <w:t>lan will guide infrastructure decisions and provide priority for further investigations of regionally significant infrastructure.</w:t>
      </w:r>
    </w:p>
    <w:p w:rsidR="00BA3E40" w:rsidRPr="00283CEC" w:rsidRDefault="00BA3E40" w:rsidP="00FB040B">
      <w:pPr>
        <w:pStyle w:val="bt"/>
      </w:pPr>
      <w:r w:rsidRPr="00283CEC">
        <w:t>Site</w:t>
      </w:r>
      <w:r w:rsidR="005163F0" w:rsidRPr="00283CEC">
        <w:t>-</w:t>
      </w:r>
      <w:r w:rsidRPr="00283CEC">
        <w:t xml:space="preserve">specific development proposals and processes are also outside the scope of </w:t>
      </w:r>
      <w:r w:rsidR="005163F0" w:rsidRPr="00283CEC">
        <w:t>this p</w:t>
      </w:r>
      <w:r w:rsidRPr="00283CEC">
        <w:t xml:space="preserve">lan. </w:t>
      </w:r>
    </w:p>
    <w:p w:rsidR="00623F43" w:rsidRPr="00283CEC" w:rsidRDefault="00BA3E40" w:rsidP="00FB040B">
      <w:pPr>
        <w:pStyle w:val="bt"/>
      </w:pPr>
      <w:r w:rsidRPr="00283CEC">
        <w:t xml:space="preserve">The </w:t>
      </w:r>
      <w:r w:rsidR="005163F0" w:rsidRPr="00283CEC">
        <w:t>p</w:t>
      </w:r>
      <w:r w:rsidRPr="00283CEC">
        <w:t>lan provide</w:t>
      </w:r>
      <w:r w:rsidR="00B41332" w:rsidRPr="00283CEC">
        <w:t>s</w:t>
      </w:r>
      <w:r w:rsidRPr="00283CEC">
        <w:t xml:space="preserve"> solutions to common issues across </w:t>
      </w:r>
      <w:r w:rsidR="00870A64" w:rsidRPr="00283CEC">
        <w:t xml:space="preserve">Gippsland </w:t>
      </w:r>
      <w:r w:rsidRPr="00283CEC">
        <w:t>but will not reduce attention to local issues or replace local planning</w:t>
      </w:r>
      <w:r w:rsidR="005163F0" w:rsidRPr="00283CEC">
        <w:t>,</w:t>
      </w:r>
      <w:r w:rsidR="00C45419" w:rsidRPr="00283CEC">
        <w:t xml:space="preserve"> such as </w:t>
      </w:r>
      <w:r w:rsidRPr="00283CEC">
        <w:t>identification of future industrial and other employment locations or consistent regional approaches to planning for key resources, waste, tourism and heritage</w:t>
      </w:r>
      <w:r w:rsidR="00FB214A" w:rsidRPr="00283CEC">
        <w:t>.</w:t>
      </w:r>
    </w:p>
    <w:p w:rsidR="00C507C7" w:rsidRPr="00283CEC" w:rsidRDefault="00C507C7" w:rsidP="00C507C7">
      <w:pPr>
        <w:pStyle w:val="Heading11"/>
      </w:pPr>
      <w:bookmarkStart w:id="9" w:name="_Toc336871210"/>
      <w:bookmarkStart w:id="10" w:name="_Toc376791232"/>
      <w:r w:rsidRPr="00283CEC">
        <w:t xml:space="preserve">How this </w:t>
      </w:r>
      <w:r w:rsidR="005163F0" w:rsidRPr="00283CEC">
        <w:t>p</w:t>
      </w:r>
      <w:r w:rsidRPr="00283CEC">
        <w:t xml:space="preserve">lan will be </w:t>
      </w:r>
      <w:r w:rsidR="00620152" w:rsidRPr="00283CEC">
        <w:t>u</w:t>
      </w:r>
      <w:r w:rsidRPr="00283CEC">
        <w:t>sed</w:t>
      </w:r>
      <w:bookmarkEnd w:id="9"/>
      <w:bookmarkEnd w:id="10"/>
    </w:p>
    <w:p w:rsidR="00085A34" w:rsidRPr="00283CEC" w:rsidRDefault="00085A34" w:rsidP="00FB040B">
      <w:pPr>
        <w:pStyle w:val="bt"/>
      </w:pPr>
      <w:r w:rsidRPr="00283CEC">
        <w:t>This plan support</w:t>
      </w:r>
      <w:r w:rsidR="00B41332" w:rsidRPr="00283CEC">
        <w:t>s</w:t>
      </w:r>
      <w:r w:rsidRPr="00283CEC">
        <w:t xml:space="preserve"> the region’s agreed priorities as set out in the </w:t>
      </w:r>
      <w:r w:rsidRPr="00283CEC">
        <w:rPr>
          <w:rStyle w:val="Emphasis"/>
          <w:i w:val="0"/>
        </w:rPr>
        <w:t>Gippsland Regional Plan</w:t>
      </w:r>
      <w:r w:rsidR="006030C9" w:rsidRPr="00283CEC">
        <w:rPr>
          <w:i/>
        </w:rPr>
        <w:t>.</w:t>
      </w:r>
      <w:r w:rsidRPr="00283CEC">
        <w:t xml:space="preserve"> </w:t>
      </w:r>
      <w:r w:rsidRPr="00283CEC">
        <w:rPr>
          <w:lang w:eastAsia="en-US"/>
        </w:rPr>
        <w:t>T</w:t>
      </w:r>
      <w:r w:rsidRPr="00283CEC">
        <w:t xml:space="preserve">he plan provides a land use focus for economic, environmental, settlement and infrastructure priorities, and will be used to inform regional planning policy and guide future strategic planning by local government. </w:t>
      </w:r>
    </w:p>
    <w:p w:rsidR="00085A34" w:rsidRPr="00283CEC" w:rsidRDefault="005163F0" w:rsidP="00FB040B">
      <w:pPr>
        <w:pStyle w:val="bt"/>
        <w:rPr>
          <w:szCs w:val="20"/>
        </w:rPr>
      </w:pPr>
      <w:r w:rsidRPr="00283CEC">
        <w:rPr>
          <w:szCs w:val="20"/>
        </w:rPr>
        <w:t>This p</w:t>
      </w:r>
      <w:r w:rsidR="006E3032" w:rsidRPr="00283CEC">
        <w:rPr>
          <w:szCs w:val="20"/>
        </w:rPr>
        <w:t xml:space="preserve">lan </w:t>
      </w:r>
      <w:r w:rsidR="00FC77ED">
        <w:rPr>
          <w:szCs w:val="20"/>
        </w:rPr>
        <w:t xml:space="preserve">will </w:t>
      </w:r>
      <w:r w:rsidR="006E3032" w:rsidRPr="00283CEC">
        <w:rPr>
          <w:szCs w:val="20"/>
        </w:rPr>
        <w:t xml:space="preserve">guide and inform future land use planning across the </w:t>
      </w:r>
      <w:r w:rsidR="006E3032" w:rsidRPr="00283CEC">
        <w:t xml:space="preserve">Gippsland </w:t>
      </w:r>
      <w:r w:rsidR="006E3032" w:rsidRPr="00283CEC">
        <w:rPr>
          <w:szCs w:val="20"/>
        </w:rPr>
        <w:t xml:space="preserve">region, including subsequent reviews of each council’s </w:t>
      </w:r>
      <w:r w:rsidR="00FD0753" w:rsidRPr="00283CEC">
        <w:rPr>
          <w:szCs w:val="20"/>
        </w:rPr>
        <w:t>M</w:t>
      </w:r>
      <w:r w:rsidR="006E3032" w:rsidRPr="00283CEC">
        <w:rPr>
          <w:szCs w:val="20"/>
        </w:rPr>
        <w:t xml:space="preserve">unicipal </w:t>
      </w:r>
      <w:r w:rsidR="00FD0753" w:rsidRPr="00283CEC">
        <w:rPr>
          <w:szCs w:val="20"/>
        </w:rPr>
        <w:t>Strategic Statement</w:t>
      </w:r>
      <w:r w:rsidR="006E3032" w:rsidRPr="00283CEC">
        <w:rPr>
          <w:szCs w:val="20"/>
        </w:rPr>
        <w:t>.</w:t>
      </w:r>
    </w:p>
    <w:p w:rsidR="00C40F86" w:rsidRPr="00283CEC" w:rsidRDefault="00C40F86" w:rsidP="00FB040B">
      <w:pPr>
        <w:pStyle w:val="bt"/>
        <w:rPr>
          <w:szCs w:val="20"/>
        </w:rPr>
      </w:pPr>
      <w:r w:rsidRPr="00283CEC">
        <w:rPr>
          <w:szCs w:val="20"/>
        </w:rPr>
        <w:t xml:space="preserve">The key land use planning directions of the </w:t>
      </w:r>
      <w:r w:rsidR="005163F0" w:rsidRPr="00283CEC">
        <w:rPr>
          <w:szCs w:val="20"/>
        </w:rPr>
        <w:t>p</w:t>
      </w:r>
      <w:r w:rsidRPr="00283CEC">
        <w:rPr>
          <w:szCs w:val="20"/>
        </w:rPr>
        <w:t xml:space="preserve">lan will be implemented through the </w:t>
      </w:r>
      <w:r w:rsidR="005163F0" w:rsidRPr="00283CEC">
        <w:rPr>
          <w:szCs w:val="20"/>
        </w:rPr>
        <w:t>s</w:t>
      </w:r>
      <w:r w:rsidRPr="00283CEC">
        <w:rPr>
          <w:szCs w:val="20"/>
        </w:rPr>
        <w:t xml:space="preserve">tate </w:t>
      </w:r>
      <w:r w:rsidR="004B4152" w:rsidRPr="00283CEC">
        <w:rPr>
          <w:szCs w:val="20"/>
        </w:rPr>
        <w:t>p</w:t>
      </w:r>
      <w:r w:rsidRPr="00283CEC">
        <w:rPr>
          <w:szCs w:val="20"/>
        </w:rPr>
        <w:t xml:space="preserve">lanning system as it is applied by each council in the </w:t>
      </w:r>
      <w:r w:rsidR="00870A64" w:rsidRPr="00283CEC">
        <w:t xml:space="preserve">Gippsland </w:t>
      </w:r>
      <w:r w:rsidRPr="00283CEC">
        <w:rPr>
          <w:szCs w:val="20"/>
        </w:rPr>
        <w:t>region. This will support decision</w:t>
      </w:r>
      <w:r w:rsidR="00FD0753" w:rsidRPr="00283CEC">
        <w:rPr>
          <w:szCs w:val="20"/>
        </w:rPr>
        <w:t xml:space="preserve"> </w:t>
      </w:r>
      <w:r w:rsidRPr="00283CEC">
        <w:rPr>
          <w:szCs w:val="20"/>
        </w:rPr>
        <w:t>making at a local level</w:t>
      </w:r>
      <w:r w:rsidR="00085A34" w:rsidRPr="00283CEC">
        <w:rPr>
          <w:szCs w:val="20"/>
        </w:rPr>
        <w:t>.</w:t>
      </w:r>
    </w:p>
    <w:p w:rsidR="005C34AD" w:rsidRPr="00283CEC" w:rsidRDefault="00C40F86" w:rsidP="00C40F86">
      <w:pPr>
        <w:pStyle w:val="bt"/>
      </w:pPr>
      <w:r w:rsidRPr="00283CEC">
        <w:rPr>
          <w:szCs w:val="20"/>
        </w:rPr>
        <w:t>Implementation will occur in a number of ways, such as further specific amendments to planning schemes, preparation of infrastructure plans, land supply monitoring and other projects.</w:t>
      </w:r>
    </w:p>
    <w:p w:rsidR="00A43B5F" w:rsidRPr="00283CEC" w:rsidRDefault="006B4B1C" w:rsidP="004A17B6">
      <w:pPr>
        <w:pStyle w:val="Heading11"/>
        <w:rPr>
          <w:iCs/>
        </w:rPr>
      </w:pPr>
      <w:bookmarkStart w:id="11" w:name="_Toc376791233"/>
      <w:r w:rsidRPr="00283CEC">
        <w:t>Ho</w:t>
      </w:r>
      <w:r w:rsidR="00146741" w:rsidRPr="00283CEC">
        <w:t xml:space="preserve">w the </w:t>
      </w:r>
      <w:r w:rsidR="005163F0" w:rsidRPr="00283CEC">
        <w:t>p</w:t>
      </w:r>
      <w:r w:rsidR="00146741" w:rsidRPr="00283CEC">
        <w:t xml:space="preserve">lan was </w:t>
      </w:r>
      <w:r w:rsidR="00620152" w:rsidRPr="00283CEC">
        <w:t>p</w:t>
      </w:r>
      <w:r w:rsidR="00146741" w:rsidRPr="00283CEC">
        <w:t>repared</w:t>
      </w:r>
      <w:bookmarkEnd w:id="11"/>
    </w:p>
    <w:p w:rsidR="00085A34" w:rsidRPr="00283CEC" w:rsidRDefault="00C40F86" w:rsidP="00EA5C45">
      <w:pPr>
        <w:pStyle w:val="bt"/>
      </w:pPr>
      <w:r w:rsidRPr="00283CEC">
        <w:t xml:space="preserve">The </w:t>
      </w:r>
      <w:r w:rsidR="005163F0" w:rsidRPr="00283CEC">
        <w:t>p</w:t>
      </w:r>
      <w:r w:rsidRPr="00283CEC">
        <w:t xml:space="preserve">lan has been developed through a series of issues papers, regional workshops and analysis of information provided by all partners in the process. </w:t>
      </w:r>
      <w:r w:rsidR="00E31792" w:rsidRPr="00283CEC">
        <w:t xml:space="preserve">Partners in the development of the </w:t>
      </w:r>
      <w:r w:rsidR="005163F0" w:rsidRPr="00283CEC">
        <w:t>p</w:t>
      </w:r>
      <w:r w:rsidR="00E31792" w:rsidRPr="00283CEC">
        <w:t>lan are:</w:t>
      </w:r>
      <w:r w:rsidR="004B4152" w:rsidRPr="00283CEC">
        <w:t xml:space="preserve"> </w:t>
      </w:r>
      <w:r w:rsidR="00E31792" w:rsidRPr="00283CEC">
        <w:t xml:space="preserve">Baw </w:t>
      </w:r>
      <w:proofErr w:type="spellStart"/>
      <w:r w:rsidR="00E31792" w:rsidRPr="00283CEC">
        <w:t>Baw</w:t>
      </w:r>
      <w:proofErr w:type="spellEnd"/>
      <w:r w:rsidR="00E31792" w:rsidRPr="00283CEC">
        <w:t xml:space="preserve"> Shire, Bass Coast Shire, East Gippsland Shire, Latrobe City, South Gippsland Shire, Wellington Shire, Gippsland Regional Development Australia Committee, Gippsland’s </w:t>
      </w:r>
      <w:r w:rsidR="005163F0" w:rsidRPr="00283CEC">
        <w:t>c</w:t>
      </w:r>
      <w:r w:rsidR="00E31792" w:rsidRPr="00283CEC">
        <w:t xml:space="preserve">atchment </w:t>
      </w:r>
      <w:r w:rsidR="005163F0" w:rsidRPr="00283CEC">
        <w:t>m</w:t>
      </w:r>
      <w:r w:rsidR="00E31792" w:rsidRPr="00283CEC">
        <w:t xml:space="preserve">anagement </w:t>
      </w:r>
      <w:r w:rsidR="005163F0" w:rsidRPr="00283CEC">
        <w:t>a</w:t>
      </w:r>
      <w:r w:rsidR="00E31792" w:rsidRPr="00283CEC">
        <w:t>utho</w:t>
      </w:r>
      <w:r w:rsidR="00E87922" w:rsidRPr="00283CEC">
        <w:t xml:space="preserve">rities, Department of </w:t>
      </w:r>
      <w:r w:rsidR="00E31792" w:rsidRPr="00283CEC">
        <w:t>Environment</w:t>
      </w:r>
      <w:r w:rsidR="00E87922" w:rsidRPr="00283CEC">
        <w:t xml:space="preserve"> and </w:t>
      </w:r>
      <w:r w:rsidR="005640E3" w:rsidRPr="00283CEC">
        <w:t>Primary Industries, VicRoads</w:t>
      </w:r>
      <w:r w:rsidR="007716FB" w:rsidRPr="00283CEC">
        <w:t>,</w:t>
      </w:r>
      <w:r w:rsidR="00E31792" w:rsidRPr="00283CEC">
        <w:t xml:space="preserve"> </w:t>
      </w:r>
      <w:r w:rsidR="007716FB" w:rsidRPr="00283CEC">
        <w:t>Department of Transport, Planning and Local Infrastructure and Department of State Development, Business and Industry</w:t>
      </w:r>
      <w:r w:rsidR="00D73C7C" w:rsidRPr="00283CEC">
        <w:t xml:space="preserve">. </w:t>
      </w:r>
      <w:r w:rsidR="006724C8" w:rsidRPr="00283CEC">
        <w:t xml:space="preserve"> </w:t>
      </w:r>
    </w:p>
    <w:p w:rsidR="005640E3" w:rsidRPr="00283CEC" w:rsidRDefault="005640E3" w:rsidP="00EA5C45">
      <w:pPr>
        <w:pStyle w:val="bt"/>
        <w:rPr>
          <w:szCs w:val="20"/>
        </w:rPr>
      </w:pPr>
      <w:r w:rsidRPr="00283CEC">
        <w:rPr>
          <w:szCs w:val="20"/>
        </w:rPr>
        <w:t xml:space="preserve">The process for preparing the plan </w:t>
      </w:r>
      <w:r w:rsidR="00EA56C3" w:rsidRPr="00283CEC">
        <w:rPr>
          <w:szCs w:val="20"/>
        </w:rPr>
        <w:t xml:space="preserve">was </w:t>
      </w:r>
      <w:r w:rsidRPr="00283CEC">
        <w:rPr>
          <w:szCs w:val="20"/>
        </w:rPr>
        <w:t>as follows:</w:t>
      </w:r>
    </w:p>
    <w:p w:rsidR="005640E3" w:rsidRPr="00283CEC" w:rsidRDefault="005640E3" w:rsidP="008C16C4">
      <w:pPr>
        <w:pStyle w:val="ListNumber"/>
        <w:numPr>
          <w:ilvl w:val="0"/>
          <w:numId w:val="12"/>
        </w:numPr>
      </w:pPr>
      <w:r w:rsidRPr="00283CEC">
        <w:t xml:space="preserve"> Project establishment</w:t>
      </w:r>
    </w:p>
    <w:p w:rsidR="005640E3" w:rsidRPr="00283CEC" w:rsidRDefault="005640E3" w:rsidP="00EA5C45">
      <w:pPr>
        <w:pStyle w:val="ListNumber"/>
      </w:pPr>
      <w:r w:rsidRPr="00283CEC">
        <w:t xml:space="preserve"> </w:t>
      </w:r>
      <w:r w:rsidR="00FB214A" w:rsidRPr="00283CEC">
        <w:t>Prepare background issues paper</w:t>
      </w:r>
    </w:p>
    <w:p w:rsidR="005640E3" w:rsidRPr="00283CEC" w:rsidRDefault="005640E3" w:rsidP="00EA5C45">
      <w:pPr>
        <w:pStyle w:val="ListNumber"/>
        <w:tabs>
          <w:tab w:val="left" w:pos="3828"/>
          <w:tab w:val="left" w:pos="5812"/>
        </w:tabs>
      </w:pPr>
      <w:r w:rsidRPr="00283CEC">
        <w:t xml:space="preserve"> Establish </w:t>
      </w:r>
      <w:r w:rsidR="001839BE" w:rsidRPr="00283CEC">
        <w:t xml:space="preserve">the plan’s strategic directions </w:t>
      </w:r>
      <w:r w:rsidR="00E86FB0" w:rsidRPr="00283CEC">
        <w:t xml:space="preserve">– </w:t>
      </w:r>
      <w:r w:rsidRPr="00283CEC">
        <w:t>Public consultation</w:t>
      </w:r>
    </w:p>
    <w:p w:rsidR="005640E3" w:rsidRPr="00283CEC" w:rsidRDefault="005640E3" w:rsidP="00EA5C45">
      <w:pPr>
        <w:pStyle w:val="ListNumber"/>
        <w:tabs>
          <w:tab w:val="left" w:pos="3828"/>
          <w:tab w:val="left" w:pos="5812"/>
        </w:tabs>
      </w:pPr>
      <w:r w:rsidRPr="00283CEC">
        <w:t xml:space="preserve"> Pre</w:t>
      </w:r>
      <w:r w:rsidR="001839BE" w:rsidRPr="00283CEC">
        <w:t xml:space="preserve">pare draft regional growth plan </w:t>
      </w:r>
      <w:r w:rsidR="00E86FB0" w:rsidRPr="00283CEC">
        <w:t xml:space="preserve">– </w:t>
      </w:r>
      <w:r w:rsidRPr="00283CEC">
        <w:t>Public consultation</w:t>
      </w:r>
      <w:r w:rsidR="001839BE" w:rsidRPr="00283CEC">
        <w:t xml:space="preserve"> </w:t>
      </w:r>
    </w:p>
    <w:p w:rsidR="005640E3" w:rsidRPr="00283CEC" w:rsidRDefault="005640E3" w:rsidP="00EA5C45">
      <w:pPr>
        <w:pStyle w:val="ListNumber"/>
      </w:pPr>
      <w:r w:rsidRPr="00283CEC">
        <w:t xml:space="preserve"> Prepare final regional growth plan</w:t>
      </w:r>
    </w:p>
    <w:p w:rsidR="00BE57BC" w:rsidRPr="00283CEC" w:rsidRDefault="00FC77ED" w:rsidP="00FB040B">
      <w:pPr>
        <w:pStyle w:val="bt"/>
      </w:pPr>
      <w:r>
        <w:t>A</w:t>
      </w:r>
      <w:r w:rsidRPr="00283CEC">
        <w:t xml:space="preserve"> </w:t>
      </w:r>
      <w:r w:rsidR="00C40F86" w:rsidRPr="00283CEC">
        <w:t xml:space="preserve">brochure identifying draft strategic directions for the </w:t>
      </w:r>
      <w:r w:rsidR="0080733B" w:rsidRPr="00283CEC">
        <w:t>p</w:t>
      </w:r>
      <w:r w:rsidR="00C40F86" w:rsidRPr="00283CEC">
        <w:t xml:space="preserve">lan </w:t>
      </w:r>
      <w:r>
        <w:t>was</w:t>
      </w:r>
      <w:r w:rsidR="00C40F86" w:rsidRPr="00283CEC">
        <w:t xml:space="preserve"> on display </w:t>
      </w:r>
      <w:r w:rsidRPr="00283CEC">
        <w:t xml:space="preserve">on the Department of Transport, Planning and Local Infrastructure website </w:t>
      </w:r>
      <w:hyperlink r:id="rId21" w:history="1">
        <w:r w:rsidR="00A7298E" w:rsidRPr="00582F2D">
          <w:rPr>
            <w:rStyle w:val="Hyperlink"/>
          </w:rPr>
          <w:t>www.dtpli.vic.gov.au/regionalgrowthplans</w:t>
        </w:r>
      </w:hyperlink>
      <w:r w:rsidR="00A7298E">
        <w:t xml:space="preserve"> </w:t>
      </w:r>
      <w:r w:rsidR="00C40F86" w:rsidRPr="00283CEC">
        <w:t xml:space="preserve">Background and </w:t>
      </w:r>
      <w:r w:rsidR="0080733B" w:rsidRPr="00283CEC">
        <w:t>i</w:t>
      </w:r>
      <w:r w:rsidR="00C40F86" w:rsidRPr="00283CEC">
        <w:t xml:space="preserve">ssues </w:t>
      </w:r>
      <w:r w:rsidR="0080733B" w:rsidRPr="00283CEC">
        <w:t>p</w:t>
      </w:r>
      <w:r w:rsidR="00C40F86" w:rsidRPr="00283CEC">
        <w:t>apers are also available</w:t>
      </w:r>
      <w:r>
        <w:t xml:space="preserve"> on this website</w:t>
      </w:r>
      <w:r w:rsidR="00C40F86" w:rsidRPr="00283CEC">
        <w:t>.</w:t>
      </w:r>
    </w:p>
    <w:p w:rsidR="00C507C7" w:rsidRPr="00283CEC" w:rsidRDefault="00C507C7" w:rsidP="00C507C7">
      <w:pPr>
        <w:pStyle w:val="Heading11"/>
        <w:rPr>
          <w:iCs/>
        </w:rPr>
      </w:pPr>
      <w:bookmarkStart w:id="12" w:name="_Toc336871212"/>
      <w:bookmarkStart w:id="13" w:name="_Toc376791234"/>
      <w:r w:rsidRPr="00283CEC">
        <w:t xml:space="preserve">Components of this </w:t>
      </w:r>
      <w:r w:rsidR="005163F0" w:rsidRPr="00283CEC">
        <w:t>p</w:t>
      </w:r>
      <w:r w:rsidRPr="00283CEC">
        <w:t>lan</w:t>
      </w:r>
      <w:bookmarkEnd w:id="12"/>
      <w:bookmarkEnd w:id="13"/>
    </w:p>
    <w:p w:rsidR="00C06E47" w:rsidRPr="00283CEC" w:rsidRDefault="00535C0D" w:rsidP="00EA5C45">
      <w:pPr>
        <w:pStyle w:val="bt"/>
      </w:pPr>
      <w:r w:rsidRPr="00283CEC">
        <w:rPr>
          <w:rStyle w:val="Strong"/>
        </w:rPr>
        <w:t>Part A: Introduction</w:t>
      </w:r>
      <w:r w:rsidR="00C06E47" w:rsidRPr="00283CEC">
        <w:rPr>
          <w:rStyle w:val="Strong"/>
        </w:rPr>
        <w:t xml:space="preserve"> – </w:t>
      </w:r>
      <w:r w:rsidR="00C06E47" w:rsidRPr="00283CEC">
        <w:t>provides an overview of the context of this plan and how it is being prepared</w:t>
      </w:r>
      <w:r w:rsidR="0065167F" w:rsidRPr="00283CEC">
        <w:t>.</w:t>
      </w:r>
    </w:p>
    <w:p w:rsidR="004D7D0C" w:rsidRPr="00283CEC" w:rsidRDefault="00535C0D" w:rsidP="00EA5C45">
      <w:pPr>
        <w:pStyle w:val="bt"/>
      </w:pPr>
      <w:r w:rsidRPr="00283CEC">
        <w:rPr>
          <w:rStyle w:val="Strong"/>
        </w:rPr>
        <w:t>Part B: Regional overview</w:t>
      </w:r>
      <w:r w:rsidR="006715DB" w:rsidRPr="00283CEC">
        <w:rPr>
          <w:rStyle w:val="Strong"/>
        </w:rPr>
        <w:t xml:space="preserve"> –</w:t>
      </w:r>
      <w:r w:rsidR="00C06E47" w:rsidRPr="00283CEC">
        <w:rPr>
          <w:rStyle w:val="Strong"/>
        </w:rPr>
        <w:t xml:space="preserve"> </w:t>
      </w:r>
      <w:r w:rsidR="009448DE" w:rsidRPr="00283CEC">
        <w:t xml:space="preserve">considers the current drivers of change in the </w:t>
      </w:r>
      <w:r w:rsidR="0010139A" w:rsidRPr="00283CEC">
        <w:t xml:space="preserve">Gippsland </w:t>
      </w:r>
      <w:r w:rsidR="009448DE" w:rsidRPr="00283CEC">
        <w:t xml:space="preserve">region as well as </w:t>
      </w:r>
      <w:r w:rsidR="0010139A" w:rsidRPr="00283CEC">
        <w:t xml:space="preserve">wider </w:t>
      </w:r>
      <w:r w:rsidR="007A1017" w:rsidRPr="00283CEC">
        <w:t>challenges</w:t>
      </w:r>
      <w:r w:rsidR="0010139A" w:rsidRPr="00283CEC">
        <w:t xml:space="preserve"> such as </w:t>
      </w:r>
      <w:r w:rsidR="007A1017" w:rsidRPr="00283CEC">
        <w:t xml:space="preserve">economic restructuring, technological change, and </w:t>
      </w:r>
      <w:r w:rsidR="0010139A" w:rsidRPr="00283CEC">
        <w:t xml:space="preserve">the </w:t>
      </w:r>
      <w:r w:rsidR="007A1017" w:rsidRPr="00283CEC">
        <w:t xml:space="preserve">projected impacts of climate change. </w:t>
      </w:r>
      <w:r w:rsidR="004D7D0C" w:rsidRPr="00283CEC">
        <w:t>The</w:t>
      </w:r>
      <w:r w:rsidR="0010139A" w:rsidRPr="00283CEC">
        <w:t>se</w:t>
      </w:r>
      <w:r w:rsidR="004D7D0C" w:rsidRPr="00283CEC">
        <w:t xml:space="preserve"> drivers and challenges set a context for land use and development issues across the region and </w:t>
      </w:r>
      <w:r w:rsidR="0010139A" w:rsidRPr="00283CEC">
        <w:t xml:space="preserve">provide </w:t>
      </w:r>
      <w:r w:rsidR="004D7D0C" w:rsidRPr="00283CEC">
        <w:t>a focus for where more detailed investigation and planning may be needed.</w:t>
      </w:r>
    </w:p>
    <w:p w:rsidR="002A2C44" w:rsidRPr="00283CEC" w:rsidRDefault="00304B64" w:rsidP="00EA5C45">
      <w:pPr>
        <w:pStyle w:val="bt"/>
      </w:pPr>
      <w:r w:rsidRPr="00283CEC">
        <w:rPr>
          <w:rStyle w:val="Strong"/>
        </w:rPr>
        <w:t>Part C: Towards the regional g</w:t>
      </w:r>
      <w:r w:rsidR="00535C0D" w:rsidRPr="00283CEC">
        <w:rPr>
          <w:rStyle w:val="Strong"/>
        </w:rPr>
        <w:t xml:space="preserve">rowth </w:t>
      </w:r>
      <w:r w:rsidRPr="00283CEC">
        <w:rPr>
          <w:rStyle w:val="Strong"/>
        </w:rPr>
        <w:t>p</w:t>
      </w:r>
      <w:r w:rsidR="003C7363" w:rsidRPr="00283CEC">
        <w:rPr>
          <w:rStyle w:val="Strong"/>
        </w:rPr>
        <w:t>lan</w:t>
      </w:r>
      <w:r w:rsidR="00C06E47" w:rsidRPr="00283CEC">
        <w:rPr>
          <w:rStyle w:val="Strong"/>
        </w:rPr>
        <w:t xml:space="preserve"> </w:t>
      </w:r>
      <w:r w:rsidR="006715DB" w:rsidRPr="00283CEC">
        <w:rPr>
          <w:rStyle w:val="Strong"/>
        </w:rPr>
        <w:t>–</w:t>
      </w:r>
      <w:r w:rsidR="00AC2847">
        <w:rPr>
          <w:rStyle w:val="Strong"/>
        </w:rPr>
        <w:t xml:space="preserve"> Regional land use framework </w:t>
      </w:r>
      <w:proofErr w:type="gramStart"/>
      <w:r w:rsidR="00AC2847">
        <w:rPr>
          <w:rStyle w:val="Strong"/>
        </w:rPr>
        <w:t xml:space="preserve">- </w:t>
      </w:r>
      <w:r w:rsidR="00EA5C45" w:rsidRPr="00283CEC">
        <w:rPr>
          <w:rStyle w:val="Strong"/>
        </w:rPr>
        <w:t xml:space="preserve"> </w:t>
      </w:r>
      <w:r w:rsidR="004D7D0C" w:rsidRPr="00283CEC">
        <w:t>recognises</w:t>
      </w:r>
      <w:proofErr w:type="gramEnd"/>
      <w:r w:rsidR="004D7D0C" w:rsidRPr="00283CEC">
        <w:t xml:space="preserve"> the role of the economy and the region’s economic assets and the need to </w:t>
      </w:r>
      <w:r w:rsidR="002A2C44" w:rsidRPr="00283CEC">
        <w:t xml:space="preserve">build on </w:t>
      </w:r>
      <w:r w:rsidR="0010139A" w:rsidRPr="00283CEC">
        <w:t xml:space="preserve">these </w:t>
      </w:r>
      <w:r w:rsidR="002A2C44" w:rsidRPr="00283CEC">
        <w:t>c</w:t>
      </w:r>
      <w:r w:rsidR="004D7D0C" w:rsidRPr="00283CEC">
        <w:t xml:space="preserve">ompetitive advantages </w:t>
      </w:r>
      <w:r w:rsidR="002A2C44" w:rsidRPr="00283CEC">
        <w:t xml:space="preserve">and opportunities to </w:t>
      </w:r>
      <w:r w:rsidR="0010139A" w:rsidRPr="00283CEC">
        <w:t xml:space="preserve">create </w:t>
      </w:r>
      <w:r w:rsidR="002A2C44" w:rsidRPr="00283CEC">
        <w:t xml:space="preserve">a more diverse and resilient economic future. The region’s environmental and </w:t>
      </w:r>
      <w:r w:rsidR="008C1B27" w:rsidRPr="00283CEC">
        <w:t xml:space="preserve">cultural </w:t>
      </w:r>
      <w:r w:rsidR="002A2C44" w:rsidRPr="00283CEC">
        <w:t xml:space="preserve">heritage assets are recognised as providing vital ecosystem services and economic value through activities such as tourism. A regional settlement framework </w:t>
      </w:r>
      <w:r w:rsidR="00795EFA" w:rsidRPr="00283CEC">
        <w:t xml:space="preserve">sets out a high level approach to accommodate the region’s projected population and household growth. The </w:t>
      </w:r>
      <w:r w:rsidR="00A56018" w:rsidRPr="00283CEC">
        <w:t>p</w:t>
      </w:r>
      <w:r w:rsidR="00795EFA" w:rsidRPr="00283CEC">
        <w:t>lan also considers existing infrastructure networks and servicing implications for future growth.</w:t>
      </w:r>
    </w:p>
    <w:p w:rsidR="00C06E47" w:rsidRPr="00283CEC" w:rsidRDefault="005640E3" w:rsidP="00EA5C45">
      <w:pPr>
        <w:pStyle w:val="bt"/>
      </w:pPr>
      <w:r w:rsidRPr="00283CEC">
        <w:rPr>
          <w:rStyle w:val="Strong"/>
        </w:rPr>
        <w:t xml:space="preserve">Part D: </w:t>
      </w:r>
      <w:r w:rsidR="007A2298" w:rsidRPr="00283CEC">
        <w:rPr>
          <w:rStyle w:val="Strong"/>
        </w:rPr>
        <w:t xml:space="preserve">Regional </w:t>
      </w:r>
      <w:r w:rsidRPr="00283CEC">
        <w:rPr>
          <w:rStyle w:val="Strong"/>
        </w:rPr>
        <w:t>g</w:t>
      </w:r>
      <w:r w:rsidR="00535C0D" w:rsidRPr="00283CEC">
        <w:rPr>
          <w:rStyle w:val="Strong"/>
        </w:rPr>
        <w:t xml:space="preserve">rowth </w:t>
      </w:r>
      <w:r w:rsidRPr="00283CEC">
        <w:rPr>
          <w:rStyle w:val="Strong"/>
        </w:rPr>
        <w:t>p</w:t>
      </w:r>
      <w:r w:rsidR="00535C0D" w:rsidRPr="00283CEC">
        <w:rPr>
          <w:rStyle w:val="Strong"/>
        </w:rPr>
        <w:t>lan</w:t>
      </w:r>
      <w:r w:rsidR="00C06E47" w:rsidRPr="00283CEC">
        <w:rPr>
          <w:rStyle w:val="Strong"/>
        </w:rPr>
        <w:t xml:space="preserve"> – </w:t>
      </w:r>
      <w:r w:rsidR="00C06E47" w:rsidRPr="00283CEC">
        <w:t>provides an integrated strategic plan for growth and change, bringing together the key directions outlined in Part C.</w:t>
      </w:r>
    </w:p>
    <w:p w:rsidR="006E5D4D" w:rsidRPr="00283CEC" w:rsidRDefault="00535C0D" w:rsidP="00EA5C45">
      <w:pPr>
        <w:pStyle w:val="bt"/>
      </w:pPr>
      <w:r w:rsidRPr="00283CEC">
        <w:rPr>
          <w:rStyle w:val="Strong"/>
        </w:rPr>
        <w:t>Part E: Delivering regional growth</w:t>
      </w:r>
      <w:r w:rsidR="00C06E47" w:rsidRPr="00283CEC">
        <w:rPr>
          <w:rStyle w:val="Strong"/>
        </w:rPr>
        <w:t xml:space="preserve"> – </w:t>
      </w:r>
      <w:r w:rsidR="00C06E47" w:rsidRPr="00283CEC">
        <w:t xml:space="preserve">outlines how the plan will be implemented and progress monitored. </w:t>
      </w:r>
      <w:r w:rsidR="00795EFA" w:rsidRPr="00283CEC">
        <w:t xml:space="preserve">A summary of key directions for future growth </w:t>
      </w:r>
      <w:r w:rsidR="00C32729" w:rsidRPr="00283CEC">
        <w:t xml:space="preserve">and actions for implementation is provided. </w:t>
      </w:r>
    </w:p>
    <w:p w:rsidR="00851643" w:rsidRPr="00283CEC" w:rsidRDefault="00C507C7" w:rsidP="00EA5C45">
      <w:pPr>
        <w:pStyle w:val="bt"/>
      </w:pPr>
      <w:r w:rsidRPr="00283CEC">
        <w:t xml:space="preserve">The </w:t>
      </w:r>
      <w:r w:rsidR="00A56018" w:rsidRPr="00283CEC">
        <w:t>p</w:t>
      </w:r>
      <w:r w:rsidRPr="00283CEC">
        <w:t>lan is supported by:</w:t>
      </w:r>
    </w:p>
    <w:p w:rsidR="00E31792" w:rsidRPr="00283CEC" w:rsidRDefault="005640E3" w:rsidP="00767431">
      <w:pPr>
        <w:pStyle w:val="btbullet"/>
        <w:rPr>
          <w:rStyle w:val="Emphasis"/>
          <w:i w:val="0"/>
        </w:rPr>
      </w:pPr>
      <w:r w:rsidRPr="00283CEC">
        <w:rPr>
          <w:rStyle w:val="Emphasis"/>
          <w:i w:val="0"/>
        </w:rPr>
        <w:t>Gippsland Regional Plan</w:t>
      </w:r>
    </w:p>
    <w:p w:rsidR="00E31792" w:rsidRPr="00283CEC" w:rsidRDefault="00804CAA" w:rsidP="00767431">
      <w:pPr>
        <w:pStyle w:val="btbullet"/>
        <w:rPr>
          <w:rStyle w:val="Emphasis"/>
          <w:i w:val="0"/>
        </w:rPr>
      </w:pPr>
      <w:r w:rsidRPr="00283CEC">
        <w:rPr>
          <w:rStyle w:val="Emphasis"/>
          <w:i w:val="0"/>
        </w:rPr>
        <w:t>Gippsland Regional Growth Plan – Issues Paper</w:t>
      </w:r>
    </w:p>
    <w:p w:rsidR="00E31792" w:rsidRPr="00283CEC" w:rsidRDefault="00804CAA" w:rsidP="00767431">
      <w:pPr>
        <w:pStyle w:val="btbullet"/>
        <w:rPr>
          <w:rStyle w:val="Emphasis"/>
          <w:i w:val="0"/>
        </w:rPr>
      </w:pPr>
      <w:r w:rsidRPr="00283CEC">
        <w:rPr>
          <w:rStyle w:val="Emphasis"/>
          <w:i w:val="0"/>
        </w:rPr>
        <w:t>Gippsland Regional Growth Plan – Strategic Directions Consultation Summary</w:t>
      </w:r>
    </w:p>
    <w:p w:rsidR="00E31792" w:rsidRPr="00283CEC" w:rsidRDefault="00804CAA" w:rsidP="00767431">
      <w:pPr>
        <w:pStyle w:val="btbullet"/>
        <w:rPr>
          <w:rStyle w:val="Emphasis"/>
          <w:i w:val="0"/>
        </w:rPr>
      </w:pPr>
      <w:r w:rsidRPr="00283CEC">
        <w:rPr>
          <w:rStyle w:val="Emphasis"/>
          <w:i w:val="0"/>
        </w:rPr>
        <w:t>Gippsland Regional Growth Plan –</w:t>
      </w:r>
      <w:r w:rsidR="008D439C" w:rsidRPr="00283CEC">
        <w:rPr>
          <w:rStyle w:val="Emphasis"/>
          <w:i w:val="0"/>
        </w:rPr>
        <w:t xml:space="preserve"> </w:t>
      </w:r>
      <w:r w:rsidR="00A139E5" w:rsidRPr="00283CEC">
        <w:rPr>
          <w:rStyle w:val="Emphasis"/>
          <w:i w:val="0"/>
        </w:rPr>
        <w:t>B</w:t>
      </w:r>
      <w:r w:rsidR="00AF3972" w:rsidRPr="00283CEC">
        <w:rPr>
          <w:rStyle w:val="Emphasis"/>
          <w:i w:val="0"/>
        </w:rPr>
        <w:t xml:space="preserve">ackground </w:t>
      </w:r>
      <w:r w:rsidR="00A139E5" w:rsidRPr="00283CEC">
        <w:rPr>
          <w:rStyle w:val="Emphasis"/>
          <w:i w:val="0"/>
        </w:rPr>
        <w:t>R</w:t>
      </w:r>
      <w:r w:rsidR="00AF3972" w:rsidRPr="00283CEC">
        <w:rPr>
          <w:rStyle w:val="Emphasis"/>
          <w:i w:val="0"/>
        </w:rPr>
        <w:t xml:space="preserve">eport </w:t>
      </w:r>
    </w:p>
    <w:p w:rsidR="00995C68" w:rsidRPr="00283CEC" w:rsidRDefault="00804CAA" w:rsidP="00767431">
      <w:pPr>
        <w:pStyle w:val="btbullet"/>
        <w:rPr>
          <w:rStyle w:val="Emphasis"/>
          <w:i w:val="0"/>
        </w:rPr>
      </w:pPr>
      <w:r w:rsidRPr="00283CEC">
        <w:rPr>
          <w:rStyle w:val="Emphasis"/>
          <w:i w:val="0"/>
        </w:rPr>
        <w:t>Gippsland Region Profile</w:t>
      </w:r>
      <w:r w:rsidR="009B2677" w:rsidRPr="00283CEC">
        <w:rPr>
          <w:rStyle w:val="Emphasis"/>
          <w:i w:val="0"/>
        </w:rPr>
        <w:t xml:space="preserve"> (Regional Development Victoria)</w:t>
      </w:r>
    </w:p>
    <w:p w:rsidR="00623F43" w:rsidRPr="00283CEC" w:rsidRDefault="00623F43" w:rsidP="00EA5C45">
      <w:pPr>
        <w:pStyle w:val="bt"/>
      </w:pPr>
    </w:p>
    <w:p w:rsidR="00623F43" w:rsidRPr="00283CEC" w:rsidRDefault="00623F43" w:rsidP="00EA5C45">
      <w:pPr>
        <w:pStyle w:val="bt"/>
        <w:rPr>
          <w:szCs w:val="20"/>
        </w:rPr>
        <w:sectPr w:rsidR="00623F43" w:rsidRPr="00283CEC" w:rsidSect="00B821B9">
          <w:headerReference w:type="default" r:id="rId22"/>
          <w:pgSz w:w="11906" w:h="16838"/>
          <w:pgMar w:top="1440" w:right="1440" w:bottom="993" w:left="1440" w:header="708" w:footer="708" w:gutter="0"/>
          <w:cols w:space="708"/>
          <w:docGrid w:linePitch="360"/>
        </w:sectPr>
      </w:pPr>
    </w:p>
    <w:p w:rsidR="00C507C7" w:rsidRPr="00283CEC" w:rsidRDefault="00C507C7" w:rsidP="002C3AF4">
      <w:pPr>
        <w:pStyle w:val="Heading1"/>
      </w:pPr>
      <w:bookmarkStart w:id="14" w:name="_Toc336871213"/>
      <w:bookmarkStart w:id="15" w:name="_Toc376791235"/>
      <w:r w:rsidRPr="00283CEC">
        <w:t>PART B</w:t>
      </w:r>
      <w:r w:rsidR="00E5661A" w:rsidRPr="00283CEC">
        <w:t>:</w:t>
      </w:r>
      <w:r w:rsidRPr="00283CEC">
        <w:t xml:space="preserve"> </w:t>
      </w:r>
      <w:r w:rsidRPr="00283CEC">
        <w:tab/>
        <w:t>R</w:t>
      </w:r>
      <w:r w:rsidR="009B6188" w:rsidRPr="00283CEC">
        <w:t>EGIONAL</w:t>
      </w:r>
      <w:r w:rsidRPr="00283CEC">
        <w:t xml:space="preserve"> O</w:t>
      </w:r>
      <w:bookmarkEnd w:id="14"/>
      <w:r w:rsidR="009B6188" w:rsidRPr="00283CEC">
        <w:t>VERVIEW</w:t>
      </w:r>
      <w:bookmarkEnd w:id="15"/>
    </w:p>
    <w:p w:rsidR="00AD1BAD" w:rsidRPr="00283CEC" w:rsidRDefault="00AD1BAD" w:rsidP="00EA5C45">
      <w:pPr>
        <w:pStyle w:val="bt"/>
      </w:pPr>
      <w:r w:rsidRPr="00283CEC">
        <w:t xml:space="preserve">This part of the </w:t>
      </w:r>
      <w:r w:rsidR="008508AC" w:rsidRPr="00283CEC">
        <w:rPr>
          <w:rStyle w:val="Emphasis"/>
          <w:i w:val="0"/>
        </w:rPr>
        <w:t>Gippsland Regional Growth Plan</w:t>
      </w:r>
      <w:r w:rsidR="00E232E3" w:rsidRPr="00283CEC">
        <w:t xml:space="preserve"> </w:t>
      </w:r>
      <w:r w:rsidRPr="00283CEC">
        <w:t xml:space="preserve">provides a broad overview of the </w:t>
      </w:r>
      <w:r w:rsidR="00870A64" w:rsidRPr="00283CEC">
        <w:t xml:space="preserve">Gippsland </w:t>
      </w:r>
      <w:r w:rsidRPr="00283CEC">
        <w:t>region including what is driving growth and change, what land use challenges the region faces, and a proposed vision statement outlining a desired future</w:t>
      </w:r>
      <w:r w:rsidR="00AA566F" w:rsidRPr="00283CEC">
        <w:t>.</w:t>
      </w:r>
      <w:r w:rsidR="004B42D3" w:rsidRPr="00283CEC">
        <w:t xml:space="preserve"> </w:t>
      </w:r>
    </w:p>
    <w:p w:rsidR="00C507C7" w:rsidRPr="00283CEC" w:rsidRDefault="00C507C7" w:rsidP="00EA5C45">
      <w:pPr>
        <w:pStyle w:val="Heading11"/>
      </w:pPr>
      <w:bookmarkStart w:id="16" w:name="_Toc336871214"/>
      <w:bookmarkStart w:id="17" w:name="_Toc376791236"/>
      <w:r w:rsidRPr="00283CEC">
        <w:t xml:space="preserve">Snapshot of the </w:t>
      </w:r>
      <w:r w:rsidR="0010139A" w:rsidRPr="00283CEC">
        <w:t>r</w:t>
      </w:r>
      <w:r w:rsidRPr="00283CEC">
        <w:t>egion</w:t>
      </w:r>
      <w:bookmarkEnd w:id="16"/>
      <w:bookmarkEnd w:id="17"/>
    </w:p>
    <w:p w:rsidR="008F385C" w:rsidRPr="00283CEC" w:rsidRDefault="008F385C" w:rsidP="00EA5C45">
      <w:pPr>
        <w:pStyle w:val="bt"/>
      </w:pPr>
      <w:r w:rsidRPr="00283CEC">
        <w:t>The Gippsland region extends from the edge of metropolitan Melbourne in the west to the most easterly point of Victoria.</w:t>
      </w:r>
      <w:r w:rsidR="00AA566F" w:rsidRPr="00283CEC">
        <w:t xml:space="preserve"> In </w:t>
      </w:r>
      <w:r w:rsidRPr="00283CEC">
        <w:t>the north</w:t>
      </w:r>
      <w:r w:rsidR="00432449" w:rsidRPr="00283CEC">
        <w:t>, the region</w:t>
      </w:r>
      <w:r w:rsidRPr="00283CEC">
        <w:t xml:space="preserve"> borders New South Wales and the Hume region. </w:t>
      </w:r>
      <w:r w:rsidR="00432449" w:rsidRPr="00283CEC">
        <w:t xml:space="preserve">The region’s </w:t>
      </w:r>
      <w:r w:rsidRPr="00283CEC">
        <w:t>southern</w:t>
      </w:r>
      <w:r w:rsidR="00AA566F" w:rsidRPr="00283CEC">
        <w:t xml:space="preserve"> border is defined by </w:t>
      </w:r>
      <w:r w:rsidR="00432449" w:rsidRPr="00283CEC">
        <w:t xml:space="preserve">the Victorian </w:t>
      </w:r>
      <w:r w:rsidR="00AA566F" w:rsidRPr="00283CEC">
        <w:t>coastline</w:t>
      </w:r>
      <w:r w:rsidRPr="00283CEC">
        <w:t xml:space="preserve">. Gippsland includes the local government areas of Bass Coast, Baw </w:t>
      </w:r>
      <w:proofErr w:type="spellStart"/>
      <w:r w:rsidRPr="00283CEC">
        <w:t>Baw</w:t>
      </w:r>
      <w:proofErr w:type="spellEnd"/>
      <w:r w:rsidRPr="00283CEC">
        <w:t>,</w:t>
      </w:r>
      <w:r w:rsidR="00AF3972" w:rsidRPr="00283CEC">
        <w:t xml:space="preserve"> East Gippsland,</w:t>
      </w:r>
      <w:r w:rsidRPr="00283CEC">
        <w:t xml:space="preserve"> Latrobe, </w:t>
      </w:r>
      <w:r w:rsidR="00AF3972" w:rsidRPr="00283CEC">
        <w:t xml:space="preserve">South Gippsland and </w:t>
      </w:r>
      <w:r w:rsidRPr="00283CEC">
        <w:t>Wellington</w:t>
      </w:r>
      <w:r w:rsidR="00AF3972" w:rsidRPr="00283CEC">
        <w:t xml:space="preserve"> </w:t>
      </w:r>
      <w:r w:rsidR="008508AC" w:rsidRPr="00283CEC">
        <w:t xml:space="preserve">(as shown </w:t>
      </w:r>
      <w:r w:rsidR="00FC77ED">
        <w:t>o</w:t>
      </w:r>
      <w:r w:rsidR="00FC77ED" w:rsidRPr="00283CEC">
        <w:t>n</w:t>
      </w:r>
      <w:r w:rsidR="00AD704A">
        <w:t xml:space="preserve"> Map 2</w:t>
      </w:r>
      <w:r w:rsidR="008508AC" w:rsidRPr="00283CEC">
        <w:t>)</w:t>
      </w:r>
      <w:r w:rsidRPr="00283CEC">
        <w:t xml:space="preserve">. </w:t>
      </w:r>
      <w:r w:rsidR="007C4353" w:rsidRPr="00283CEC">
        <w:t xml:space="preserve">Planning functions and </w:t>
      </w:r>
      <w:r w:rsidR="00984602" w:rsidRPr="00283CEC">
        <w:t>land management for French Island</w:t>
      </w:r>
      <w:r w:rsidR="007C4353" w:rsidRPr="00283CEC">
        <w:t xml:space="preserve"> are a </w:t>
      </w:r>
      <w:r w:rsidR="006724C8" w:rsidRPr="00283CEC">
        <w:t xml:space="preserve">state government </w:t>
      </w:r>
      <w:r w:rsidR="007C4353" w:rsidRPr="00283CEC">
        <w:t>responsibility</w:t>
      </w:r>
      <w:r w:rsidR="00485A4B" w:rsidRPr="00283CEC">
        <w:t>.</w:t>
      </w:r>
      <w:r w:rsidR="00984602" w:rsidRPr="00283CEC">
        <w:t xml:space="preserve"> </w:t>
      </w:r>
    </w:p>
    <w:p w:rsidR="00D8101A" w:rsidRPr="00F668EA" w:rsidRDefault="006B4F4E" w:rsidP="00F668EA">
      <w:pPr>
        <w:pStyle w:val="bt"/>
      </w:pPr>
      <w:bookmarkStart w:id="18" w:name="_Ref355956395"/>
      <w:bookmarkStart w:id="19" w:name="_Toc374361102"/>
      <w:r w:rsidRPr="00F668EA">
        <w:t>Map</w:t>
      </w:r>
      <w:bookmarkEnd w:id="18"/>
      <w:r w:rsidR="00AD704A">
        <w:t xml:space="preserve"> 2</w:t>
      </w:r>
      <w:r w:rsidR="00F668EA">
        <w:t xml:space="preserve"> is located here in the document and it show</w:t>
      </w:r>
      <w:r w:rsidR="00FD3393">
        <w:t>s</w:t>
      </w:r>
      <w:r w:rsidR="00F668EA">
        <w:t xml:space="preserve"> -</w:t>
      </w:r>
      <w:r w:rsidR="00B80607" w:rsidRPr="00F668EA">
        <w:t xml:space="preserve"> </w:t>
      </w:r>
      <w:r w:rsidRPr="00F668EA">
        <w:t xml:space="preserve">Gippsland </w:t>
      </w:r>
      <w:r w:rsidR="005907B8" w:rsidRPr="00F668EA">
        <w:t>region</w:t>
      </w:r>
      <w:bookmarkEnd w:id="19"/>
    </w:p>
    <w:p w:rsidR="00AD5625" w:rsidRPr="00283CEC" w:rsidRDefault="008F385C" w:rsidP="00EA5C45">
      <w:pPr>
        <w:pStyle w:val="bt"/>
        <w:rPr>
          <w:b/>
        </w:rPr>
      </w:pPr>
      <w:r w:rsidRPr="00283CEC">
        <w:t>Gippsland’s economy is predomina</w:t>
      </w:r>
      <w:r w:rsidR="00884251" w:rsidRPr="00283CEC">
        <w:t>n</w:t>
      </w:r>
      <w:r w:rsidR="00AE1037" w:rsidRPr="00283CEC">
        <w:t>t</w:t>
      </w:r>
      <w:r w:rsidRPr="00283CEC">
        <w:t xml:space="preserve">ly based around natural resources and commodities, with key industry sectors including agriculture, forestry, dairy and pastoral industries, fishing, and </w:t>
      </w:r>
      <w:r w:rsidR="00432449" w:rsidRPr="00283CEC">
        <w:t>coal mining</w:t>
      </w:r>
      <w:r w:rsidRPr="00283CEC">
        <w:t>, oil and gas extraction and processing. The agribusiness sector is a significant employer in the region, with over 37</w:t>
      </w:r>
      <w:r w:rsidR="005E3DAA" w:rsidRPr="00283CEC">
        <w:t xml:space="preserve"> per cent </w:t>
      </w:r>
      <w:r w:rsidRPr="00283CEC">
        <w:t>of Gippsland’s business involved in agriculture and fishing and a further 15</w:t>
      </w:r>
      <w:r w:rsidR="005E3DAA" w:rsidRPr="00283CEC">
        <w:t xml:space="preserve"> per cent </w:t>
      </w:r>
      <w:r w:rsidRPr="00283CEC">
        <w:t>involved in upstream processing operations. Energy production is one of Gippsland’s major industries, both in the coal</w:t>
      </w:r>
      <w:r w:rsidR="00432449" w:rsidRPr="00283CEC">
        <w:t>-</w:t>
      </w:r>
      <w:r w:rsidRPr="00283CEC">
        <w:t xml:space="preserve">rich Latrobe </w:t>
      </w:r>
      <w:r w:rsidR="008508AC" w:rsidRPr="00283CEC">
        <w:t xml:space="preserve">Valley and Bass Strait’s oil and gas fields serviced from Longford. The region produces around 90 per cent of Victoria’s electricity, 97 per cent of Victoria’s natural gas, and </w:t>
      </w:r>
      <w:r w:rsidR="00C60E78" w:rsidRPr="00283CEC">
        <w:t>14</w:t>
      </w:r>
      <w:r w:rsidR="008508AC" w:rsidRPr="00283CEC">
        <w:t xml:space="preserve"> per cent of Australia’s oil. The region’s strategic assets are shown </w:t>
      </w:r>
      <w:r w:rsidR="00FC77ED">
        <w:t>on</w:t>
      </w:r>
      <w:r w:rsidR="00AD704A">
        <w:t xml:space="preserve"> Map 3</w:t>
      </w:r>
      <w:r w:rsidR="00F07F88" w:rsidRPr="00283CEC">
        <w:t xml:space="preserve">. </w:t>
      </w:r>
    </w:p>
    <w:p w:rsidR="006D09F5" w:rsidRPr="00283CEC" w:rsidRDefault="006B4F4E">
      <w:pPr>
        <w:pStyle w:val="Caption"/>
      </w:pPr>
      <w:bookmarkStart w:id="20" w:name="_Toc374361096"/>
      <w:r w:rsidRPr="00283CEC">
        <w:t xml:space="preserve">Table </w:t>
      </w:r>
      <w:r w:rsidR="00E2132D" w:rsidRPr="00283CEC">
        <w:fldChar w:fldCharType="begin"/>
      </w:r>
      <w:r w:rsidR="007C710A" w:rsidRPr="00283CEC">
        <w:instrText xml:space="preserve"> SEQ Table \* ARABIC </w:instrText>
      </w:r>
      <w:r w:rsidR="00E2132D" w:rsidRPr="00283CEC">
        <w:fldChar w:fldCharType="separate"/>
      </w:r>
      <w:r w:rsidR="001D67DE">
        <w:rPr>
          <w:noProof/>
        </w:rPr>
        <w:t>1</w:t>
      </w:r>
      <w:r w:rsidR="00E2132D" w:rsidRPr="00283CEC">
        <w:rPr>
          <w:noProof/>
        </w:rPr>
        <w:fldChar w:fldCharType="end"/>
      </w:r>
      <w:r w:rsidRPr="00283CEC">
        <w:t xml:space="preserve">: </w:t>
      </w:r>
      <w:r w:rsidRPr="007E1048">
        <w:rPr>
          <w:b w:val="0"/>
        </w:rPr>
        <w:t>Gippsland fast facts</w:t>
      </w:r>
      <w:bookmarkEnd w:id="20"/>
    </w:p>
    <w:p w:rsidR="00A35089" w:rsidRPr="00283CEC" w:rsidRDefault="00A35089" w:rsidP="00A35089">
      <w:pPr>
        <w:pStyle w:val="bt"/>
      </w:pPr>
      <w:r w:rsidRPr="00283CEC">
        <w:t xml:space="preserve">Current </w:t>
      </w:r>
      <w:r w:rsidR="004D7BFC">
        <w:t xml:space="preserve">population: </w:t>
      </w:r>
      <w:r w:rsidRPr="00283CEC">
        <w:t>269,790</w:t>
      </w:r>
    </w:p>
    <w:p w:rsidR="00A35089" w:rsidRPr="00283CEC" w:rsidRDefault="00A35089" w:rsidP="00A35089">
      <w:pPr>
        <w:pStyle w:val="bt"/>
      </w:pPr>
      <w:r w:rsidRPr="00283CEC">
        <w:t>Project</w:t>
      </w:r>
      <w:r w:rsidR="007716FB" w:rsidRPr="00283CEC">
        <w:t>ed</w:t>
      </w:r>
      <w:r w:rsidRPr="00283CEC">
        <w:t xml:space="preserve"> population in 2041</w:t>
      </w:r>
      <w:r w:rsidR="00A139E5" w:rsidRPr="00283CEC">
        <w:t>*</w:t>
      </w:r>
      <w:r w:rsidR="004D7BFC">
        <w:t xml:space="preserve">: </w:t>
      </w:r>
      <w:r w:rsidRPr="00283CEC">
        <w:t>386,000</w:t>
      </w:r>
    </w:p>
    <w:p w:rsidR="00A35089" w:rsidRPr="00283CEC" w:rsidRDefault="00A35089" w:rsidP="00A35089">
      <w:pPr>
        <w:pStyle w:val="bt"/>
      </w:pPr>
      <w:r w:rsidRPr="00283CEC">
        <w:t xml:space="preserve">Number of jobs </w:t>
      </w:r>
      <w:r w:rsidR="004D7BFC">
        <w:t xml:space="preserve">currently within the region: </w:t>
      </w:r>
      <w:r w:rsidRPr="00283CEC">
        <w:t>89,386</w:t>
      </w:r>
    </w:p>
    <w:p w:rsidR="00A35089" w:rsidRPr="00283CEC" w:rsidRDefault="00A35089" w:rsidP="00A35089">
      <w:pPr>
        <w:pStyle w:val="bt"/>
        <w:spacing w:before="0" w:after="0"/>
      </w:pPr>
      <w:r w:rsidRPr="00283CEC">
        <w:t xml:space="preserve">Proportion of land in the Gippsland region made up of state-owned </w:t>
      </w:r>
      <w:r w:rsidR="003872A3" w:rsidRPr="00283CEC">
        <w:br/>
      </w:r>
      <w:r w:rsidRPr="00283CEC">
        <w:t>forests,</w:t>
      </w:r>
      <w:r w:rsidR="003872A3" w:rsidRPr="00283CEC" w:rsidDel="003872A3">
        <w:t xml:space="preserve"> </w:t>
      </w:r>
      <w:r w:rsidRPr="00283CEC">
        <w:t>national parks and reserve</w:t>
      </w:r>
      <w:r w:rsidR="004D7BFC">
        <w:t xml:space="preserve">s, and native freehold forests: </w:t>
      </w:r>
      <w:r w:rsidRPr="00283CEC">
        <w:t>67</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Supply</w:t>
      </w:r>
      <w:r w:rsidR="004D7BFC">
        <w:t xml:space="preserve"> of Melbourne’s water needs: </w:t>
      </w:r>
      <w:r w:rsidRPr="00283CEC">
        <w:t>60</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Percentage of Victoria’s electricity ge</w:t>
      </w:r>
      <w:r w:rsidR="004D7BFC">
        <w:t xml:space="preserve">nerated in Gippsland in 2010**: </w:t>
      </w:r>
      <w:r w:rsidRPr="00283CEC">
        <w:t xml:space="preserve">90 </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Percentage of Victoria’s natural</w:t>
      </w:r>
      <w:r w:rsidR="004D7BFC">
        <w:t xml:space="preserve"> gas extracted from Gippsland</w:t>
      </w:r>
      <w:r w:rsidR="004D7BFC">
        <w:tab/>
        <w:t xml:space="preserve">: </w:t>
      </w:r>
      <w:r w:rsidRPr="00283CEC">
        <w:t>97</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Percentage of Australia’s</w:t>
      </w:r>
      <w:r w:rsidR="004D7BFC">
        <w:t xml:space="preserve"> oil extracted from Gippsland: </w:t>
      </w:r>
      <w:r w:rsidRPr="00283CEC">
        <w:t>14</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Percentage of Victoria’</w:t>
      </w:r>
      <w:r w:rsidR="004D7BFC">
        <w:t xml:space="preserve">s beef produced in Gippsland: </w:t>
      </w:r>
      <w:r w:rsidRPr="00283CEC">
        <w:t>25</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Percentage of Australia’</w:t>
      </w:r>
      <w:r w:rsidR="004D7BFC">
        <w:t>s milk produced in Gippsland</w:t>
      </w:r>
      <w:r w:rsidR="004D7BFC">
        <w:tab/>
        <w:t xml:space="preserve">: </w:t>
      </w:r>
      <w:r w:rsidRPr="00283CEC">
        <w:t>20</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 xml:space="preserve">Percentage of Victoria’s agricultural, forestry and fishing exports </w:t>
      </w:r>
    </w:p>
    <w:p w:rsidR="00A35089" w:rsidRPr="00283CEC" w:rsidRDefault="004D7BFC" w:rsidP="00A35089">
      <w:pPr>
        <w:pStyle w:val="bt"/>
        <w:spacing w:before="0" w:after="0"/>
      </w:pPr>
      <w:proofErr w:type="gramStart"/>
      <w:r>
        <w:t>contributed</w:t>
      </w:r>
      <w:proofErr w:type="gramEnd"/>
      <w:r>
        <w:t xml:space="preserve"> by Gippsland: </w:t>
      </w:r>
      <w:r w:rsidR="00A35089" w:rsidRPr="00283CEC">
        <w:t>29</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Percentage of Gippsland business invol</w:t>
      </w:r>
      <w:r w:rsidR="004D7BFC">
        <w:t>ved in agriculture and fishing</w:t>
      </w:r>
      <w:r w:rsidR="00887E98">
        <w:t xml:space="preserve">: </w:t>
      </w:r>
      <w:r w:rsidRPr="00283CEC">
        <w:t>37</w:t>
      </w:r>
      <w:r w:rsidR="00790CD6" w:rsidRPr="00283CEC">
        <w:t>%</w:t>
      </w:r>
    </w:p>
    <w:p w:rsidR="00A35089" w:rsidRPr="00283CEC" w:rsidRDefault="00A35089" w:rsidP="00A35089">
      <w:pPr>
        <w:pStyle w:val="bt"/>
        <w:spacing w:before="0" w:after="0"/>
      </w:pPr>
    </w:p>
    <w:p w:rsidR="00A35089" w:rsidRPr="00283CEC" w:rsidRDefault="00A35089" w:rsidP="00A35089">
      <w:pPr>
        <w:pStyle w:val="bt"/>
        <w:spacing w:before="0" w:after="0"/>
      </w:pPr>
      <w:r w:rsidRPr="00283CEC">
        <w:t>Percentage of Gippsland business involved in agriculture and</w:t>
      </w:r>
    </w:p>
    <w:p w:rsidR="00A35089" w:rsidRPr="00283CEC" w:rsidRDefault="00A35089" w:rsidP="00A35089">
      <w:pPr>
        <w:pStyle w:val="bt"/>
        <w:spacing w:before="0" w:after="0"/>
      </w:pPr>
      <w:proofErr w:type="gramStart"/>
      <w:r w:rsidRPr="00283CEC">
        <w:t>fis</w:t>
      </w:r>
      <w:r w:rsidR="00887E98">
        <w:t>hing</w:t>
      </w:r>
      <w:proofErr w:type="gramEnd"/>
      <w:r w:rsidR="00887E98">
        <w:t xml:space="preserve"> processing operations: </w:t>
      </w:r>
      <w:r w:rsidRPr="00283CEC">
        <w:t>15</w:t>
      </w:r>
      <w:r w:rsidR="00790CD6" w:rsidRPr="00283CEC">
        <w:t>%</w:t>
      </w:r>
    </w:p>
    <w:p w:rsidR="003D48F3" w:rsidRPr="00283CEC" w:rsidRDefault="00723FE3" w:rsidP="00B515F4">
      <w:pPr>
        <w:pStyle w:val="source"/>
      </w:pPr>
      <w:r w:rsidRPr="00283CEC">
        <w:t>* DPCD population projections (unpublished) 2012</w:t>
      </w:r>
      <w:r w:rsidR="003872A3" w:rsidRPr="00283CEC">
        <w:t>.</w:t>
      </w:r>
    </w:p>
    <w:p w:rsidR="00C60E78" w:rsidRPr="00283CEC" w:rsidRDefault="00E3077E" w:rsidP="00B515F4">
      <w:pPr>
        <w:pStyle w:val="source"/>
      </w:pPr>
      <w:r w:rsidRPr="00283CEC">
        <w:t>**</w:t>
      </w:r>
      <w:proofErr w:type="spellStart"/>
      <w:r w:rsidRPr="00283CEC">
        <w:t>Geoscience</w:t>
      </w:r>
      <w:proofErr w:type="spellEnd"/>
      <w:r w:rsidRPr="00283CEC">
        <w:t xml:space="preserve"> Australia (2012) Production and Development Table 2 – Crude Oil Gas Production by Basin, pre 2001 and 2001</w:t>
      </w:r>
      <w:r w:rsidR="0016320F" w:rsidRPr="00283CEC">
        <w:t>–</w:t>
      </w:r>
      <w:r w:rsidRPr="00283CEC">
        <w:t>2010 release 24 February 2012</w:t>
      </w:r>
      <w:r w:rsidR="003872A3" w:rsidRPr="00283CEC">
        <w:t>.</w:t>
      </w:r>
    </w:p>
    <w:p w:rsidR="00C02361" w:rsidRDefault="00AF3972" w:rsidP="00B515F4">
      <w:pPr>
        <w:pStyle w:val="source"/>
      </w:pPr>
      <w:r w:rsidRPr="00283CEC">
        <w:t>Source</w:t>
      </w:r>
      <w:r w:rsidR="00A35089" w:rsidRPr="00283CEC">
        <w:t xml:space="preserve"> of other facts</w:t>
      </w:r>
      <w:r w:rsidRPr="00283CEC">
        <w:t>: Regional Development Victoria (2013) Gippsland Economic Profile</w:t>
      </w:r>
      <w:r w:rsidR="003872A3" w:rsidRPr="00283CEC">
        <w:t>.</w:t>
      </w:r>
    </w:p>
    <w:p w:rsidR="008D1F58" w:rsidRPr="00F668EA" w:rsidRDefault="006B4F4E" w:rsidP="00F668EA">
      <w:pPr>
        <w:pStyle w:val="bt"/>
      </w:pPr>
      <w:bookmarkStart w:id="21" w:name="_Ref355956770"/>
      <w:bookmarkStart w:id="22" w:name="_Toc374361103"/>
      <w:r w:rsidRPr="00F668EA">
        <w:t xml:space="preserve">Map </w:t>
      </w:r>
      <w:bookmarkEnd w:id="21"/>
      <w:r w:rsidR="00AD704A">
        <w:t>3</w:t>
      </w:r>
      <w:r w:rsidR="00F668EA">
        <w:t xml:space="preserve"> is located here in the document and it shows -</w:t>
      </w:r>
      <w:r w:rsidR="00B80607" w:rsidRPr="00F668EA">
        <w:t xml:space="preserve"> </w:t>
      </w:r>
      <w:r w:rsidR="005907B8" w:rsidRPr="00F668EA">
        <w:t>Gippsland s</w:t>
      </w:r>
      <w:r w:rsidRPr="00F668EA">
        <w:t>trategic assets</w:t>
      </w:r>
      <w:bookmarkEnd w:id="22"/>
    </w:p>
    <w:p w:rsidR="00FC77ED" w:rsidRDefault="008F385C" w:rsidP="00EA5C45">
      <w:pPr>
        <w:pStyle w:val="bt"/>
      </w:pPr>
      <w:r w:rsidRPr="00283CEC">
        <w:t>Gippsland’s settlement patterns are well established with the Latrobe Valley</w:t>
      </w:r>
      <w:r w:rsidR="007C4353" w:rsidRPr="00283CEC">
        <w:t xml:space="preserve"> corridor</w:t>
      </w:r>
      <w:r w:rsidRPr="00283CEC">
        <w:t xml:space="preserve"> forming the major economic and popul</w:t>
      </w:r>
      <w:r w:rsidR="00F45764" w:rsidRPr="00283CEC">
        <w:t xml:space="preserve">ation centre of the region. </w:t>
      </w:r>
      <w:r w:rsidRPr="00283CEC">
        <w:t xml:space="preserve">Latrobe </w:t>
      </w:r>
      <w:r w:rsidR="00904F3A" w:rsidRPr="00283CEC">
        <w:t>City</w:t>
      </w:r>
      <w:r w:rsidR="00F45764" w:rsidRPr="00283CEC">
        <w:t>, as Gippsland’s regional city</w:t>
      </w:r>
      <w:r w:rsidR="00320231" w:rsidRPr="00283CEC">
        <w:t>,</w:t>
      </w:r>
      <w:r w:rsidR="00F45764" w:rsidRPr="00283CEC">
        <w:t xml:space="preserve"> </w:t>
      </w:r>
      <w:r w:rsidR="00320231" w:rsidRPr="00283CEC">
        <w:t xml:space="preserve">consisting </w:t>
      </w:r>
      <w:r w:rsidR="00904F3A" w:rsidRPr="00283CEC">
        <w:t xml:space="preserve">of Moe, Morwell, </w:t>
      </w:r>
      <w:r w:rsidRPr="00283CEC">
        <w:t>Traralgon</w:t>
      </w:r>
      <w:r w:rsidR="00F45764" w:rsidRPr="00283CEC">
        <w:t xml:space="preserve"> </w:t>
      </w:r>
      <w:r w:rsidR="00904F3A" w:rsidRPr="00283CEC">
        <w:t xml:space="preserve">and Churchill, </w:t>
      </w:r>
      <w:r w:rsidR="00F45764" w:rsidRPr="00283CEC">
        <w:t xml:space="preserve">is </w:t>
      </w:r>
      <w:r w:rsidRPr="00283CEC">
        <w:t>seen as a collective</w:t>
      </w:r>
      <w:r w:rsidR="00904F3A" w:rsidRPr="00283CEC">
        <w:t xml:space="preserve"> urban system or networked city.</w:t>
      </w:r>
      <w:r w:rsidRPr="00283CEC">
        <w:t xml:space="preserve"> </w:t>
      </w:r>
      <w:r w:rsidR="00422B72" w:rsidRPr="00283CEC">
        <w:t xml:space="preserve">The </w:t>
      </w:r>
      <w:r w:rsidR="00EA1F8F" w:rsidRPr="00283CEC">
        <w:t xml:space="preserve">regional </w:t>
      </w:r>
      <w:r w:rsidRPr="00283CEC">
        <w:t xml:space="preserve">centres of </w:t>
      </w:r>
      <w:r w:rsidR="005C282D" w:rsidRPr="00283CEC">
        <w:t xml:space="preserve">Bairnsdale, Sale, and </w:t>
      </w:r>
      <w:r w:rsidR="00497DD2" w:rsidRPr="00283CEC">
        <w:t>Warragul/Drouin</w:t>
      </w:r>
      <w:r w:rsidR="005C282D" w:rsidRPr="00283CEC">
        <w:t xml:space="preserve"> </w:t>
      </w:r>
      <w:r w:rsidRPr="00283CEC">
        <w:t xml:space="preserve">are located along the </w:t>
      </w:r>
      <w:r w:rsidR="00AA566F" w:rsidRPr="00283CEC">
        <w:t>Princes Highway. T</w:t>
      </w:r>
      <w:r w:rsidRPr="00283CEC">
        <w:t xml:space="preserve">he </w:t>
      </w:r>
      <w:r w:rsidR="00EA1F8F" w:rsidRPr="00283CEC">
        <w:t xml:space="preserve">regional </w:t>
      </w:r>
      <w:r w:rsidR="00E010D2" w:rsidRPr="00283CEC">
        <w:t>centres of</w:t>
      </w:r>
      <w:r w:rsidRPr="00283CEC">
        <w:t xml:space="preserve"> Leongatha</w:t>
      </w:r>
      <w:r w:rsidR="00EA1F8F" w:rsidRPr="00283CEC">
        <w:t xml:space="preserve"> and Wonthaggi</w:t>
      </w:r>
      <w:r w:rsidRPr="00283CEC">
        <w:t xml:space="preserve">, </w:t>
      </w:r>
      <w:r w:rsidR="00EA1F8F" w:rsidRPr="00283CEC">
        <w:t xml:space="preserve">and the townships of </w:t>
      </w:r>
      <w:r w:rsidRPr="00283CEC">
        <w:t>Korum</w:t>
      </w:r>
      <w:r w:rsidR="00AA566F" w:rsidRPr="00283CEC">
        <w:t xml:space="preserve">burra and Inverloch lie along the Bass and South Gippsland </w:t>
      </w:r>
      <w:r w:rsidR="000463C9" w:rsidRPr="00283CEC">
        <w:t>h</w:t>
      </w:r>
      <w:r w:rsidR="00AA566F" w:rsidRPr="00283CEC">
        <w:t>ighways.</w:t>
      </w:r>
      <w:r w:rsidR="00A205C8" w:rsidRPr="00283CEC">
        <w:t xml:space="preserve"> </w:t>
      </w:r>
      <w:r w:rsidR="00AA514A" w:rsidRPr="00283CEC">
        <w:t>Cowes (Phillip Island), Lakes Entrance, Orbost, Maffra and San Remo are also significant settlement locations.</w:t>
      </w:r>
      <w:r w:rsidR="00DF599A" w:rsidRPr="00283CEC">
        <w:t xml:space="preserve"> </w:t>
      </w:r>
    </w:p>
    <w:p w:rsidR="00432449" w:rsidRPr="00283CEC" w:rsidRDefault="009F3747" w:rsidP="00EA5C45">
      <w:pPr>
        <w:pStyle w:val="bt"/>
      </w:pPr>
      <w:r w:rsidRPr="00283CEC">
        <w:t>A scattering of smaller towns provide important district servicing roles and tourist destinations</w:t>
      </w:r>
      <w:r w:rsidR="007C4353" w:rsidRPr="00283CEC">
        <w:t xml:space="preserve"> including those </w:t>
      </w:r>
      <w:r w:rsidR="000463C9" w:rsidRPr="00283CEC">
        <w:t xml:space="preserve">in </w:t>
      </w:r>
      <w:r w:rsidR="007C4353" w:rsidRPr="00283CEC">
        <w:t xml:space="preserve">the high plains, historic gold mining </w:t>
      </w:r>
      <w:r w:rsidR="000463C9" w:rsidRPr="00283CEC">
        <w:t xml:space="preserve">areas </w:t>
      </w:r>
      <w:r w:rsidR="007C4353" w:rsidRPr="00283CEC">
        <w:t>and alpine scenic routes</w:t>
      </w:r>
      <w:r w:rsidRPr="00283CEC">
        <w:t xml:space="preserve">. </w:t>
      </w:r>
      <w:r w:rsidR="00C47961" w:rsidRPr="00283CEC">
        <w:t xml:space="preserve">The </w:t>
      </w:r>
      <w:r w:rsidR="000463C9" w:rsidRPr="00283CEC">
        <w:t xml:space="preserve">Gippsland </w:t>
      </w:r>
      <w:r w:rsidR="00C47961" w:rsidRPr="00283CEC">
        <w:t xml:space="preserve">region’s projected population </w:t>
      </w:r>
      <w:r w:rsidR="000463C9" w:rsidRPr="00283CEC">
        <w:t xml:space="preserve">over the next 20 years </w:t>
      </w:r>
      <w:r w:rsidR="00C47961" w:rsidRPr="00283CEC">
        <w:t>is shown in</w:t>
      </w:r>
      <w:r w:rsidR="007E1048">
        <w:t xml:space="preserve"> </w:t>
      </w:r>
      <w:r w:rsidR="00E2132D">
        <w:fldChar w:fldCharType="begin"/>
      </w:r>
      <w:r w:rsidR="007E1048">
        <w:instrText xml:space="preserve"> REF _Ref374014657 \h </w:instrText>
      </w:r>
      <w:r w:rsidR="00E2132D">
        <w:fldChar w:fldCharType="separate"/>
      </w:r>
      <w:r w:rsidR="001D67DE" w:rsidRPr="00283CEC">
        <w:t xml:space="preserve">Table </w:t>
      </w:r>
      <w:r w:rsidR="001D67DE">
        <w:rPr>
          <w:noProof/>
        </w:rPr>
        <w:t>2</w:t>
      </w:r>
      <w:r w:rsidR="00E2132D">
        <w:fldChar w:fldCharType="end"/>
      </w:r>
      <w:r w:rsidR="009B2677" w:rsidRPr="00283CEC">
        <w:t>.</w:t>
      </w:r>
      <w:r w:rsidR="00AF3972" w:rsidRPr="00283CEC">
        <w:t xml:space="preserve"> </w:t>
      </w:r>
    </w:p>
    <w:p w:rsidR="0048788C" w:rsidRPr="00283CEC" w:rsidRDefault="006B4F4E" w:rsidP="00177EF6">
      <w:pPr>
        <w:pStyle w:val="Caption"/>
      </w:pPr>
      <w:bookmarkStart w:id="23" w:name="_Ref374014657"/>
      <w:bookmarkStart w:id="24" w:name="_Toc374361097"/>
      <w:r w:rsidRPr="00283CEC">
        <w:t xml:space="preserve">Table </w:t>
      </w:r>
      <w:r w:rsidR="00E2132D" w:rsidRPr="00283CEC">
        <w:fldChar w:fldCharType="begin"/>
      </w:r>
      <w:r w:rsidR="007C710A" w:rsidRPr="00283CEC">
        <w:instrText xml:space="preserve"> SEQ Table \* ARABIC </w:instrText>
      </w:r>
      <w:r w:rsidR="00E2132D" w:rsidRPr="00283CEC">
        <w:fldChar w:fldCharType="separate"/>
      </w:r>
      <w:r w:rsidR="001D67DE">
        <w:rPr>
          <w:noProof/>
        </w:rPr>
        <w:t>2</w:t>
      </w:r>
      <w:r w:rsidR="00E2132D" w:rsidRPr="00283CEC">
        <w:rPr>
          <w:noProof/>
        </w:rPr>
        <w:fldChar w:fldCharType="end"/>
      </w:r>
      <w:bookmarkEnd w:id="23"/>
      <w:r w:rsidRPr="00283CEC">
        <w:t xml:space="preserve">: </w:t>
      </w:r>
      <w:r w:rsidRPr="007E1048">
        <w:rPr>
          <w:b w:val="0"/>
        </w:rPr>
        <w:t>Local government areas projected population</w:t>
      </w:r>
      <w:bookmarkEnd w:id="24"/>
    </w:p>
    <w:p w:rsidR="004C5937" w:rsidRPr="003036BD" w:rsidRDefault="004C5937" w:rsidP="003036BD">
      <w:pPr>
        <w:pStyle w:val="bt"/>
        <w:rPr>
          <w:rStyle w:val="Strong"/>
        </w:rPr>
      </w:pPr>
      <w:r w:rsidRPr="003036BD">
        <w:rPr>
          <w:rStyle w:val="Strong"/>
        </w:rPr>
        <w:t>Local Government Area:  Bass Coast (Shire)</w:t>
      </w:r>
    </w:p>
    <w:p w:rsidR="00767431" w:rsidRPr="003036BD" w:rsidRDefault="00767431" w:rsidP="003036BD">
      <w:pPr>
        <w:pStyle w:val="bt"/>
        <w:rPr>
          <w:rStyle w:val="Strong"/>
          <w:b w:val="0"/>
          <w:bCs w:val="0"/>
        </w:rPr>
      </w:pPr>
      <w:r w:rsidRPr="003036BD">
        <w:rPr>
          <w:rStyle w:val="Strong"/>
          <w:b w:val="0"/>
          <w:bCs w:val="0"/>
        </w:rPr>
        <w:t xml:space="preserve">Total </w:t>
      </w:r>
      <w:r w:rsidR="003036BD" w:rsidRPr="003036BD">
        <w:rPr>
          <w:rStyle w:val="Strong"/>
          <w:b w:val="0"/>
          <w:bCs w:val="0"/>
        </w:rPr>
        <w:t>population</w:t>
      </w:r>
    </w:p>
    <w:p w:rsidR="004C5937" w:rsidRPr="00283CEC" w:rsidRDefault="004C5937" w:rsidP="003036BD">
      <w:pPr>
        <w:pStyle w:val="btbullet"/>
      </w:pPr>
      <w:r w:rsidRPr="00283CEC">
        <w:t>2011: 32,056</w:t>
      </w:r>
    </w:p>
    <w:p w:rsidR="004C5937" w:rsidRPr="00283CEC" w:rsidRDefault="004C5937" w:rsidP="003036BD">
      <w:pPr>
        <w:pStyle w:val="btbullet"/>
      </w:pPr>
      <w:r w:rsidRPr="00283CEC">
        <w:t>2021: 40,037</w:t>
      </w:r>
    </w:p>
    <w:p w:rsidR="004C5937" w:rsidRPr="00283CEC" w:rsidRDefault="004C5937" w:rsidP="003036BD">
      <w:pPr>
        <w:pStyle w:val="btbullet"/>
      </w:pPr>
      <w:r w:rsidRPr="00283CEC">
        <w:t>2031: 49,946</w:t>
      </w:r>
    </w:p>
    <w:p w:rsidR="004C5937" w:rsidRPr="003036BD" w:rsidRDefault="004C5937" w:rsidP="003036BD">
      <w:pPr>
        <w:pStyle w:val="bt"/>
        <w:rPr>
          <w:rStyle w:val="Strong"/>
        </w:rPr>
      </w:pPr>
      <w:r w:rsidRPr="003036BD">
        <w:rPr>
          <w:rStyle w:val="Strong"/>
        </w:rPr>
        <w:t xml:space="preserve">Local Government Area:  Baw </w:t>
      </w:r>
      <w:proofErr w:type="spellStart"/>
      <w:r w:rsidRPr="003036BD">
        <w:rPr>
          <w:rStyle w:val="Strong"/>
        </w:rPr>
        <w:t>Baw</w:t>
      </w:r>
      <w:proofErr w:type="spellEnd"/>
      <w:r w:rsidRPr="003036BD">
        <w:rPr>
          <w:rStyle w:val="Strong"/>
        </w:rPr>
        <w:t xml:space="preserve"> (Shire)</w:t>
      </w:r>
    </w:p>
    <w:p w:rsidR="00767431" w:rsidRPr="003036BD" w:rsidRDefault="00767431" w:rsidP="003036BD">
      <w:pPr>
        <w:pStyle w:val="bt"/>
        <w:rPr>
          <w:rStyle w:val="Strong"/>
          <w:b w:val="0"/>
          <w:bCs w:val="0"/>
        </w:rPr>
      </w:pPr>
      <w:r w:rsidRPr="003036BD">
        <w:rPr>
          <w:rStyle w:val="Strong"/>
          <w:b w:val="0"/>
          <w:bCs w:val="0"/>
        </w:rPr>
        <w:t xml:space="preserve">Total population </w:t>
      </w:r>
    </w:p>
    <w:p w:rsidR="004C5937" w:rsidRPr="00283CEC" w:rsidRDefault="004C5937" w:rsidP="003036BD">
      <w:pPr>
        <w:pStyle w:val="btbullet"/>
      </w:pPr>
      <w:r w:rsidRPr="00283CEC">
        <w:t>2011: 44,042</w:t>
      </w:r>
    </w:p>
    <w:p w:rsidR="004C5937" w:rsidRPr="00283CEC" w:rsidRDefault="004C5937" w:rsidP="003036BD">
      <w:pPr>
        <w:pStyle w:val="btbullet"/>
      </w:pPr>
      <w:r w:rsidRPr="00283CEC">
        <w:t>2021: 54,439</w:t>
      </w:r>
    </w:p>
    <w:p w:rsidR="004C5937" w:rsidRPr="00283CEC" w:rsidRDefault="008C16C4" w:rsidP="003036BD">
      <w:pPr>
        <w:pStyle w:val="btbullet"/>
      </w:pPr>
      <w:r w:rsidRPr="00283CEC">
        <w:t>2031</w:t>
      </w:r>
      <w:r w:rsidR="004C5937" w:rsidRPr="00283CEC">
        <w:t>:  64,608</w:t>
      </w:r>
    </w:p>
    <w:p w:rsidR="004C5937" w:rsidRPr="003036BD" w:rsidRDefault="004C5937" w:rsidP="003036BD">
      <w:pPr>
        <w:pStyle w:val="bt"/>
        <w:rPr>
          <w:rStyle w:val="Strong"/>
        </w:rPr>
      </w:pPr>
      <w:r w:rsidRPr="003036BD">
        <w:rPr>
          <w:rStyle w:val="Strong"/>
        </w:rPr>
        <w:t>Local Government Area: East Gippsland (Shire)</w:t>
      </w:r>
    </w:p>
    <w:p w:rsidR="00767431" w:rsidRPr="003036BD" w:rsidRDefault="00767431" w:rsidP="003036BD">
      <w:pPr>
        <w:pStyle w:val="bt"/>
        <w:rPr>
          <w:rStyle w:val="Strong"/>
          <w:b w:val="0"/>
          <w:bCs w:val="0"/>
        </w:rPr>
      </w:pPr>
      <w:r w:rsidRPr="003036BD">
        <w:rPr>
          <w:rStyle w:val="Strong"/>
          <w:b w:val="0"/>
          <w:bCs w:val="0"/>
        </w:rPr>
        <w:t xml:space="preserve">Total population </w:t>
      </w:r>
    </w:p>
    <w:p w:rsidR="004C5937" w:rsidRPr="00283CEC" w:rsidRDefault="004C5937" w:rsidP="003036BD">
      <w:pPr>
        <w:pStyle w:val="btbullet"/>
      </w:pPr>
      <w:r w:rsidRPr="00283CEC">
        <w:t>2011:  44,680</w:t>
      </w:r>
    </w:p>
    <w:p w:rsidR="004C5937" w:rsidRPr="00283CEC" w:rsidRDefault="004C5937" w:rsidP="003036BD">
      <w:pPr>
        <w:pStyle w:val="btbullet"/>
      </w:pPr>
      <w:r w:rsidRPr="00283CEC">
        <w:t>2021:  51,149</w:t>
      </w:r>
    </w:p>
    <w:p w:rsidR="004C5937" w:rsidRPr="00283CEC" w:rsidRDefault="008C16C4" w:rsidP="003036BD">
      <w:pPr>
        <w:pStyle w:val="btbullet"/>
      </w:pPr>
      <w:r w:rsidRPr="00283CEC">
        <w:t>2031</w:t>
      </w:r>
      <w:r w:rsidR="004C5937" w:rsidRPr="00283CEC">
        <w:t xml:space="preserve">:  </w:t>
      </w:r>
      <w:r w:rsidR="00900F65" w:rsidRPr="00283CEC">
        <w:t>58,808</w:t>
      </w:r>
    </w:p>
    <w:p w:rsidR="004C5937" w:rsidRPr="003036BD" w:rsidRDefault="004C5937" w:rsidP="003036BD">
      <w:pPr>
        <w:pStyle w:val="bt"/>
        <w:rPr>
          <w:rStyle w:val="Strong"/>
        </w:rPr>
      </w:pPr>
      <w:r w:rsidRPr="003036BD">
        <w:rPr>
          <w:rStyle w:val="Strong"/>
        </w:rPr>
        <w:t>Local Government Area: Latrobe (City)</w:t>
      </w:r>
    </w:p>
    <w:p w:rsidR="003036BD" w:rsidRDefault="00767431" w:rsidP="003036BD">
      <w:pPr>
        <w:pStyle w:val="bt"/>
      </w:pPr>
      <w:r>
        <w:t xml:space="preserve">Total </w:t>
      </w:r>
      <w:r w:rsidR="008C16C4" w:rsidRPr="00283CEC">
        <w:t xml:space="preserve">population </w:t>
      </w:r>
    </w:p>
    <w:p w:rsidR="004C5937" w:rsidRPr="00283CEC" w:rsidRDefault="004C5937" w:rsidP="003036BD">
      <w:pPr>
        <w:pStyle w:val="btbullet"/>
      </w:pPr>
      <w:r w:rsidRPr="00283CEC">
        <w:t>2011:  76,640</w:t>
      </w:r>
    </w:p>
    <w:p w:rsidR="004C5937" w:rsidRPr="00283CEC" w:rsidRDefault="004C5937" w:rsidP="003036BD">
      <w:pPr>
        <w:pStyle w:val="btbullet"/>
      </w:pPr>
      <w:r w:rsidRPr="00283CEC">
        <w:t>2021:  83,531</w:t>
      </w:r>
    </w:p>
    <w:p w:rsidR="004C5937" w:rsidRPr="00283CEC" w:rsidRDefault="008C16C4" w:rsidP="003036BD">
      <w:pPr>
        <w:pStyle w:val="btbullet"/>
      </w:pPr>
      <w:r w:rsidRPr="00283CEC">
        <w:t>2031</w:t>
      </w:r>
      <w:r w:rsidR="004C5937" w:rsidRPr="00283CEC">
        <w:t>:  90,741</w:t>
      </w:r>
    </w:p>
    <w:p w:rsidR="004C5937" w:rsidRPr="003036BD" w:rsidRDefault="004C5937" w:rsidP="003036BD">
      <w:pPr>
        <w:pStyle w:val="bt"/>
        <w:rPr>
          <w:rStyle w:val="Strong"/>
        </w:rPr>
      </w:pPr>
      <w:r w:rsidRPr="003036BD">
        <w:rPr>
          <w:rStyle w:val="Strong"/>
        </w:rPr>
        <w:t>Local Government Area: South Gippsland (Shire)</w:t>
      </w:r>
    </w:p>
    <w:p w:rsidR="003036BD" w:rsidRDefault="00767431" w:rsidP="003036BD">
      <w:pPr>
        <w:pStyle w:val="bt"/>
      </w:pPr>
      <w:r>
        <w:t xml:space="preserve">Total </w:t>
      </w:r>
      <w:r w:rsidR="008C16C4" w:rsidRPr="00283CEC">
        <w:t xml:space="preserve">population </w:t>
      </w:r>
    </w:p>
    <w:p w:rsidR="004C5937" w:rsidRPr="00283CEC" w:rsidRDefault="004C5937" w:rsidP="003036BD">
      <w:pPr>
        <w:pStyle w:val="btbullet"/>
      </w:pPr>
      <w:r w:rsidRPr="00283CEC">
        <w:t>2011:  28,452</w:t>
      </w:r>
    </w:p>
    <w:p w:rsidR="004C5937" w:rsidRPr="00283CEC" w:rsidRDefault="004C5937" w:rsidP="003036BD">
      <w:pPr>
        <w:pStyle w:val="btbullet"/>
      </w:pPr>
      <w:r w:rsidRPr="00283CEC">
        <w:t>2021:  30,187</w:t>
      </w:r>
    </w:p>
    <w:p w:rsidR="004C5937" w:rsidRPr="00283CEC" w:rsidRDefault="008C16C4" w:rsidP="003036BD">
      <w:pPr>
        <w:pStyle w:val="btbullet"/>
      </w:pPr>
      <w:r w:rsidRPr="00283CEC">
        <w:t>2031</w:t>
      </w:r>
      <w:r w:rsidR="004C5937" w:rsidRPr="00283CEC">
        <w:t>:  32,509</w:t>
      </w:r>
    </w:p>
    <w:p w:rsidR="004C5937" w:rsidRPr="003036BD" w:rsidRDefault="004C5937" w:rsidP="003036BD">
      <w:pPr>
        <w:pStyle w:val="bt"/>
        <w:rPr>
          <w:rStyle w:val="Strong"/>
        </w:rPr>
      </w:pPr>
      <w:r w:rsidRPr="003036BD">
        <w:rPr>
          <w:rStyle w:val="Strong"/>
        </w:rPr>
        <w:t>Local Government Area: Wellington (Shire)</w:t>
      </w:r>
    </w:p>
    <w:p w:rsidR="003036BD" w:rsidRDefault="00767431" w:rsidP="003036BD">
      <w:pPr>
        <w:pStyle w:val="bt"/>
      </w:pPr>
      <w:r>
        <w:t xml:space="preserve">Total </w:t>
      </w:r>
      <w:r w:rsidR="008C16C4" w:rsidRPr="00283CEC">
        <w:t xml:space="preserve">population </w:t>
      </w:r>
    </w:p>
    <w:p w:rsidR="004C5937" w:rsidRPr="00283CEC" w:rsidRDefault="004C5937" w:rsidP="003036BD">
      <w:pPr>
        <w:pStyle w:val="btbullet"/>
      </w:pPr>
      <w:r w:rsidRPr="00283CEC">
        <w:t>2011:  43,920</w:t>
      </w:r>
    </w:p>
    <w:p w:rsidR="004C5937" w:rsidRPr="00283CEC" w:rsidRDefault="004C5937" w:rsidP="003036BD">
      <w:pPr>
        <w:pStyle w:val="btbullet"/>
      </w:pPr>
      <w:r w:rsidRPr="00283CEC">
        <w:t>2021:  46,013</w:t>
      </w:r>
    </w:p>
    <w:p w:rsidR="004C5937" w:rsidRPr="00283CEC" w:rsidRDefault="008C16C4" w:rsidP="003036BD">
      <w:pPr>
        <w:pStyle w:val="btbullet"/>
      </w:pPr>
      <w:r w:rsidRPr="00283CEC">
        <w:t>2031</w:t>
      </w:r>
      <w:r w:rsidR="004C5937" w:rsidRPr="00283CEC">
        <w:t>:  49,276</w:t>
      </w:r>
    </w:p>
    <w:p w:rsidR="008C16C4" w:rsidRPr="003036BD" w:rsidRDefault="008C16C4" w:rsidP="003036BD">
      <w:pPr>
        <w:pStyle w:val="bt"/>
        <w:rPr>
          <w:rStyle w:val="Strong"/>
        </w:rPr>
      </w:pPr>
      <w:r w:rsidRPr="003036BD">
        <w:rPr>
          <w:rStyle w:val="Strong"/>
        </w:rPr>
        <w:t>Gippsland region:</w:t>
      </w:r>
    </w:p>
    <w:p w:rsidR="003036BD" w:rsidRDefault="00767431" w:rsidP="003036BD">
      <w:pPr>
        <w:pStyle w:val="bt"/>
      </w:pPr>
      <w:r>
        <w:t xml:space="preserve">Total </w:t>
      </w:r>
      <w:r w:rsidR="008C16C4" w:rsidRPr="00283CEC">
        <w:t xml:space="preserve">population </w:t>
      </w:r>
    </w:p>
    <w:p w:rsidR="008C16C4" w:rsidRPr="00283CEC" w:rsidRDefault="008C16C4" w:rsidP="003036BD">
      <w:pPr>
        <w:pStyle w:val="btbullet"/>
      </w:pPr>
      <w:r w:rsidRPr="00283CEC">
        <w:t>2011: 269,790</w:t>
      </w:r>
    </w:p>
    <w:p w:rsidR="008C16C4" w:rsidRPr="00283CEC" w:rsidRDefault="008C16C4" w:rsidP="003036BD">
      <w:pPr>
        <w:pStyle w:val="btbullet"/>
      </w:pPr>
      <w:r w:rsidRPr="00283CEC">
        <w:t>2021: 305,356</w:t>
      </w:r>
    </w:p>
    <w:p w:rsidR="008C16C4" w:rsidRPr="00283CEC" w:rsidRDefault="008C16C4" w:rsidP="003036BD">
      <w:pPr>
        <w:pStyle w:val="btbullet"/>
      </w:pPr>
      <w:r w:rsidRPr="00283CEC">
        <w:t>2031: 345,888</w:t>
      </w:r>
    </w:p>
    <w:p w:rsidR="003036BD" w:rsidRPr="00E641C4" w:rsidRDefault="003036BD" w:rsidP="003036BD">
      <w:pPr>
        <w:pStyle w:val="source"/>
      </w:pPr>
      <w:r w:rsidRPr="00E641C4">
        <w:t>Source: Department of Planning and Community Development, Victoria in Future 2012</w:t>
      </w:r>
    </w:p>
    <w:p w:rsidR="008F385C" w:rsidRPr="00283CEC" w:rsidRDefault="008F385C" w:rsidP="00FC37BF">
      <w:pPr>
        <w:pStyle w:val="bt"/>
      </w:pPr>
      <w:r w:rsidRPr="00283CEC">
        <w:t xml:space="preserve">While Gippsland has </w:t>
      </w:r>
      <w:r w:rsidR="00DF599A" w:rsidRPr="00283CEC">
        <w:t xml:space="preserve">some </w:t>
      </w:r>
      <w:r w:rsidRPr="00283CEC">
        <w:t>clearly defined centres, around 40</w:t>
      </w:r>
      <w:r w:rsidR="00667225" w:rsidRPr="00283CEC">
        <w:t xml:space="preserve"> per cent</w:t>
      </w:r>
      <w:r w:rsidRPr="00283CEC">
        <w:t xml:space="preserve"> of the population</w:t>
      </w:r>
      <w:r w:rsidR="00DF599A" w:rsidRPr="00283CEC">
        <w:t xml:space="preserve"> is</w:t>
      </w:r>
      <w:r w:rsidRPr="00283CEC">
        <w:t xml:space="preserve"> located in villages and settlements of less than 500 people. Along the coastline many areas are subject to significant seasonal population fluctuations</w:t>
      </w:r>
      <w:r w:rsidR="00DF599A" w:rsidRPr="00283CEC">
        <w:t>.</w:t>
      </w:r>
      <w:r w:rsidR="007C4353" w:rsidRPr="00283CEC">
        <w:t xml:space="preserve"> </w:t>
      </w:r>
      <w:r w:rsidR="006F401D" w:rsidRPr="00283CEC">
        <w:t>The region is unique in Victoria with approximately three</w:t>
      </w:r>
      <w:r w:rsidR="00D478DE" w:rsidRPr="00283CEC">
        <w:t>-</w:t>
      </w:r>
      <w:r w:rsidR="006F401D" w:rsidRPr="00283CEC">
        <w:t xml:space="preserve">quarters of the region </w:t>
      </w:r>
      <w:r w:rsidR="00E23FB0" w:rsidRPr="00283CEC">
        <w:t xml:space="preserve">being </w:t>
      </w:r>
      <w:r w:rsidR="006F401D" w:rsidRPr="00283CEC">
        <w:t>forested public lands and national parks, natural water courses and floodplains</w:t>
      </w:r>
      <w:r w:rsidR="00497DD2" w:rsidRPr="00283CEC">
        <w:t>,</w:t>
      </w:r>
      <w:r w:rsidR="006F401D" w:rsidRPr="00283CEC">
        <w:t xml:space="preserve"> and areas of bushland with </w:t>
      </w:r>
      <w:r w:rsidR="00B64000" w:rsidRPr="00283CEC">
        <w:t>bush</w:t>
      </w:r>
      <w:r w:rsidR="006F401D" w:rsidRPr="00283CEC">
        <w:t>fire risk. This provides a unique natural landscape</w:t>
      </w:r>
      <w:r w:rsidR="00F033A8" w:rsidRPr="00283CEC">
        <w:t xml:space="preserve"> with a range of </w:t>
      </w:r>
      <w:r w:rsidR="006F401D" w:rsidRPr="00283CEC">
        <w:t>tourism opportunities</w:t>
      </w:r>
      <w:r w:rsidR="00E23FB0" w:rsidRPr="00283CEC">
        <w:t>,</w:t>
      </w:r>
      <w:r w:rsidR="006F401D" w:rsidRPr="00283CEC">
        <w:t xml:space="preserve"> </w:t>
      </w:r>
      <w:r w:rsidR="00E23FB0" w:rsidRPr="00283CEC">
        <w:t xml:space="preserve">yet significant </w:t>
      </w:r>
      <w:r w:rsidR="006F401D" w:rsidRPr="00283CEC">
        <w:t xml:space="preserve">challenges </w:t>
      </w:r>
      <w:r w:rsidR="00E23FB0" w:rsidRPr="00283CEC">
        <w:t xml:space="preserve">in terms </w:t>
      </w:r>
      <w:r w:rsidR="006F401D" w:rsidRPr="00283CEC">
        <w:t xml:space="preserve">of disconnection between communities. </w:t>
      </w:r>
    </w:p>
    <w:p w:rsidR="008F385C" w:rsidRPr="00283CEC" w:rsidRDefault="008F385C" w:rsidP="00FC37BF">
      <w:pPr>
        <w:pStyle w:val="bt"/>
      </w:pPr>
      <w:r w:rsidRPr="00283CEC">
        <w:t xml:space="preserve">Transport </w:t>
      </w:r>
      <w:r w:rsidR="00DF599A" w:rsidRPr="00283CEC">
        <w:t xml:space="preserve">links </w:t>
      </w:r>
      <w:r w:rsidRPr="00283CEC">
        <w:t xml:space="preserve">in Gippsland </w:t>
      </w:r>
      <w:r w:rsidR="00DF599A" w:rsidRPr="00283CEC">
        <w:t>are</w:t>
      </w:r>
      <w:r w:rsidRPr="00283CEC">
        <w:t xml:space="preserve"> largely orientated east-west, with the Princes Highway and Bairnsdale rail line defining the </w:t>
      </w:r>
      <w:r w:rsidR="00DF599A" w:rsidRPr="00283CEC">
        <w:t xml:space="preserve">principal </w:t>
      </w:r>
      <w:r w:rsidRPr="00283CEC">
        <w:t>corridor</w:t>
      </w:r>
      <w:r w:rsidR="00DF599A" w:rsidRPr="00283CEC">
        <w:t xml:space="preserve"> connecting </w:t>
      </w:r>
      <w:r w:rsidRPr="00283CEC">
        <w:t>most of the major settlements</w:t>
      </w:r>
      <w:r w:rsidR="003B12FA" w:rsidRPr="00283CEC">
        <w:t>.</w:t>
      </w:r>
      <w:r w:rsidR="006724C8" w:rsidRPr="00283CEC">
        <w:t xml:space="preserve"> </w:t>
      </w:r>
      <w:r w:rsidRPr="00283CEC">
        <w:t xml:space="preserve">North-south movement in Gippsland is facilitated by the South Gippsland, Bass and Strzelecki </w:t>
      </w:r>
      <w:r w:rsidR="00E23FB0" w:rsidRPr="00283CEC">
        <w:t>h</w:t>
      </w:r>
      <w:r w:rsidRPr="00283CEC">
        <w:t>ighways</w:t>
      </w:r>
      <w:r w:rsidR="003B12FA" w:rsidRPr="00283CEC">
        <w:t>. R</w:t>
      </w:r>
      <w:r w:rsidRPr="00283CEC">
        <w:t xml:space="preserve">ail </w:t>
      </w:r>
      <w:proofErr w:type="gramStart"/>
      <w:r w:rsidRPr="00283CEC">
        <w:t xml:space="preserve">transport </w:t>
      </w:r>
      <w:r w:rsidR="003B12FA" w:rsidRPr="00283CEC">
        <w:t xml:space="preserve">includes V/Line passenger </w:t>
      </w:r>
      <w:r w:rsidR="00900F65" w:rsidRPr="00283CEC">
        <w:t xml:space="preserve">trains </w:t>
      </w:r>
      <w:r w:rsidR="003B12FA" w:rsidRPr="00283CEC">
        <w:t>and freight</w:t>
      </w:r>
      <w:proofErr w:type="gramEnd"/>
      <w:r w:rsidR="003B12FA" w:rsidRPr="00283CEC">
        <w:t xml:space="preserve"> </w:t>
      </w:r>
      <w:r w:rsidR="009F3747" w:rsidRPr="00283CEC">
        <w:t xml:space="preserve">that </w:t>
      </w:r>
      <w:r w:rsidR="003B12FA" w:rsidRPr="00283CEC">
        <w:t xml:space="preserve">link </w:t>
      </w:r>
      <w:r w:rsidRPr="00283CEC">
        <w:t xml:space="preserve">to </w:t>
      </w:r>
      <w:r w:rsidR="009F3747" w:rsidRPr="00283CEC">
        <w:t xml:space="preserve">and beyond </w:t>
      </w:r>
      <w:r w:rsidRPr="00283CEC">
        <w:t>Melbourne</w:t>
      </w:r>
      <w:r w:rsidR="009715FC" w:rsidRPr="00283CEC">
        <w:t xml:space="preserve"> and its ports</w:t>
      </w:r>
      <w:r w:rsidR="003B12FA" w:rsidRPr="00283CEC">
        <w:t xml:space="preserve">. </w:t>
      </w:r>
      <w:r w:rsidRPr="00283CEC">
        <w:t>Plans to invest in the Port of Hastings</w:t>
      </w:r>
      <w:r w:rsidR="003B12FA" w:rsidRPr="00283CEC">
        <w:t xml:space="preserve"> as a major port equal to the Port of Melbourne </w:t>
      </w:r>
      <w:r w:rsidRPr="00283CEC">
        <w:t>have been identified by regional stakeholders as a major potential driver for regional growth.</w:t>
      </w:r>
      <w:r w:rsidR="003B12FA" w:rsidRPr="00283CEC">
        <w:t xml:space="preserve"> This will require upgrades to</w:t>
      </w:r>
      <w:r w:rsidR="00D21DCD" w:rsidRPr="00283CEC">
        <w:t xml:space="preserve"> both rail and road connections and planning for future transport corridors.</w:t>
      </w:r>
    </w:p>
    <w:p w:rsidR="008D1F58" w:rsidRPr="00283CEC" w:rsidRDefault="00AC2A9B" w:rsidP="00F07F88">
      <w:pPr>
        <w:pStyle w:val="bt"/>
      </w:pPr>
      <w:r w:rsidRPr="00283CEC">
        <w:t xml:space="preserve">The </w:t>
      </w:r>
      <w:r w:rsidR="00E23FB0" w:rsidRPr="00283CEC">
        <w:t xml:space="preserve">Gippsland </w:t>
      </w:r>
      <w:r w:rsidRPr="00283CEC">
        <w:t xml:space="preserve">region has important economic connections and linkages to export ports in Melbourne and New South Wales. </w:t>
      </w:r>
      <w:r w:rsidR="00337D58" w:rsidRPr="00283CEC">
        <w:t xml:space="preserve">The export of dairy and food products, timber and paper, and livestock to national and global markets generates significant value for the region and underlines the importance of reliable access to markets. </w:t>
      </w:r>
      <w:r w:rsidR="00AF3972" w:rsidRPr="00283CEC">
        <w:t xml:space="preserve">Key linkages </w:t>
      </w:r>
      <w:r w:rsidR="00436F3D" w:rsidRPr="00283CEC">
        <w:t>outside the region</w:t>
      </w:r>
      <w:r w:rsidR="00AF3972" w:rsidRPr="00283CEC">
        <w:t xml:space="preserve"> are shown </w:t>
      </w:r>
      <w:r w:rsidR="00FC77ED">
        <w:t>on</w:t>
      </w:r>
      <w:r w:rsidR="00AD704A">
        <w:t xml:space="preserve"> Map 4</w:t>
      </w:r>
      <w:r w:rsidR="00F07F88" w:rsidRPr="00283CEC">
        <w:t>.</w:t>
      </w:r>
    </w:p>
    <w:p w:rsidR="00F668EA" w:rsidRDefault="008F385C" w:rsidP="00F668EA">
      <w:pPr>
        <w:pStyle w:val="bt"/>
      </w:pPr>
      <w:r w:rsidRPr="00283CEC">
        <w:t xml:space="preserve">A strong tourism industry </w:t>
      </w:r>
      <w:r w:rsidR="004B039D" w:rsidRPr="00283CEC">
        <w:t xml:space="preserve">operates </w:t>
      </w:r>
      <w:r w:rsidRPr="00283CEC">
        <w:t xml:space="preserve">in Gippsland, which is linked to the </w:t>
      </w:r>
      <w:r w:rsidR="00485A4B" w:rsidRPr="00283CEC">
        <w:t>environmental assets</w:t>
      </w:r>
      <w:r w:rsidRPr="00283CEC">
        <w:t xml:space="preserve"> of the region and its unique and diverse </w:t>
      </w:r>
      <w:r w:rsidR="00D62722" w:rsidRPr="00283CEC">
        <w:t>cultural landscapes</w:t>
      </w:r>
      <w:r w:rsidRPr="00283CEC">
        <w:t xml:space="preserve">. </w:t>
      </w:r>
      <w:r w:rsidR="009E447C" w:rsidRPr="00283CEC">
        <w:t xml:space="preserve">This </w:t>
      </w:r>
      <w:r w:rsidR="00E23FB0" w:rsidRPr="00283CEC">
        <w:t xml:space="preserve">industry </w:t>
      </w:r>
      <w:r w:rsidR="009E447C" w:rsidRPr="00283CEC">
        <w:t>attracts a growing market from metropolitan Melbourne and local residents</w:t>
      </w:r>
      <w:r w:rsidR="009715FC" w:rsidRPr="00283CEC">
        <w:t>, and has significant potential to broaden its appeal</w:t>
      </w:r>
      <w:r w:rsidR="009E447C" w:rsidRPr="00283CEC">
        <w:t xml:space="preserve">. </w:t>
      </w:r>
      <w:r w:rsidRPr="00283CEC">
        <w:t>Some key tourism assets include the Gippsland</w:t>
      </w:r>
      <w:r w:rsidR="009715FC" w:rsidRPr="00283CEC">
        <w:t xml:space="preserve"> Lakes, </w:t>
      </w:r>
      <w:r w:rsidR="008E3E3B" w:rsidRPr="00283CEC">
        <w:t xml:space="preserve">Phillip Island, </w:t>
      </w:r>
      <w:r w:rsidR="009715FC" w:rsidRPr="00283CEC">
        <w:t>Wilsons Promontory,</w:t>
      </w:r>
      <w:r w:rsidR="00B467BF" w:rsidRPr="00283CEC">
        <w:t xml:space="preserve"> </w:t>
      </w:r>
      <w:proofErr w:type="gramStart"/>
      <w:r w:rsidR="00B467BF" w:rsidRPr="00283CEC">
        <w:t xml:space="preserve">far </w:t>
      </w:r>
      <w:r w:rsidRPr="00283CEC">
        <w:t>east</w:t>
      </w:r>
      <w:proofErr w:type="gramEnd"/>
      <w:r w:rsidRPr="00283CEC">
        <w:t xml:space="preserve"> Gippsland and the </w:t>
      </w:r>
      <w:r w:rsidR="00667225" w:rsidRPr="00283CEC">
        <w:t>a</w:t>
      </w:r>
      <w:r w:rsidRPr="00283CEC">
        <w:t xml:space="preserve">lpine country. </w:t>
      </w:r>
      <w:r w:rsidR="009E447C" w:rsidRPr="00283CEC">
        <w:t>P</w:t>
      </w:r>
      <w:r w:rsidRPr="00283CEC">
        <w:t xml:space="preserve">opular tourist destinations include Phillip Island, Walhalla, </w:t>
      </w:r>
      <w:r w:rsidR="009715FC" w:rsidRPr="00283CEC">
        <w:t xml:space="preserve">Gippsland Lakes and coast, </w:t>
      </w:r>
      <w:r w:rsidRPr="00283CEC">
        <w:t xml:space="preserve">the Baw </w:t>
      </w:r>
      <w:proofErr w:type="spellStart"/>
      <w:r w:rsidRPr="00283CEC">
        <w:t>Baw</w:t>
      </w:r>
      <w:proofErr w:type="spellEnd"/>
      <w:r w:rsidRPr="00283CEC">
        <w:t xml:space="preserve"> plateau, </w:t>
      </w:r>
      <w:r w:rsidR="00337D58" w:rsidRPr="00283CEC">
        <w:t xml:space="preserve">and </w:t>
      </w:r>
      <w:r w:rsidRPr="00283CEC">
        <w:t>the Strzelecki Range</w:t>
      </w:r>
      <w:r w:rsidR="00337D58" w:rsidRPr="00283CEC">
        <w:t>s</w:t>
      </w:r>
      <w:r w:rsidRPr="00283CEC">
        <w:t>.</w:t>
      </w:r>
      <w:bookmarkStart w:id="25" w:name="_Ref355960522"/>
      <w:bookmarkStart w:id="26" w:name="_Ref373930945"/>
      <w:bookmarkStart w:id="27" w:name="_Toc374361104"/>
    </w:p>
    <w:p w:rsidR="003C3B80" w:rsidRPr="00F668EA" w:rsidRDefault="003C3B80" w:rsidP="00F668EA">
      <w:pPr>
        <w:pStyle w:val="bt"/>
      </w:pPr>
      <w:r w:rsidRPr="00F668EA">
        <w:t xml:space="preserve">Map </w:t>
      </w:r>
      <w:bookmarkEnd w:id="25"/>
      <w:bookmarkEnd w:id="26"/>
      <w:r w:rsidR="00AD704A">
        <w:t>4</w:t>
      </w:r>
      <w:r w:rsidR="00F668EA">
        <w:t xml:space="preserve"> is located here in the document and it shows -</w:t>
      </w:r>
      <w:r w:rsidR="00B80607" w:rsidRPr="00F668EA">
        <w:t xml:space="preserve"> </w:t>
      </w:r>
      <w:r w:rsidR="00AD704A">
        <w:t>L</w:t>
      </w:r>
      <w:r w:rsidRPr="00F668EA">
        <w:t>ink</w:t>
      </w:r>
      <w:r w:rsidR="005907B8" w:rsidRPr="00F668EA">
        <w:t>s to surrounding</w:t>
      </w:r>
      <w:r w:rsidRPr="00F668EA">
        <w:t xml:space="preserve"> region</w:t>
      </w:r>
      <w:r w:rsidR="005907B8" w:rsidRPr="00F668EA">
        <w:t>s</w:t>
      </w:r>
      <w:bookmarkEnd w:id="27"/>
    </w:p>
    <w:p w:rsidR="00C507C7" w:rsidRPr="00283CEC" w:rsidRDefault="00C507C7" w:rsidP="00FC37BF">
      <w:pPr>
        <w:pStyle w:val="Heading11"/>
      </w:pPr>
      <w:bookmarkStart w:id="28" w:name="_Toc336871215"/>
      <w:bookmarkStart w:id="29" w:name="_Toc376791237"/>
      <w:r w:rsidRPr="00283CEC">
        <w:t xml:space="preserve">Drivers of </w:t>
      </w:r>
      <w:r w:rsidR="00F033A8" w:rsidRPr="00283CEC">
        <w:t>c</w:t>
      </w:r>
      <w:r w:rsidRPr="00283CEC">
        <w:t>hange</w:t>
      </w:r>
      <w:bookmarkEnd w:id="28"/>
      <w:bookmarkEnd w:id="29"/>
    </w:p>
    <w:p w:rsidR="00274881" w:rsidRPr="00283CEC" w:rsidRDefault="007539D6" w:rsidP="00FC37BF">
      <w:pPr>
        <w:pStyle w:val="bt"/>
      </w:pPr>
      <w:r w:rsidRPr="00283CEC">
        <w:t xml:space="preserve">Issues such </w:t>
      </w:r>
      <w:r w:rsidR="00C6385F" w:rsidRPr="00283CEC">
        <w:t xml:space="preserve">as changes in </w:t>
      </w:r>
      <w:r w:rsidRPr="00283CEC">
        <w:t xml:space="preserve">climate, economic restructuring, </w:t>
      </w:r>
      <w:r w:rsidR="00D21DCD" w:rsidRPr="00283CEC">
        <w:t xml:space="preserve">global economic conditions and commodity prices, </w:t>
      </w:r>
      <w:r w:rsidRPr="00283CEC">
        <w:t xml:space="preserve">and changing demographic profiles are affecting communities across regional Victoria </w:t>
      </w:r>
      <w:r w:rsidR="00EC22CE" w:rsidRPr="00283CEC">
        <w:t xml:space="preserve">to </w:t>
      </w:r>
      <w:r w:rsidR="00C6385F" w:rsidRPr="00283CEC">
        <w:t>varying</w:t>
      </w:r>
      <w:r w:rsidR="00EC22CE" w:rsidRPr="00283CEC">
        <w:t xml:space="preserve"> </w:t>
      </w:r>
      <w:r w:rsidRPr="00283CEC">
        <w:t>degrees. In Gippsland these issues are driving significant change in the region’s economy</w:t>
      </w:r>
      <w:r w:rsidR="00667225" w:rsidRPr="00283CEC">
        <w:t>, particularly</w:t>
      </w:r>
      <w:r w:rsidRPr="00283CEC">
        <w:t xml:space="preserve"> due to its strong reliance on natural resources and coal. The region’s coastline and large extent of forested public land are at risk from natural hazards and the </w:t>
      </w:r>
      <w:r w:rsidR="00485A4B" w:rsidRPr="00283CEC">
        <w:t xml:space="preserve">potential </w:t>
      </w:r>
      <w:r w:rsidRPr="00283CEC">
        <w:t>impacts of change</w:t>
      </w:r>
      <w:r w:rsidR="00C6385F" w:rsidRPr="00283CEC">
        <w:t>s in climate</w:t>
      </w:r>
      <w:r w:rsidRPr="00283CEC">
        <w:t>. In central and eastern parts of the region</w:t>
      </w:r>
      <w:r w:rsidR="003610C4" w:rsidRPr="00283CEC">
        <w:t>,</w:t>
      </w:r>
      <w:r w:rsidRPr="00283CEC">
        <w:t xml:space="preserve"> </w:t>
      </w:r>
      <w:r w:rsidR="00EC22CE" w:rsidRPr="00283CEC">
        <w:t xml:space="preserve">a projected ageing population </w:t>
      </w:r>
      <w:r w:rsidRPr="00283CEC">
        <w:t xml:space="preserve">will present challenges for housing, health and support services, and accessible transport. </w:t>
      </w:r>
    </w:p>
    <w:p w:rsidR="00FC37BF" w:rsidRPr="00283CEC" w:rsidRDefault="00FD080B" w:rsidP="0096070F">
      <w:pPr>
        <w:pStyle w:val="bt"/>
      </w:pPr>
      <w:r w:rsidRPr="00283CEC">
        <w:t xml:space="preserve">At the western interface with Melbourne, (Melbourne’s peri-urban hinterland) and adjoining the Casey and Cardinia growth areas, considerable growth is occurring in Warragul/Drouin and Wonthaggi, with new residents settling within commuting distance to metropolitan workplaces. </w:t>
      </w:r>
      <w:r w:rsidR="0048452B" w:rsidRPr="00283CEC">
        <w:t>Bairnsdale and other locations near the Gippsland Lakes are expected to experience significant population growth influenced by amenity and lifestyle opportunities.</w:t>
      </w:r>
    </w:p>
    <w:p w:rsidR="00BF0F9E" w:rsidRPr="00283CEC" w:rsidRDefault="00C6385F" w:rsidP="00176CC7">
      <w:pPr>
        <w:pStyle w:val="bt"/>
      </w:pPr>
      <w:r w:rsidRPr="00283CEC">
        <w:rPr>
          <w:rStyle w:val="Strong"/>
          <w:bCs w:val="0"/>
        </w:rPr>
        <w:t>Melbourne’s peri-urban hinterland</w:t>
      </w:r>
    </w:p>
    <w:p w:rsidR="00176CC7" w:rsidRPr="00283CEC" w:rsidRDefault="00AA514A" w:rsidP="005A4446">
      <w:pPr>
        <w:pStyle w:val="bt"/>
      </w:pPr>
      <w:r w:rsidRPr="00283CEC">
        <w:t>Peri-urban literally means the area around a settlement. Melbourne’s peri-urban region is diverse, containing a mix of people, places and experiences. This</w:t>
      </w:r>
      <w:r w:rsidR="00176CC7" w:rsidRPr="00283CEC">
        <w:t xml:space="preserve"> </w:t>
      </w:r>
      <w:r w:rsidR="00816948" w:rsidRPr="00283CEC">
        <w:t xml:space="preserve">predominantly </w:t>
      </w:r>
      <w:r w:rsidRPr="00283CEC">
        <w:t xml:space="preserve">rural area includes key urban settlements and townships, which face particular pressures for growth and change. In the Gippsland region it extends across parts of the Baw </w:t>
      </w:r>
      <w:proofErr w:type="spellStart"/>
      <w:r w:rsidRPr="00283CEC">
        <w:t>Baw</w:t>
      </w:r>
      <w:proofErr w:type="spellEnd"/>
      <w:r w:rsidRPr="00283CEC">
        <w:t>, Bass Coast and South Gippsland shires from the south-eastern fringe of metropolitan Melbourne.</w:t>
      </w:r>
      <w:r w:rsidR="00176CC7" w:rsidRPr="00283CEC">
        <w:t xml:space="preserve"> </w:t>
      </w:r>
    </w:p>
    <w:p w:rsidR="00176CC7" w:rsidRPr="00283CEC" w:rsidRDefault="00AA514A" w:rsidP="00176CC7">
      <w:pPr>
        <w:pStyle w:val="bt"/>
      </w:pPr>
      <w:r w:rsidRPr="00283CEC">
        <w:t xml:space="preserve">The peri-urban region includes a number of state significant land assets important to the functioning of Melbourne and Victoria as a whole. These include resources, infrastructure, environmental assets and cultural heritage assets (refer to </w:t>
      </w:r>
      <w:r w:rsidR="00FC77ED">
        <w:t xml:space="preserve">Section 1.1 of </w:t>
      </w:r>
      <w:r w:rsidRPr="00283CEC">
        <w:t xml:space="preserve">the background </w:t>
      </w:r>
      <w:r w:rsidR="0036526C" w:rsidRPr="00283CEC">
        <w:t>report</w:t>
      </w:r>
      <w:r w:rsidRPr="00283CEC">
        <w:t xml:space="preserve">). These land assets provide some of our most basic needs, which over five million Victorians rely on every day, such as quality air and water, food, fibre, and building materials for our homes and roads. The peri-urban region’s unique natural, cultural and recreational assets provide great economic opportunities. This is a significant strength for the </w:t>
      </w:r>
      <w:r w:rsidR="00FC77ED">
        <w:t>s</w:t>
      </w:r>
      <w:r w:rsidR="00FC77ED" w:rsidRPr="00283CEC">
        <w:t>tate</w:t>
      </w:r>
      <w:r w:rsidRPr="00283CEC">
        <w:t>, providing opportunities to maximise our competitive advantage over other cities and regions within Australia and the Asia-Pacific region. The economic opportunities provided by the assets and appropriate growth will contribute to the economy, our quality of life and environmental strengths.</w:t>
      </w:r>
      <w:r w:rsidR="00176CC7" w:rsidRPr="00283CEC">
        <w:t xml:space="preserve"> </w:t>
      </w:r>
      <w:r w:rsidR="00237C7D" w:rsidRPr="00283CEC">
        <w:t>Considered land use planning</w:t>
      </w:r>
      <w:r w:rsidR="00176CC7" w:rsidRPr="00283CEC">
        <w:t xml:space="preserve"> </w:t>
      </w:r>
      <w:r w:rsidRPr="00283CEC">
        <w:t>will ensure we, and future generations, can continue to enjoy the benefits that this area provides.</w:t>
      </w:r>
      <w:r w:rsidR="00176CC7" w:rsidRPr="00283CEC">
        <w:t xml:space="preserve"> </w:t>
      </w:r>
    </w:p>
    <w:p w:rsidR="00D93D9C" w:rsidRPr="00283CEC" w:rsidRDefault="00AA514A" w:rsidP="00176CC7">
      <w:pPr>
        <w:pStyle w:val="bt"/>
      </w:pPr>
      <w:r w:rsidRPr="00283CEC">
        <w:t>The proximity of the peri-urban region to Melbourne and high standard road and rail infrastructure reinforce strong two-way connections between these areas, providing access to jobs, markets, customers and tourists. The peri-urban region has a particularly strong relationship to the Melbourne population. Visitation, tourism and commuting patterns occur between these areas and recreation and amenity areas are frequented by hundreds of thousands of people during weekends and holiday periods. These interactions have had a strong influence on growth and change within the peri-urban region. These areas have had high percentage increases in population and this trend is projected to continue.</w:t>
      </w:r>
    </w:p>
    <w:p w:rsidR="006030C9" w:rsidRPr="00283CEC" w:rsidRDefault="00AA514A" w:rsidP="006030C9">
      <w:pPr>
        <w:pStyle w:val="bt"/>
      </w:pPr>
      <w:r w:rsidRPr="00283CEC">
        <w:t>If not managed, development pressures and sprawling growth can increase risks from bushfire, sea-level rise and flood, add to infrastructure costs and lead to a loss of important non-urban assets including productive farmland, water catchments, earth resources, biodiversity and natural ecosystems. Retaining the economic and community value of these assets is a key consideration in planning for this area.</w:t>
      </w:r>
    </w:p>
    <w:p w:rsidR="006030C9" w:rsidRPr="00283CEC" w:rsidRDefault="004C1B61" w:rsidP="006030C9">
      <w:pPr>
        <w:pStyle w:val="bt"/>
      </w:pPr>
      <w:r>
        <w:t>Collectively, the metropolitan planning s</w:t>
      </w:r>
      <w:r w:rsidR="00AA514A" w:rsidRPr="00283CEC">
        <w:t>trategy</w:t>
      </w:r>
      <w:r>
        <w:t xml:space="preserve">, </w:t>
      </w:r>
      <w:r w:rsidRPr="004C1B61">
        <w:rPr>
          <w:i/>
        </w:rPr>
        <w:t>Plan Melbourne</w:t>
      </w:r>
      <w:r w:rsidR="00AA514A" w:rsidRPr="00283CEC">
        <w:t xml:space="preserve"> and the peri-urban regional growth plans (G21, Central Highlands, Loddon Mallee South, Hume and Gippsland) provide the vision and broad strategic direction for land use and development across this area. The regional growth plans include high level framework plans for towns and cities where urban growth will be supported. In the Gippsland region, Warragul/Drouin, Korumburra and Wonthaggi have been identified as key peri-urban growth locations where growth is supported.  </w:t>
      </w:r>
    </w:p>
    <w:p w:rsidR="006030C9" w:rsidRPr="00283CEC" w:rsidRDefault="00AA514A" w:rsidP="006030C9">
      <w:pPr>
        <w:pStyle w:val="bt"/>
      </w:pPr>
      <w:r w:rsidRPr="00283CEC">
        <w:t>The government in partnership with councils will work to provide specific statements about the peri-urban region to respond to the unique pressures and opportunities that are common to these locations. There is an opportunity to clearly articulate the outcomes envisaged for the complex peri-urban region at a finer grain. Stronger and clearer guidance for making land use planning and development decisions in the</w:t>
      </w:r>
      <w:r w:rsidR="00E71C80" w:rsidRPr="00283CEC">
        <w:t xml:space="preserve"> </w:t>
      </w:r>
      <w:r w:rsidRPr="00283CEC">
        <w:t>peri-urban region</w:t>
      </w:r>
      <w:r w:rsidR="001A7F4C" w:rsidRPr="00283CEC">
        <w:t xml:space="preserve"> </w:t>
      </w:r>
      <w:r w:rsidR="00856CE2" w:rsidRPr="00283CEC">
        <w:t xml:space="preserve">is </w:t>
      </w:r>
      <w:r w:rsidR="001A7F4C" w:rsidRPr="00283CEC">
        <w:t>needed</w:t>
      </w:r>
      <w:r w:rsidR="00176CC7" w:rsidRPr="00283CEC">
        <w:t xml:space="preserve">, </w:t>
      </w:r>
      <w:r w:rsidRPr="00283CEC">
        <w:t>particularly where there are trade-offs between competing land uses.</w:t>
      </w:r>
    </w:p>
    <w:p w:rsidR="00176CC7" w:rsidRPr="00283CEC" w:rsidRDefault="00AA514A" w:rsidP="00176CC7">
      <w:pPr>
        <w:pStyle w:val="bt"/>
      </w:pPr>
      <w:r w:rsidRPr="00283CEC">
        <w:t xml:space="preserve">Understanding the role of regional cities, peri-urban towns and rural communities and their relationship to one another and to Melbourne is a critical element in planning for the peri-urban region. Peri-urban councils have already led the preparation of detailed research of many of the issues affecting the area, and have developed policy positions in a number of locations to inform decision making at the strategic land use level. The work of councils, together with </w:t>
      </w:r>
      <w:r w:rsidR="004C1B61" w:rsidRPr="004C1B61">
        <w:rPr>
          <w:i/>
        </w:rPr>
        <w:t>Plan Melbourne</w:t>
      </w:r>
      <w:r w:rsidR="004C1B61">
        <w:t xml:space="preserve"> </w:t>
      </w:r>
      <w:r w:rsidRPr="00283CEC">
        <w:t>and the regional growth plans, provides a strong foundation for preparation of statements about the peri-urban region.</w:t>
      </w:r>
    </w:p>
    <w:p w:rsidR="000D20A7" w:rsidRPr="00283CEC" w:rsidRDefault="000D20A7" w:rsidP="00CC3A69">
      <w:pPr>
        <w:pStyle w:val="Heading4"/>
      </w:pPr>
      <w:r w:rsidRPr="00283CEC">
        <w:t xml:space="preserve">Economic </w:t>
      </w:r>
      <w:r w:rsidR="00807BFD" w:rsidRPr="00283CEC">
        <w:t>d</w:t>
      </w:r>
      <w:r w:rsidRPr="00283CEC">
        <w:t xml:space="preserve">iversification and </w:t>
      </w:r>
      <w:r w:rsidR="009B0C52" w:rsidRPr="00283CEC">
        <w:t>increasing r</w:t>
      </w:r>
      <w:r w:rsidRPr="00283CEC">
        <w:t>esilience</w:t>
      </w:r>
    </w:p>
    <w:p w:rsidR="000D20A7" w:rsidRPr="00283CEC" w:rsidRDefault="000D20A7" w:rsidP="00FC37BF">
      <w:pPr>
        <w:pStyle w:val="bt"/>
      </w:pPr>
      <w:r w:rsidRPr="00283CEC">
        <w:t xml:space="preserve">Gippsland has significant natural and economic assets related to energy, water and agriculture. </w:t>
      </w:r>
      <w:r w:rsidR="00807BFD" w:rsidRPr="00283CEC">
        <w:t>There has</w:t>
      </w:r>
      <w:r w:rsidR="001A084F" w:rsidRPr="00283CEC">
        <w:t xml:space="preserve"> </w:t>
      </w:r>
      <w:r w:rsidR="00807BFD" w:rsidRPr="00283CEC">
        <w:t>been</w:t>
      </w:r>
      <w:r w:rsidR="00D8046D" w:rsidRPr="00283CEC">
        <w:t xml:space="preserve"> moderate </w:t>
      </w:r>
      <w:r w:rsidR="00807BFD" w:rsidRPr="00283CEC">
        <w:t xml:space="preserve">growth in the region’s </w:t>
      </w:r>
      <w:r w:rsidRPr="00283CEC">
        <w:t>largest industry sectors</w:t>
      </w:r>
      <w:r w:rsidR="00807BFD" w:rsidRPr="00283CEC">
        <w:t xml:space="preserve"> (</w:t>
      </w:r>
      <w:r w:rsidRPr="00283CEC">
        <w:t>manufacturing, mining, utilities and agriculture</w:t>
      </w:r>
      <w:r w:rsidR="00807BFD" w:rsidRPr="00283CEC">
        <w:t xml:space="preserve">) over the last </w:t>
      </w:r>
      <w:r w:rsidR="00EC22CE" w:rsidRPr="00283CEC">
        <w:t>10</w:t>
      </w:r>
      <w:r w:rsidR="00807BFD" w:rsidRPr="00283CEC">
        <w:t xml:space="preserve"> years. Conversely</w:t>
      </w:r>
      <w:r w:rsidR="00EC22CE" w:rsidRPr="00283CEC">
        <w:t>,</w:t>
      </w:r>
      <w:r w:rsidR="00807BFD" w:rsidRPr="00283CEC">
        <w:t xml:space="preserve"> s</w:t>
      </w:r>
      <w:r w:rsidRPr="00283CEC">
        <w:t>ec</w:t>
      </w:r>
      <w:r w:rsidR="00BE5A3C" w:rsidRPr="00283CEC">
        <w:t>tors that have grown strongly, professional</w:t>
      </w:r>
      <w:r w:rsidRPr="00283CEC">
        <w:t xml:space="preserve"> and financ</w:t>
      </w:r>
      <w:r w:rsidR="00BE5A3C" w:rsidRPr="00283CEC">
        <w:t>ial services and construction,</w:t>
      </w:r>
      <w:r w:rsidR="00807BFD" w:rsidRPr="00283CEC">
        <w:t xml:space="preserve"> </w:t>
      </w:r>
      <w:r w:rsidRPr="00283CEC">
        <w:t xml:space="preserve">are relatively small. The region </w:t>
      </w:r>
      <w:r w:rsidR="002A2FA0" w:rsidRPr="00283CEC">
        <w:t>will need</w:t>
      </w:r>
      <w:r w:rsidRPr="00283CEC">
        <w:t xml:space="preserve"> to </w:t>
      </w:r>
      <w:r w:rsidR="00807BFD" w:rsidRPr="00283CEC">
        <w:t xml:space="preserve">move </w:t>
      </w:r>
      <w:r w:rsidRPr="00283CEC">
        <w:t xml:space="preserve">to a more diverse economy </w:t>
      </w:r>
      <w:r w:rsidR="009715FC" w:rsidRPr="00283CEC">
        <w:t xml:space="preserve">with increased </w:t>
      </w:r>
      <w:r w:rsidRPr="00283CEC">
        <w:t>processing and value-adding</w:t>
      </w:r>
      <w:r w:rsidR="009715FC" w:rsidRPr="00283CEC">
        <w:t xml:space="preserve"> of its natural resources</w:t>
      </w:r>
      <w:r w:rsidR="005C0F0F" w:rsidRPr="00283CEC">
        <w:t xml:space="preserve"> and </w:t>
      </w:r>
      <w:r w:rsidR="00EC22CE" w:rsidRPr="00283CEC">
        <w:t>produce</w:t>
      </w:r>
      <w:r w:rsidR="009715FC" w:rsidRPr="00283CEC">
        <w:t xml:space="preserve"> </w:t>
      </w:r>
      <w:r w:rsidR="001A084F" w:rsidRPr="00283CEC">
        <w:t xml:space="preserve">to </w:t>
      </w:r>
      <w:r w:rsidR="002A2FA0" w:rsidRPr="00283CEC">
        <w:t xml:space="preserve">increase economic resilience and better position the region to adjust to future change. </w:t>
      </w:r>
      <w:r w:rsidR="00807BFD" w:rsidRPr="00283CEC">
        <w:t>There is also a need to further develop</w:t>
      </w:r>
      <w:r w:rsidRPr="00283CEC">
        <w:t xml:space="preserve"> the service and knowledge industry </w:t>
      </w:r>
      <w:r w:rsidR="009715FC" w:rsidRPr="00283CEC">
        <w:t>and optimise regional benefits from the National Broadband Network</w:t>
      </w:r>
      <w:r w:rsidRPr="00283CEC">
        <w:t>.</w:t>
      </w:r>
    </w:p>
    <w:p w:rsidR="000D20A7" w:rsidRPr="00283CEC" w:rsidRDefault="000D20A7" w:rsidP="00FC37BF">
      <w:pPr>
        <w:pStyle w:val="bt"/>
      </w:pPr>
      <w:r w:rsidRPr="00283CEC">
        <w:t>Gippsland</w:t>
      </w:r>
      <w:r w:rsidR="00807BFD" w:rsidRPr="00283CEC">
        <w:t>’s reliance on the economic value of brown coal</w:t>
      </w:r>
      <w:r w:rsidRPr="00283CEC">
        <w:t xml:space="preserve"> has been </w:t>
      </w:r>
      <w:r w:rsidR="000D103A" w:rsidRPr="00283CEC">
        <w:t xml:space="preserve">affected </w:t>
      </w:r>
      <w:r w:rsidRPr="00283CEC">
        <w:t xml:space="preserve">by </w:t>
      </w:r>
      <w:r w:rsidR="00D9712A" w:rsidRPr="00283CEC">
        <w:t>national and global initiatives to reduce greenhouse gas emissions.</w:t>
      </w:r>
      <w:r w:rsidR="00B467BF" w:rsidRPr="00283CEC">
        <w:t xml:space="preserve"> </w:t>
      </w:r>
      <w:r w:rsidRPr="00283CEC">
        <w:t xml:space="preserve">The region will </w:t>
      </w:r>
      <w:r w:rsidR="000D103A" w:rsidRPr="00283CEC">
        <w:t xml:space="preserve">need to </w:t>
      </w:r>
      <w:r w:rsidR="0018220E" w:rsidRPr="00283CEC">
        <w:t xml:space="preserve">invest in innovation and technology to realise opportunities for alternative use of </w:t>
      </w:r>
      <w:r w:rsidRPr="00283CEC">
        <w:t>its brown coal resource based on clean coal technology</w:t>
      </w:r>
      <w:r w:rsidR="0018220E" w:rsidRPr="00283CEC">
        <w:t>, carbon capture and storage,</w:t>
      </w:r>
      <w:r w:rsidRPr="00283CEC">
        <w:t xml:space="preserve"> and </w:t>
      </w:r>
      <w:r w:rsidR="0018220E" w:rsidRPr="00283CEC">
        <w:t xml:space="preserve">other </w:t>
      </w:r>
      <w:r w:rsidRPr="00283CEC">
        <w:t xml:space="preserve">products derived from brown coal such as liquid fuels, fertilisers and </w:t>
      </w:r>
      <w:r w:rsidR="0018220E" w:rsidRPr="00283CEC">
        <w:t>solid fuels.</w:t>
      </w:r>
    </w:p>
    <w:p w:rsidR="000D20A7" w:rsidRPr="00283CEC" w:rsidRDefault="000D20A7" w:rsidP="00FC37BF">
      <w:pPr>
        <w:pStyle w:val="bt"/>
      </w:pPr>
      <w:r w:rsidRPr="00283CEC">
        <w:t>Opportunities have been identified</w:t>
      </w:r>
      <w:r w:rsidR="00BD739C" w:rsidRPr="00283CEC">
        <w:t xml:space="preserve"> to build on existing capabilities</w:t>
      </w:r>
      <w:r w:rsidRPr="00283CEC">
        <w:t xml:space="preserve"> in research and food processing to further enhance Gippsland’s agriculture</w:t>
      </w:r>
      <w:r w:rsidR="00AE1037" w:rsidRPr="00283CEC">
        <w:t xml:space="preserve"> sector</w:t>
      </w:r>
      <w:r w:rsidR="0018220E" w:rsidRPr="00283CEC">
        <w:t xml:space="preserve">. There is potential to harvest </w:t>
      </w:r>
      <w:r w:rsidRPr="00283CEC">
        <w:t>farm and forestry waste</w:t>
      </w:r>
      <w:r w:rsidR="0018220E" w:rsidRPr="00283CEC">
        <w:t xml:space="preserve"> as biomass for use in the production of </w:t>
      </w:r>
      <w:r w:rsidRPr="00283CEC">
        <w:t>biofuels. The region can also build on i</w:t>
      </w:r>
      <w:r w:rsidR="0018220E" w:rsidRPr="00283CEC">
        <w:t>ts manufacturing capabilities</w:t>
      </w:r>
      <w:r w:rsidR="00EC22CE" w:rsidRPr="00283CEC">
        <w:t>,</w:t>
      </w:r>
      <w:r w:rsidR="0018220E" w:rsidRPr="00283CEC">
        <w:t xml:space="preserve"> </w:t>
      </w:r>
      <w:r w:rsidRPr="00283CEC">
        <w:t>particularly in aircraft manufacturing a</w:t>
      </w:r>
      <w:r w:rsidR="0018220E" w:rsidRPr="00283CEC">
        <w:t xml:space="preserve">nd other technical industries, </w:t>
      </w:r>
      <w:r w:rsidRPr="00283CEC">
        <w:t xml:space="preserve">and can further develop its tourism industry </w:t>
      </w:r>
      <w:r w:rsidR="0018220E" w:rsidRPr="00283CEC">
        <w:t xml:space="preserve">by building on opportunities from </w:t>
      </w:r>
      <w:r w:rsidR="00BD739C" w:rsidRPr="00283CEC">
        <w:t>environmental</w:t>
      </w:r>
      <w:r w:rsidRPr="00283CEC">
        <w:t xml:space="preserve"> assets such as </w:t>
      </w:r>
      <w:r w:rsidR="0018220E" w:rsidRPr="00283CEC">
        <w:t xml:space="preserve">the </w:t>
      </w:r>
      <w:r w:rsidRPr="00283CEC">
        <w:t xml:space="preserve">Gippsland Lakes, Wilsons Promontory, the </w:t>
      </w:r>
      <w:r w:rsidR="00320231" w:rsidRPr="00283CEC">
        <w:t xml:space="preserve">Australian </w:t>
      </w:r>
      <w:r w:rsidRPr="00283CEC">
        <w:t>Alps and Phillip Island.</w:t>
      </w:r>
    </w:p>
    <w:p w:rsidR="00BC2F76" w:rsidRPr="00283CEC" w:rsidRDefault="00BC2F76" w:rsidP="00FC37BF">
      <w:pPr>
        <w:pStyle w:val="bt"/>
      </w:pPr>
      <w:r w:rsidRPr="00283CEC">
        <w:t>It will be important to ensure an adequate s</w:t>
      </w:r>
      <w:r w:rsidR="00404DE9" w:rsidRPr="00283CEC">
        <w:t xml:space="preserve">upply of land for urban growth, </w:t>
      </w:r>
      <w:r w:rsidRPr="00283CEC">
        <w:t>including industr</w:t>
      </w:r>
      <w:r w:rsidR="00EC22CE" w:rsidRPr="00283CEC">
        <w:t>ial</w:t>
      </w:r>
      <w:r w:rsidR="00404DE9" w:rsidRPr="00283CEC">
        <w:t xml:space="preserve"> and employment areas,</w:t>
      </w:r>
      <w:r w:rsidRPr="00283CEC">
        <w:t xml:space="preserve"> and </w:t>
      </w:r>
      <w:r w:rsidR="00EC22CE" w:rsidRPr="00283CEC">
        <w:t xml:space="preserve">to ensure </w:t>
      </w:r>
      <w:r w:rsidRPr="00283CEC">
        <w:t>that infrastructure has the capacity to support and attract new investment across existing and emerging industry sectors.</w:t>
      </w:r>
    </w:p>
    <w:p w:rsidR="000D20A7" w:rsidRPr="00283CEC" w:rsidRDefault="0018220E" w:rsidP="00FC37BF">
      <w:pPr>
        <w:pStyle w:val="bt"/>
      </w:pPr>
      <w:r w:rsidRPr="00283CEC">
        <w:t xml:space="preserve">State initiatives </w:t>
      </w:r>
      <w:r w:rsidR="000D20A7" w:rsidRPr="00283CEC">
        <w:t xml:space="preserve">such as the </w:t>
      </w:r>
      <w:r w:rsidR="004C37A2" w:rsidRPr="00283CEC">
        <w:t>Latrobe Valley Industry and Employment Roadmap</w:t>
      </w:r>
      <w:r w:rsidR="000D20A7" w:rsidRPr="00283CEC">
        <w:t xml:space="preserve"> and </w:t>
      </w:r>
      <w:r w:rsidRPr="00283CEC">
        <w:t>regional projects</w:t>
      </w:r>
      <w:r w:rsidR="00EC22CE" w:rsidRPr="00283CEC">
        <w:t>,</w:t>
      </w:r>
      <w:r w:rsidRPr="00283CEC">
        <w:t xml:space="preserve"> such as </w:t>
      </w:r>
      <w:r w:rsidR="000D20A7" w:rsidRPr="00283CEC">
        <w:t xml:space="preserve">the </w:t>
      </w:r>
      <w:r w:rsidR="004C37A2" w:rsidRPr="00283CEC">
        <w:t>Gippsland Food Plan</w:t>
      </w:r>
      <w:r w:rsidR="00EC22CE" w:rsidRPr="00283CEC">
        <w:t>,</w:t>
      </w:r>
      <w:r w:rsidRPr="00283CEC">
        <w:t xml:space="preserve"> </w:t>
      </w:r>
      <w:r w:rsidR="009B0C52" w:rsidRPr="00283CEC">
        <w:t>outline further actions to realise these opportunities.</w:t>
      </w:r>
    </w:p>
    <w:p w:rsidR="000D20A7" w:rsidRPr="00283CEC" w:rsidRDefault="000D20A7" w:rsidP="00CC3A69">
      <w:pPr>
        <w:pStyle w:val="Heading4"/>
      </w:pPr>
      <w:r w:rsidRPr="00283CEC">
        <w:t xml:space="preserve">Population </w:t>
      </w:r>
      <w:r w:rsidR="009B0C52" w:rsidRPr="00283CEC">
        <w:t>g</w:t>
      </w:r>
      <w:r w:rsidRPr="00283CEC">
        <w:t>rowth</w:t>
      </w:r>
    </w:p>
    <w:p w:rsidR="007164DA" w:rsidRPr="00283CEC" w:rsidRDefault="004E2B2C" w:rsidP="00FC37BF">
      <w:pPr>
        <w:pStyle w:val="bt"/>
      </w:pPr>
      <w:r w:rsidRPr="00283CEC">
        <w:t>Current projections indicate that</w:t>
      </w:r>
      <w:r w:rsidR="00404DE9" w:rsidRPr="00283CEC">
        <w:t xml:space="preserve"> by 2041</w:t>
      </w:r>
      <w:r w:rsidRPr="00283CEC">
        <w:t xml:space="preserve"> the Gippsland region is expected to grow by </w:t>
      </w:r>
      <w:r w:rsidR="005C0F0F" w:rsidRPr="00283CEC">
        <w:t>116</w:t>
      </w:r>
      <w:r w:rsidRPr="00283CEC">
        <w:t>,</w:t>
      </w:r>
      <w:r w:rsidR="005C0F0F" w:rsidRPr="00283CEC">
        <w:t xml:space="preserve">000 </w:t>
      </w:r>
      <w:r w:rsidRPr="00283CEC">
        <w:t xml:space="preserve">to reach a total population </w:t>
      </w:r>
      <w:r w:rsidR="004105A3" w:rsidRPr="00283CEC">
        <w:t>of 386,000 (</w:t>
      </w:r>
      <w:r w:rsidR="003C3B80" w:rsidRPr="00283CEC">
        <w:t>Victoria in Future</w:t>
      </w:r>
      <w:r w:rsidR="00A139E5" w:rsidRPr="00283CEC">
        <w:t>,</w:t>
      </w:r>
      <w:r w:rsidR="003C3B80" w:rsidRPr="00283CEC">
        <w:t xml:space="preserve"> 2012 </w:t>
      </w:r>
      <w:r w:rsidR="004105A3" w:rsidRPr="00283CEC">
        <w:t>population projections, unpublished, 2012).</w:t>
      </w:r>
      <w:r w:rsidR="000D20A7" w:rsidRPr="00283CEC">
        <w:t xml:space="preserve"> Th</w:t>
      </w:r>
      <w:r w:rsidR="007164DA" w:rsidRPr="00283CEC">
        <w:t xml:space="preserve">e projected growth </w:t>
      </w:r>
      <w:r w:rsidR="000D20A7" w:rsidRPr="00283CEC">
        <w:t>rate of 1.</w:t>
      </w:r>
      <w:r w:rsidR="008915EB" w:rsidRPr="00283CEC">
        <w:t>19</w:t>
      </w:r>
      <w:r w:rsidR="00667225" w:rsidRPr="00283CEC">
        <w:t xml:space="preserve"> per cent</w:t>
      </w:r>
      <w:r w:rsidR="000D20A7" w:rsidRPr="00283CEC">
        <w:t xml:space="preserve"> p</w:t>
      </w:r>
      <w:r w:rsidR="007164DA" w:rsidRPr="00283CEC">
        <w:t xml:space="preserve">er </w:t>
      </w:r>
      <w:r w:rsidR="000D20A7" w:rsidRPr="00283CEC">
        <w:t>a</w:t>
      </w:r>
      <w:r w:rsidR="007164DA" w:rsidRPr="00283CEC">
        <w:t>nnum</w:t>
      </w:r>
      <w:r w:rsidR="000D20A7" w:rsidRPr="00283CEC">
        <w:t xml:space="preserve"> is similar to </w:t>
      </w:r>
      <w:r w:rsidR="00EC22CE" w:rsidRPr="00283CEC">
        <w:t xml:space="preserve">other </w:t>
      </w:r>
      <w:r w:rsidR="000D20A7" w:rsidRPr="00283CEC">
        <w:t xml:space="preserve">growth rates </w:t>
      </w:r>
      <w:r w:rsidR="007164DA" w:rsidRPr="00283CEC">
        <w:t xml:space="preserve">across </w:t>
      </w:r>
      <w:r w:rsidR="000D20A7" w:rsidRPr="00283CEC">
        <w:t xml:space="preserve">regional Victoria, </w:t>
      </w:r>
      <w:r w:rsidR="007164DA" w:rsidRPr="00283CEC">
        <w:t>but is higher than historical rates of growth for the region (</w:t>
      </w:r>
      <w:r w:rsidR="00667225" w:rsidRPr="00283CEC">
        <w:t xml:space="preserve">one per </w:t>
      </w:r>
      <w:r w:rsidR="007B4368" w:rsidRPr="00283CEC">
        <w:t xml:space="preserve">cent </w:t>
      </w:r>
      <w:r w:rsidR="007B4368" w:rsidRPr="00283CEC" w:rsidDel="00667225">
        <w:t>growth</w:t>
      </w:r>
      <w:r w:rsidR="000D20A7" w:rsidRPr="00283CEC">
        <w:t xml:space="preserve"> rate achieved since 1996</w:t>
      </w:r>
      <w:r w:rsidR="007164DA" w:rsidRPr="00283CEC">
        <w:t>)</w:t>
      </w:r>
      <w:r w:rsidR="000D20A7" w:rsidRPr="00283CEC">
        <w:t xml:space="preserve">. </w:t>
      </w:r>
      <w:r w:rsidR="007164DA" w:rsidRPr="00283CEC">
        <w:t>The total number of</w:t>
      </w:r>
      <w:r w:rsidR="00EC22CE" w:rsidRPr="00283CEC">
        <w:t xml:space="preserve"> additional people </w:t>
      </w:r>
      <w:r w:rsidR="007164DA" w:rsidRPr="00283CEC">
        <w:t xml:space="preserve">will be significantly higher than the </w:t>
      </w:r>
      <w:r w:rsidR="000D20A7" w:rsidRPr="00283CEC">
        <w:t>60,000</w:t>
      </w:r>
      <w:r w:rsidR="007164DA" w:rsidRPr="00283CEC">
        <w:t xml:space="preserve"> </w:t>
      </w:r>
      <w:r w:rsidR="00EC22CE" w:rsidRPr="00283CEC">
        <w:t>people</w:t>
      </w:r>
      <w:r w:rsidR="00373FF3" w:rsidRPr="00283CEC">
        <w:t xml:space="preserve"> added to the region </w:t>
      </w:r>
      <w:r w:rsidR="000D20A7" w:rsidRPr="00283CEC">
        <w:t xml:space="preserve">over the previous 30 years.  </w:t>
      </w:r>
    </w:p>
    <w:p w:rsidR="000D20A7" w:rsidRPr="00283CEC" w:rsidRDefault="000D20A7" w:rsidP="00FC37BF">
      <w:pPr>
        <w:pStyle w:val="bt"/>
      </w:pPr>
      <w:r w:rsidRPr="00283CEC">
        <w:t xml:space="preserve">Population growth will not </w:t>
      </w:r>
      <w:r w:rsidR="007164DA" w:rsidRPr="00283CEC">
        <w:t>occur e</w:t>
      </w:r>
      <w:r w:rsidRPr="00283CEC">
        <w:t xml:space="preserve">venly across the region, with most of the region’s growth </w:t>
      </w:r>
      <w:r w:rsidR="007164DA" w:rsidRPr="00283CEC">
        <w:t xml:space="preserve">focused on </w:t>
      </w:r>
      <w:r w:rsidRPr="00283CEC">
        <w:t xml:space="preserve">Traralgon, Bairnsdale, Wonthaggi, Warragul and Drouin. Places closest to Melbourne are expected to grow fastest with Bass Coast and Baw </w:t>
      </w:r>
      <w:proofErr w:type="spellStart"/>
      <w:r w:rsidRPr="00283CEC">
        <w:t>Baw</w:t>
      </w:r>
      <w:proofErr w:type="spellEnd"/>
      <w:r w:rsidRPr="00283CEC">
        <w:t xml:space="preserve"> </w:t>
      </w:r>
      <w:r w:rsidR="005C0F0F" w:rsidRPr="00283CEC">
        <w:t xml:space="preserve">shires </w:t>
      </w:r>
      <w:r w:rsidRPr="00283CEC">
        <w:t>forecast to grow by 2.2</w:t>
      </w:r>
      <w:r w:rsidR="007B684F" w:rsidRPr="00283CEC">
        <w:t xml:space="preserve"> per cent </w:t>
      </w:r>
      <w:r w:rsidRPr="00283CEC">
        <w:t>and 1.7</w:t>
      </w:r>
      <w:r w:rsidR="007B684F" w:rsidRPr="00283CEC">
        <w:t xml:space="preserve"> per cent</w:t>
      </w:r>
      <w:r w:rsidR="00C020AD" w:rsidRPr="00283CEC">
        <w:t>,</w:t>
      </w:r>
      <w:r w:rsidR="007B684F" w:rsidRPr="00283CEC">
        <w:t xml:space="preserve"> </w:t>
      </w:r>
      <w:r w:rsidRPr="00283CEC">
        <w:t>respectively</w:t>
      </w:r>
      <w:r w:rsidR="00C020AD" w:rsidRPr="00283CEC">
        <w:t>,</w:t>
      </w:r>
      <w:r w:rsidRPr="00283CEC">
        <w:t xml:space="preserve"> with their </w:t>
      </w:r>
      <w:r w:rsidR="007164DA" w:rsidRPr="00283CEC">
        <w:t xml:space="preserve">population </w:t>
      </w:r>
      <w:r w:rsidRPr="00283CEC">
        <w:t>dr</w:t>
      </w:r>
      <w:r w:rsidR="007164DA" w:rsidRPr="00283CEC">
        <w:t xml:space="preserve">iven by the continuing growth </w:t>
      </w:r>
      <w:r w:rsidR="00EC22CE" w:rsidRPr="00283CEC">
        <w:t xml:space="preserve">of </w:t>
      </w:r>
      <w:r w:rsidRPr="00283CEC">
        <w:t xml:space="preserve">Melbourne’s </w:t>
      </w:r>
      <w:r w:rsidR="007164DA" w:rsidRPr="00283CEC">
        <w:t>s</w:t>
      </w:r>
      <w:r w:rsidRPr="00283CEC">
        <w:t>outh</w:t>
      </w:r>
      <w:r w:rsidR="00C020AD" w:rsidRPr="00283CEC">
        <w:t xml:space="preserve"> </w:t>
      </w:r>
      <w:r w:rsidR="007164DA" w:rsidRPr="00283CEC">
        <w:t>e</w:t>
      </w:r>
      <w:r w:rsidRPr="00283CEC">
        <w:t>ast</w:t>
      </w:r>
      <w:r w:rsidR="007164DA" w:rsidRPr="00283CEC">
        <w:t xml:space="preserve"> </w:t>
      </w:r>
      <w:r w:rsidRPr="00283CEC">
        <w:t xml:space="preserve">and development of the Cardinia Employment Corridor. Higher growth rates can generate employment and economic benefits but can also </w:t>
      </w:r>
      <w:r w:rsidR="007164DA" w:rsidRPr="00283CEC">
        <w:t>create pressure</w:t>
      </w:r>
      <w:r w:rsidRPr="00283CEC">
        <w:t xml:space="preserve"> on infrastructure such as roads, trains, water and sewerage and some communities may be resistant to such growth.  </w:t>
      </w:r>
    </w:p>
    <w:p w:rsidR="000D20A7" w:rsidRPr="00283CEC" w:rsidRDefault="007164DA" w:rsidP="00FC37BF">
      <w:pPr>
        <w:pStyle w:val="bt"/>
      </w:pPr>
      <w:r w:rsidRPr="00283CEC">
        <w:t xml:space="preserve">Some areas </w:t>
      </w:r>
      <w:r w:rsidR="000D20A7" w:rsidRPr="00283CEC">
        <w:t xml:space="preserve">such as small and remote settlements will experience only slow or stable growth. In these areas, planning will need to focus on how these communities can </w:t>
      </w:r>
      <w:r w:rsidRPr="00283CEC">
        <w:t xml:space="preserve">retain and improve access </w:t>
      </w:r>
      <w:r w:rsidR="000D20A7" w:rsidRPr="00283CEC">
        <w:t xml:space="preserve">to necessary health, education and </w:t>
      </w:r>
      <w:r w:rsidRPr="00283CEC">
        <w:t xml:space="preserve">commercial </w:t>
      </w:r>
      <w:r w:rsidR="000D20A7" w:rsidRPr="00283CEC">
        <w:t>services</w:t>
      </w:r>
      <w:r w:rsidRPr="00283CEC">
        <w:t>. Flexible and adaptable service deliver</w:t>
      </w:r>
      <w:r w:rsidR="00AE1037" w:rsidRPr="00283CEC">
        <w:t>y</w:t>
      </w:r>
      <w:r w:rsidRPr="00283CEC">
        <w:t xml:space="preserve">, </w:t>
      </w:r>
      <w:r w:rsidR="000D20A7" w:rsidRPr="00283CEC">
        <w:t>community transport and</w:t>
      </w:r>
      <w:r w:rsidRPr="00283CEC">
        <w:t xml:space="preserve"> mobile services such as </w:t>
      </w:r>
      <w:r w:rsidR="00EC22CE" w:rsidRPr="00283CEC">
        <w:t>b</w:t>
      </w:r>
      <w:r w:rsidRPr="00283CEC">
        <w:t xml:space="preserve">ush </w:t>
      </w:r>
      <w:r w:rsidR="00EC22CE" w:rsidRPr="00283CEC">
        <w:t>n</w:t>
      </w:r>
      <w:r w:rsidRPr="00283CEC">
        <w:t xml:space="preserve">ursing </w:t>
      </w:r>
      <w:r w:rsidR="00EC22CE" w:rsidRPr="00283CEC">
        <w:t>c</w:t>
      </w:r>
      <w:r w:rsidRPr="00283CEC">
        <w:t xml:space="preserve">entres will be part of the response needed </w:t>
      </w:r>
      <w:r w:rsidR="006B23F6" w:rsidRPr="00283CEC">
        <w:t>to maintain service levels for small and remote communities.</w:t>
      </w:r>
    </w:p>
    <w:p w:rsidR="000D20A7" w:rsidRPr="00283CEC" w:rsidRDefault="000D20A7" w:rsidP="00CC3A69">
      <w:pPr>
        <w:pStyle w:val="Heading4"/>
      </w:pPr>
      <w:r w:rsidRPr="00283CEC">
        <w:t xml:space="preserve">An </w:t>
      </w:r>
      <w:r w:rsidR="00D41D71" w:rsidRPr="00283CEC">
        <w:t>a</w:t>
      </w:r>
      <w:r w:rsidRPr="00283CEC">
        <w:t xml:space="preserve">geing </w:t>
      </w:r>
      <w:r w:rsidR="00D41D71" w:rsidRPr="00283CEC">
        <w:t>p</w:t>
      </w:r>
      <w:r w:rsidRPr="00283CEC">
        <w:t>opulation</w:t>
      </w:r>
    </w:p>
    <w:p w:rsidR="000D20A7" w:rsidRPr="00283CEC" w:rsidRDefault="000F494D" w:rsidP="00FC37BF">
      <w:pPr>
        <w:pStyle w:val="bt"/>
      </w:pPr>
      <w:r w:rsidRPr="00283CEC">
        <w:t xml:space="preserve">Similar to much of regional Victoria, </w:t>
      </w:r>
      <w:r w:rsidR="000D20A7" w:rsidRPr="00283CEC">
        <w:t>Gippsland</w:t>
      </w:r>
      <w:r w:rsidRPr="00283CEC">
        <w:t>’s population</w:t>
      </w:r>
      <w:r w:rsidR="000D20A7" w:rsidRPr="00283CEC">
        <w:t xml:space="preserve"> is </w:t>
      </w:r>
      <w:r w:rsidRPr="00283CEC">
        <w:t xml:space="preserve">projected to </w:t>
      </w:r>
      <w:r w:rsidR="00EC22CE" w:rsidRPr="00283CEC">
        <w:t xml:space="preserve">age over the next </w:t>
      </w:r>
      <w:r w:rsidR="00C762F1" w:rsidRPr="00283CEC">
        <w:t>30 years</w:t>
      </w:r>
      <w:r w:rsidRPr="00283CEC">
        <w:t xml:space="preserve">. </w:t>
      </w:r>
      <w:r w:rsidR="000D20A7" w:rsidRPr="00283CEC">
        <w:t xml:space="preserve">The proportion of </w:t>
      </w:r>
      <w:r w:rsidR="00FA717F" w:rsidRPr="00283CEC">
        <w:t xml:space="preserve">people </w:t>
      </w:r>
      <w:r w:rsidR="000D20A7" w:rsidRPr="00283CEC">
        <w:t xml:space="preserve">aged 65 or </w:t>
      </w:r>
      <w:r w:rsidR="00FA717F" w:rsidRPr="00283CEC">
        <w:t>over</w:t>
      </w:r>
      <w:r w:rsidR="000D20A7" w:rsidRPr="00283CEC">
        <w:t xml:space="preserve"> is forecast to increase from 18</w:t>
      </w:r>
      <w:r w:rsidR="007B684F" w:rsidRPr="00283CEC">
        <w:t xml:space="preserve"> per cent</w:t>
      </w:r>
      <w:r w:rsidR="000D20A7" w:rsidRPr="00283CEC">
        <w:t xml:space="preserve"> to</w:t>
      </w:r>
      <w:r w:rsidRPr="00283CEC">
        <w:t xml:space="preserve"> 30</w:t>
      </w:r>
      <w:r w:rsidR="007B684F" w:rsidRPr="00283CEC">
        <w:t xml:space="preserve"> per cent</w:t>
      </w:r>
      <w:r w:rsidR="00404DE9" w:rsidRPr="00283CEC">
        <w:t xml:space="preserve"> over the next 30 years </w:t>
      </w:r>
      <w:r w:rsidRPr="00283CEC">
        <w:t xml:space="preserve">compared to </w:t>
      </w:r>
      <w:r w:rsidR="000D20A7" w:rsidRPr="00283CEC">
        <w:t>12</w:t>
      </w:r>
      <w:r w:rsidR="007B684F" w:rsidRPr="00283CEC">
        <w:t xml:space="preserve"> per cent </w:t>
      </w:r>
      <w:r w:rsidR="000D20A7" w:rsidRPr="00283CEC">
        <w:t xml:space="preserve">of the population in 1996. This has implications for health and social </w:t>
      </w:r>
      <w:r w:rsidR="00FA717F" w:rsidRPr="00283CEC">
        <w:t xml:space="preserve">services </w:t>
      </w:r>
      <w:r w:rsidR="000D20A7" w:rsidRPr="00283CEC">
        <w:t>as well as leisure and cultural services</w:t>
      </w:r>
      <w:r w:rsidRPr="00283CEC">
        <w:t xml:space="preserve">. There are </w:t>
      </w:r>
      <w:r w:rsidR="000D20A7" w:rsidRPr="00283CEC">
        <w:t>also implications for housing preferences</w:t>
      </w:r>
      <w:r w:rsidRPr="00283CEC">
        <w:t xml:space="preserve">, with </w:t>
      </w:r>
      <w:r w:rsidR="005C0F0F" w:rsidRPr="00283CEC">
        <w:t>84</w:t>
      </w:r>
      <w:r w:rsidR="007B684F" w:rsidRPr="00283CEC">
        <w:t xml:space="preserve"> per cent</w:t>
      </w:r>
      <w:r w:rsidR="000D20A7" w:rsidRPr="00283CEC">
        <w:t xml:space="preserve"> of future h</w:t>
      </w:r>
      <w:r w:rsidRPr="00283CEC">
        <w:t xml:space="preserve">ousehold growth to </w:t>
      </w:r>
      <w:r w:rsidR="000D20A7" w:rsidRPr="00283CEC">
        <w:t>be from households with one pers</w:t>
      </w:r>
      <w:r w:rsidRPr="00283CEC">
        <w:t xml:space="preserve">on or couples without children. The local government areas of </w:t>
      </w:r>
      <w:r w:rsidR="000D20A7" w:rsidRPr="00283CEC">
        <w:t>East Gippsland, Bass Coast and South Gippsland are forecast to have pa</w:t>
      </w:r>
      <w:r w:rsidRPr="00283CEC">
        <w:t xml:space="preserve">rticularly high levels of </w:t>
      </w:r>
      <w:r w:rsidR="00FA717F" w:rsidRPr="00283CEC">
        <w:t xml:space="preserve">people </w:t>
      </w:r>
      <w:r w:rsidR="000D20A7" w:rsidRPr="00283CEC">
        <w:t>aged 65</w:t>
      </w:r>
      <w:r w:rsidRPr="00283CEC">
        <w:t xml:space="preserve"> and over.</w:t>
      </w:r>
      <w:r w:rsidR="00D41D71" w:rsidRPr="00283CEC">
        <w:t xml:space="preserve"> A related challenge for the region is to attract and retain younger </w:t>
      </w:r>
      <w:r w:rsidR="00FA717F" w:rsidRPr="00283CEC">
        <w:t xml:space="preserve">people </w:t>
      </w:r>
      <w:r w:rsidR="00E950E7" w:rsidRPr="00283CEC">
        <w:t>who leave the region for education and employment opportunities in Melbourne.</w:t>
      </w:r>
    </w:p>
    <w:p w:rsidR="000D20A7" w:rsidRPr="00283CEC" w:rsidRDefault="00EE2881" w:rsidP="00CC3A69">
      <w:pPr>
        <w:pStyle w:val="Heading4"/>
      </w:pPr>
      <w:r w:rsidRPr="00283CEC">
        <w:t>Natural hazards and c</w:t>
      </w:r>
      <w:r w:rsidR="000D20A7" w:rsidRPr="00283CEC">
        <w:t xml:space="preserve">limate </w:t>
      </w:r>
      <w:r w:rsidR="005E7F48" w:rsidRPr="00283CEC">
        <w:t>c</w:t>
      </w:r>
      <w:r w:rsidR="000D20A7" w:rsidRPr="00283CEC">
        <w:t>hange</w:t>
      </w:r>
      <w:r w:rsidR="005E7F48" w:rsidRPr="00283CEC">
        <w:t xml:space="preserve"> </w:t>
      </w:r>
    </w:p>
    <w:p w:rsidR="00E950E7" w:rsidRPr="00283CEC" w:rsidRDefault="000D20A7" w:rsidP="00FC37BF">
      <w:pPr>
        <w:pStyle w:val="bt"/>
      </w:pPr>
      <w:r w:rsidRPr="00283CEC">
        <w:t xml:space="preserve">Significant areas of Gippsland are at risk from </w:t>
      </w:r>
      <w:r w:rsidR="007D6953" w:rsidRPr="00283CEC">
        <w:t xml:space="preserve">natural hazards including </w:t>
      </w:r>
      <w:r w:rsidR="00FF3565" w:rsidRPr="00283CEC">
        <w:t>flood</w:t>
      </w:r>
      <w:r w:rsidR="00EE2881" w:rsidRPr="00283CEC">
        <w:t>,</w:t>
      </w:r>
      <w:r w:rsidR="00B467BF" w:rsidRPr="00283CEC">
        <w:t xml:space="preserve"> </w:t>
      </w:r>
      <w:r w:rsidR="00FF3565" w:rsidRPr="00283CEC">
        <w:t>bushfire</w:t>
      </w:r>
      <w:r w:rsidR="00EE2881" w:rsidRPr="00283CEC">
        <w:t xml:space="preserve"> and sea level rise</w:t>
      </w:r>
      <w:r w:rsidR="007D6953" w:rsidRPr="00283CEC">
        <w:t>.</w:t>
      </w:r>
      <w:r w:rsidRPr="00283CEC">
        <w:t xml:space="preserve"> The</w:t>
      </w:r>
      <w:r w:rsidR="007D6953" w:rsidRPr="00283CEC">
        <w:t>re is the potentia</w:t>
      </w:r>
      <w:r w:rsidR="00296762" w:rsidRPr="00283CEC">
        <w:t>l for loss of property and life</w:t>
      </w:r>
      <w:r w:rsidR="007D6953" w:rsidRPr="00283CEC">
        <w:t xml:space="preserve"> where settlement and infrastructure intersect with high risk areas. </w:t>
      </w:r>
      <w:r w:rsidR="00E950E7" w:rsidRPr="00283CEC">
        <w:t xml:space="preserve">There are particular challenges for small and remote communities in </w:t>
      </w:r>
      <w:r w:rsidR="00EE2881" w:rsidRPr="00283CEC">
        <w:t xml:space="preserve">avoiding </w:t>
      </w:r>
      <w:r w:rsidR="00B64000" w:rsidRPr="00283CEC">
        <w:t xml:space="preserve">natural </w:t>
      </w:r>
      <w:r w:rsidR="00EE2881" w:rsidRPr="00283CEC">
        <w:t xml:space="preserve">hazards and </w:t>
      </w:r>
      <w:r w:rsidR="00E950E7" w:rsidRPr="00283CEC">
        <w:t xml:space="preserve">building resilience and </w:t>
      </w:r>
      <w:r w:rsidR="00EE2881" w:rsidRPr="00283CEC">
        <w:t xml:space="preserve">capacity to </w:t>
      </w:r>
      <w:r w:rsidR="00E950E7" w:rsidRPr="00283CEC">
        <w:t>respond to emergencies</w:t>
      </w:r>
      <w:r w:rsidR="005B57B2" w:rsidRPr="00283CEC">
        <w:t xml:space="preserve">, as well as </w:t>
      </w:r>
      <w:r w:rsidR="00973F04" w:rsidRPr="00283CEC">
        <w:t xml:space="preserve">providing </w:t>
      </w:r>
      <w:r w:rsidR="005B57B2" w:rsidRPr="00283CEC">
        <w:t>for suitable development around the fringes of some larger settlements</w:t>
      </w:r>
      <w:r w:rsidR="00E950E7" w:rsidRPr="00283CEC">
        <w:t xml:space="preserve">. Transport and communication networks will be increasingly important as part of the management and response to </w:t>
      </w:r>
      <w:r w:rsidR="00B64000" w:rsidRPr="00283CEC">
        <w:t xml:space="preserve">natural </w:t>
      </w:r>
      <w:r w:rsidR="00E950E7" w:rsidRPr="00283CEC">
        <w:t>hazards and extreme events.</w:t>
      </w:r>
    </w:p>
    <w:p w:rsidR="000D20A7" w:rsidRPr="00283CEC" w:rsidRDefault="00296762" w:rsidP="00FC37BF">
      <w:pPr>
        <w:pStyle w:val="bt"/>
      </w:pPr>
      <w:r w:rsidRPr="00283CEC">
        <w:t xml:space="preserve">Climate change projections </w:t>
      </w:r>
      <w:r w:rsidR="000D20A7" w:rsidRPr="00283CEC">
        <w:t xml:space="preserve">for Victoria are for temperature increases within the range of </w:t>
      </w:r>
      <w:r w:rsidR="007E7EBC" w:rsidRPr="00283CEC">
        <w:t>0.6</w:t>
      </w:r>
      <w:r w:rsidR="00B515F4" w:rsidRPr="00283CEC">
        <w:t>°</w:t>
      </w:r>
      <w:r w:rsidR="000661C8" w:rsidRPr="00283CEC">
        <w:t>C</w:t>
      </w:r>
      <w:r w:rsidR="00B515F4" w:rsidRPr="00283CEC">
        <w:t xml:space="preserve"> to </w:t>
      </w:r>
      <w:r w:rsidR="00BE5A3C" w:rsidRPr="00283CEC">
        <w:t>1.3°</w:t>
      </w:r>
      <w:r w:rsidR="00133573" w:rsidRPr="00283CEC">
        <w:t>C</w:t>
      </w:r>
      <w:r w:rsidR="007E7EBC" w:rsidRPr="00283CEC">
        <w:t xml:space="preserve"> by 2030 (relative to 1990) and between </w:t>
      </w:r>
      <w:r w:rsidR="000D20A7" w:rsidRPr="00283CEC">
        <w:t>1</w:t>
      </w:r>
      <w:r w:rsidR="00B515F4" w:rsidRPr="00283CEC">
        <w:t>°</w:t>
      </w:r>
      <w:r w:rsidR="000661C8" w:rsidRPr="00283CEC">
        <w:t>C</w:t>
      </w:r>
      <w:r w:rsidR="00B515F4" w:rsidRPr="00283CEC">
        <w:t xml:space="preserve"> </w:t>
      </w:r>
      <w:r w:rsidR="00BB6CA4">
        <w:t>and</w:t>
      </w:r>
      <w:r w:rsidR="00BB6CA4" w:rsidRPr="00283CEC">
        <w:t xml:space="preserve"> </w:t>
      </w:r>
      <w:r w:rsidR="00BE5A3C" w:rsidRPr="00283CEC">
        <w:t>4.2°</w:t>
      </w:r>
      <w:r w:rsidR="000E16F7" w:rsidRPr="00283CEC">
        <w:t>C</w:t>
      </w:r>
      <w:r w:rsidR="00A94ECF" w:rsidRPr="00283CEC">
        <w:t xml:space="preserve"> by</w:t>
      </w:r>
      <w:r w:rsidR="000D20A7" w:rsidRPr="00283CEC">
        <w:t xml:space="preserve"> 2070 </w:t>
      </w:r>
      <w:r w:rsidR="007E7EBC" w:rsidRPr="00283CEC">
        <w:t xml:space="preserve">(depending on the amount of carbon in the atmosphere). Average rainfall is likely to decrease, mainly in winter, </w:t>
      </w:r>
      <w:r w:rsidR="007B684F" w:rsidRPr="00283CEC">
        <w:t>al</w:t>
      </w:r>
      <w:r w:rsidR="007E7EBC" w:rsidRPr="00283CEC">
        <w:t>though there is still likely to be multi-year wet periods</w:t>
      </w:r>
      <w:r w:rsidR="000D20A7" w:rsidRPr="00283CEC">
        <w:t xml:space="preserve">. </w:t>
      </w:r>
      <w:r w:rsidR="007E7EBC" w:rsidRPr="00283CEC">
        <w:t>A sea level rise of 0.5</w:t>
      </w:r>
      <w:r w:rsidR="00286614" w:rsidRPr="00283CEC">
        <w:t>–</w:t>
      </w:r>
      <w:r w:rsidR="007E7EBC" w:rsidRPr="00283CEC">
        <w:t xml:space="preserve">1.1 metres is possible by 2100 and it is anticipated that by 2050, areas that experience at least one day of snow cover will be reduced by </w:t>
      </w:r>
      <w:r w:rsidR="00596300" w:rsidRPr="00283CEC">
        <w:t xml:space="preserve">around </w:t>
      </w:r>
      <w:r w:rsidR="007E7EBC" w:rsidRPr="00283CEC">
        <w:t>22</w:t>
      </w:r>
      <w:r w:rsidR="007B684F" w:rsidRPr="00283CEC">
        <w:t xml:space="preserve"> per cent</w:t>
      </w:r>
      <w:r w:rsidR="007E7EBC" w:rsidRPr="00283CEC">
        <w:t>. A</w:t>
      </w:r>
      <w:r w:rsidR="000D20A7" w:rsidRPr="00283CEC">
        <w:t xml:space="preserve">n increased risk of extreme </w:t>
      </w:r>
      <w:r w:rsidR="00945E24" w:rsidRPr="00283CEC">
        <w:t>weather events and natural</w:t>
      </w:r>
      <w:r w:rsidR="000D20A7" w:rsidRPr="00283CEC">
        <w:t xml:space="preserve"> hazards </w:t>
      </w:r>
      <w:r w:rsidR="00596300" w:rsidRPr="00283CEC">
        <w:t xml:space="preserve">is predicted </w:t>
      </w:r>
      <w:r w:rsidR="000D20A7" w:rsidRPr="00283CEC">
        <w:t xml:space="preserve">such as </w:t>
      </w:r>
      <w:r w:rsidR="00FF3565" w:rsidRPr="00283CEC">
        <w:t>flood</w:t>
      </w:r>
      <w:r w:rsidR="0069797C" w:rsidRPr="00283CEC">
        <w:t>,</w:t>
      </w:r>
      <w:r w:rsidR="0027228F" w:rsidRPr="00283CEC">
        <w:t xml:space="preserve"> coastal</w:t>
      </w:r>
      <w:r w:rsidR="0069797C" w:rsidRPr="00283CEC">
        <w:t xml:space="preserve"> erosion</w:t>
      </w:r>
      <w:r w:rsidR="007E7EBC" w:rsidRPr="00283CEC">
        <w:t>, storm tide events</w:t>
      </w:r>
      <w:r w:rsidR="000D20A7" w:rsidRPr="00283CEC">
        <w:t xml:space="preserve"> and </w:t>
      </w:r>
      <w:r w:rsidR="00FF3565" w:rsidRPr="00283CEC">
        <w:t>bushfire</w:t>
      </w:r>
      <w:r w:rsidR="000D20A7" w:rsidRPr="00283CEC">
        <w:t xml:space="preserve">. There </w:t>
      </w:r>
      <w:r w:rsidR="00596300" w:rsidRPr="00283CEC">
        <w:t xml:space="preserve">is also the </w:t>
      </w:r>
      <w:r w:rsidR="00945E24" w:rsidRPr="00283CEC">
        <w:t xml:space="preserve">potential </w:t>
      </w:r>
      <w:r w:rsidR="00596300" w:rsidRPr="00283CEC">
        <w:t xml:space="preserve">over the next 30 years for </w:t>
      </w:r>
      <w:r w:rsidR="0027228F" w:rsidRPr="00283CEC">
        <w:t xml:space="preserve">negative </w:t>
      </w:r>
      <w:r w:rsidR="000D20A7" w:rsidRPr="00283CEC">
        <w:t xml:space="preserve">implications </w:t>
      </w:r>
      <w:r w:rsidR="00596300" w:rsidRPr="00283CEC">
        <w:t xml:space="preserve">on </w:t>
      </w:r>
      <w:r w:rsidR="009120E9" w:rsidRPr="00283CEC">
        <w:t xml:space="preserve">coastal </w:t>
      </w:r>
      <w:r w:rsidR="0027228F" w:rsidRPr="00283CEC">
        <w:t xml:space="preserve">and inland </w:t>
      </w:r>
      <w:r w:rsidR="009120E9" w:rsidRPr="00283CEC">
        <w:t>settlements,</w:t>
      </w:r>
      <w:r w:rsidR="007E7EBC" w:rsidRPr="00283CEC">
        <w:t xml:space="preserve"> infrastructure,</w:t>
      </w:r>
      <w:r w:rsidR="009120E9" w:rsidRPr="00283CEC">
        <w:t xml:space="preserve"> tourism</w:t>
      </w:r>
      <w:r w:rsidR="000D20A7" w:rsidRPr="00283CEC">
        <w:t xml:space="preserve">, </w:t>
      </w:r>
      <w:r w:rsidR="0027228F" w:rsidRPr="00283CEC">
        <w:t xml:space="preserve">human health and </w:t>
      </w:r>
      <w:r w:rsidR="000D20A7" w:rsidRPr="00283CEC">
        <w:t>water supply.</w:t>
      </w:r>
    </w:p>
    <w:p w:rsidR="00F96CA0" w:rsidRPr="00283CEC" w:rsidRDefault="007E7EBC" w:rsidP="00FC37BF">
      <w:pPr>
        <w:pStyle w:val="bt"/>
      </w:pPr>
      <w:r w:rsidRPr="00283CEC">
        <w:t xml:space="preserve">Opportunities </w:t>
      </w:r>
      <w:r w:rsidR="0027228F" w:rsidRPr="00283CEC">
        <w:t xml:space="preserve">may </w:t>
      </w:r>
      <w:r w:rsidRPr="00283CEC">
        <w:t>arise</w:t>
      </w:r>
      <w:r w:rsidR="0027228F" w:rsidRPr="00283CEC">
        <w:t xml:space="preserve"> </w:t>
      </w:r>
      <w:r w:rsidR="001E25EC" w:rsidRPr="00283CEC">
        <w:t xml:space="preserve">over </w:t>
      </w:r>
      <w:r w:rsidR="0027228F" w:rsidRPr="00283CEC">
        <w:t xml:space="preserve">the next 30 years </w:t>
      </w:r>
      <w:r w:rsidR="001E25EC" w:rsidRPr="00283CEC">
        <w:t xml:space="preserve">and beyond in the Gippsland region </w:t>
      </w:r>
      <w:r w:rsidRPr="00283CEC">
        <w:t xml:space="preserve">from these </w:t>
      </w:r>
      <w:r w:rsidR="0027228F" w:rsidRPr="00283CEC">
        <w:t>long</w:t>
      </w:r>
      <w:r w:rsidR="001E25EC" w:rsidRPr="00283CEC">
        <w:t>-</w:t>
      </w:r>
      <w:r w:rsidR="0027228F" w:rsidRPr="00283CEC">
        <w:t xml:space="preserve">term </w:t>
      </w:r>
      <w:r w:rsidRPr="00283CEC">
        <w:t>changes</w:t>
      </w:r>
      <w:r w:rsidR="0027228F" w:rsidRPr="00283CEC">
        <w:t xml:space="preserve"> in climate</w:t>
      </w:r>
      <w:r w:rsidRPr="00283CEC">
        <w:t xml:space="preserve">. </w:t>
      </w:r>
      <w:r w:rsidR="000661C8" w:rsidRPr="00283CEC">
        <w:t xml:space="preserve">These opportunities </w:t>
      </w:r>
      <w:r w:rsidRPr="00283CEC">
        <w:t xml:space="preserve">may include growth of new </w:t>
      </w:r>
      <w:r w:rsidR="0027228F" w:rsidRPr="00283CEC">
        <w:t xml:space="preserve">agricultural </w:t>
      </w:r>
      <w:r w:rsidRPr="00283CEC">
        <w:t>crops</w:t>
      </w:r>
      <w:r w:rsidR="0027228F" w:rsidRPr="00283CEC">
        <w:t>, an expanded timber industry due to the developing carbon market</w:t>
      </w:r>
      <w:r w:rsidR="005C33DA" w:rsidRPr="00283CEC">
        <w:t>,</w:t>
      </w:r>
      <w:r w:rsidR="0027228F" w:rsidRPr="00283CEC">
        <w:t xml:space="preserve"> the production of new products to help adapt to climate change</w:t>
      </w:r>
      <w:r w:rsidR="007B684F" w:rsidRPr="00283CEC">
        <w:t xml:space="preserve">, such as </w:t>
      </w:r>
      <w:r w:rsidR="0027228F" w:rsidRPr="00283CEC">
        <w:t>climate resilient building products</w:t>
      </w:r>
      <w:r w:rsidR="007B684F" w:rsidRPr="00283CEC">
        <w:t>,</w:t>
      </w:r>
      <w:r w:rsidR="005C33DA" w:rsidRPr="00283CEC">
        <w:t xml:space="preserve"> and an increase in fisheries production</w:t>
      </w:r>
      <w:r w:rsidR="0027228F" w:rsidRPr="00283CEC">
        <w:t>.</w:t>
      </w:r>
    </w:p>
    <w:p w:rsidR="005E7F48" w:rsidRPr="00283CEC" w:rsidRDefault="005E7F48" w:rsidP="00CC3A69">
      <w:pPr>
        <w:pStyle w:val="Heading4"/>
      </w:pPr>
      <w:r w:rsidRPr="00283CEC">
        <w:t xml:space="preserve">Transport and </w:t>
      </w:r>
      <w:r w:rsidR="00E950E7" w:rsidRPr="00283CEC">
        <w:t>c</w:t>
      </w:r>
      <w:r w:rsidRPr="00283CEC">
        <w:t>ommunications</w:t>
      </w:r>
    </w:p>
    <w:p w:rsidR="00D478DE" w:rsidRPr="00283CEC" w:rsidRDefault="004E4489" w:rsidP="00FC37BF">
      <w:pPr>
        <w:pStyle w:val="bt"/>
      </w:pPr>
      <w:r w:rsidRPr="00283CEC">
        <w:t xml:space="preserve">While </w:t>
      </w:r>
      <w:r w:rsidR="005E7F48" w:rsidRPr="00283CEC">
        <w:t xml:space="preserve">Gippsland has a </w:t>
      </w:r>
      <w:r w:rsidRPr="00283CEC">
        <w:t xml:space="preserve">functional </w:t>
      </w:r>
      <w:r w:rsidR="005E7F48" w:rsidRPr="00283CEC">
        <w:t xml:space="preserve">transport network </w:t>
      </w:r>
      <w:r w:rsidR="005A0DCC" w:rsidRPr="00283CEC">
        <w:t xml:space="preserve">consisting of </w:t>
      </w:r>
      <w:r w:rsidRPr="00283CEC">
        <w:t xml:space="preserve">highways and </w:t>
      </w:r>
      <w:r w:rsidR="005E7F48" w:rsidRPr="00283CEC">
        <w:t xml:space="preserve">the Bairnsdale railway </w:t>
      </w:r>
      <w:r w:rsidRPr="00283CEC">
        <w:t>corridor</w:t>
      </w:r>
      <w:r w:rsidR="005E7F48" w:rsidRPr="00283CEC">
        <w:t xml:space="preserve">, the network will be under pressure </w:t>
      </w:r>
      <w:r w:rsidR="001E25EC" w:rsidRPr="00283CEC">
        <w:t xml:space="preserve">in the years ahead </w:t>
      </w:r>
      <w:r w:rsidR="005E7F48" w:rsidRPr="00283CEC">
        <w:t xml:space="preserve">with population and economic growth. </w:t>
      </w:r>
      <w:r w:rsidR="00EE2881" w:rsidRPr="00283CEC">
        <w:t>Communities across the region will need r</w:t>
      </w:r>
      <w:r w:rsidR="005E7F48" w:rsidRPr="00283CEC">
        <w:t>eliable</w:t>
      </w:r>
      <w:r w:rsidR="0069797C" w:rsidRPr="00283CEC">
        <w:t xml:space="preserve"> and efficient </w:t>
      </w:r>
      <w:r w:rsidR="005E7F48" w:rsidRPr="00283CEC">
        <w:t>access to regional services such as ho</w:t>
      </w:r>
      <w:r w:rsidR="0069797C" w:rsidRPr="00283CEC">
        <w:t>spitals and tertiary education. I</w:t>
      </w:r>
      <w:r w:rsidR="005E7F48" w:rsidRPr="00283CEC">
        <w:t>ndustries based on agriculture and coal</w:t>
      </w:r>
      <w:r w:rsidR="00EE2881" w:rsidRPr="00283CEC">
        <w:t xml:space="preserve"> products </w:t>
      </w:r>
      <w:r w:rsidR="005E7F48" w:rsidRPr="00283CEC">
        <w:t xml:space="preserve">will need </w:t>
      </w:r>
      <w:r w:rsidR="0069797C" w:rsidRPr="00283CEC">
        <w:t xml:space="preserve">improved </w:t>
      </w:r>
      <w:r w:rsidR="005E7F48" w:rsidRPr="00283CEC">
        <w:t xml:space="preserve">access to Melbourne and export markets with links to ports. </w:t>
      </w:r>
    </w:p>
    <w:p w:rsidR="00FA717F" w:rsidRPr="00283CEC" w:rsidRDefault="00661845" w:rsidP="00FC37BF">
      <w:pPr>
        <w:pStyle w:val="bt"/>
      </w:pPr>
      <w:r w:rsidRPr="00283CEC">
        <w:t xml:space="preserve">It will be important to ensure </w:t>
      </w:r>
      <w:r w:rsidR="00900C75" w:rsidRPr="00283CEC">
        <w:t xml:space="preserve">Gippsland’s </w:t>
      </w:r>
      <w:r w:rsidRPr="00283CEC">
        <w:t xml:space="preserve">transport network keeps pace with growing passenger numbers and changes in the freight task. </w:t>
      </w:r>
      <w:r w:rsidR="005E7F48" w:rsidRPr="00283CEC">
        <w:t xml:space="preserve">Sound </w:t>
      </w:r>
      <w:r w:rsidR="0069797C" w:rsidRPr="00283CEC">
        <w:t>transport and communication links</w:t>
      </w:r>
      <w:r w:rsidR="005E7F48" w:rsidRPr="00283CEC">
        <w:t xml:space="preserve"> to Melbourne</w:t>
      </w:r>
      <w:r w:rsidR="00900C75" w:rsidRPr="00283CEC">
        <w:t xml:space="preserve"> and</w:t>
      </w:r>
      <w:r w:rsidR="0090400A" w:rsidRPr="00283CEC">
        <w:t xml:space="preserve"> its </w:t>
      </w:r>
      <w:r w:rsidR="005E7F48" w:rsidRPr="00283CEC">
        <w:t>airports</w:t>
      </w:r>
      <w:r w:rsidR="005A0DCC" w:rsidRPr="00283CEC">
        <w:t xml:space="preserve">, </w:t>
      </w:r>
      <w:r w:rsidR="0090400A" w:rsidRPr="00283CEC">
        <w:t xml:space="preserve">with </w:t>
      </w:r>
      <w:r w:rsidR="0069797C" w:rsidRPr="00283CEC">
        <w:t>interstate and international</w:t>
      </w:r>
      <w:r w:rsidR="001C484C" w:rsidRPr="00283CEC">
        <w:t xml:space="preserve"> connections</w:t>
      </w:r>
      <w:r w:rsidR="005A0DCC" w:rsidRPr="00283CEC">
        <w:t>,</w:t>
      </w:r>
      <w:r w:rsidR="00900C75" w:rsidRPr="00283CEC">
        <w:t xml:space="preserve"> </w:t>
      </w:r>
      <w:r w:rsidR="005E7F48" w:rsidRPr="00283CEC">
        <w:t>will be needed</w:t>
      </w:r>
      <w:r w:rsidR="0090400A" w:rsidRPr="00283CEC">
        <w:t xml:space="preserve"> </w:t>
      </w:r>
      <w:r w:rsidR="00EE2881" w:rsidRPr="00283CEC">
        <w:t>as</w:t>
      </w:r>
      <w:r w:rsidR="005E7F48" w:rsidRPr="00283CEC">
        <w:t xml:space="preserve"> Gippsland’s knowledge and service industries grow.</w:t>
      </w:r>
    </w:p>
    <w:p w:rsidR="00C507C7" w:rsidRPr="00283CEC" w:rsidRDefault="00C507C7" w:rsidP="00357C93">
      <w:pPr>
        <w:pStyle w:val="Heading11"/>
      </w:pPr>
      <w:bookmarkStart w:id="30" w:name="_Toc355953838"/>
      <w:bookmarkStart w:id="31" w:name="_Toc336871216"/>
      <w:bookmarkStart w:id="32" w:name="_Toc376791238"/>
      <w:bookmarkEnd w:id="30"/>
      <w:r w:rsidRPr="00283CEC">
        <w:t xml:space="preserve">Challenges for </w:t>
      </w:r>
      <w:r w:rsidR="00F033A8" w:rsidRPr="00283CEC">
        <w:t>g</w:t>
      </w:r>
      <w:r w:rsidRPr="00283CEC">
        <w:t>rowth</w:t>
      </w:r>
      <w:bookmarkEnd w:id="31"/>
      <w:bookmarkEnd w:id="32"/>
    </w:p>
    <w:p w:rsidR="002720A4" w:rsidRPr="00283CEC" w:rsidRDefault="00900C75" w:rsidP="00357C93">
      <w:pPr>
        <w:pStyle w:val="bt"/>
      </w:pPr>
      <w:r w:rsidRPr="00283CEC">
        <w:t>C</w:t>
      </w:r>
      <w:r w:rsidR="002E47DC" w:rsidRPr="00283CEC">
        <w:t xml:space="preserve">hallenges for growth in the </w:t>
      </w:r>
      <w:r w:rsidRPr="00283CEC">
        <w:t xml:space="preserve">Gippsland </w:t>
      </w:r>
      <w:r w:rsidR="002E47DC" w:rsidRPr="00283CEC">
        <w:t>region</w:t>
      </w:r>
      <w:r w:rsidR="007E7769" w:rsidRPr="00283CEC">
        <w:t>,</w:t>
      </w:r>
      <w:r w:rsidR="002E47DC" w:rsidRPr="00283CEC">
        <w:t xml:space="preserve"> </w:t>
      </w:r>
      <w:r w:rsidR="005C0F0F" w:rsidRPr="00283CEC">
        <w:t>which this plan seeks to address</w:t>
      </w:r>
      <w:r w:rsidR="007E7769" w:rsidRPr="00283CEC">
        <w:t>,</w:t>
      </w:r>
      <w:r w:rsidR="005C0F0F" w:rsidRPr="00283CEC">
        <w:t xml:space="preserve"> </w:t>
      </w:r>
      <w:r w:rsidR="002E47DC" w:rsidRPr="00283CEC">
        <w:t>are summarised as:</w:t>
      </w:r>
    </w:p>
    <w:p w:rsidR="00A77E1E" w:rsidRPr="00283CEC" w:rsidRDefault="00900C75" w:rsidP="000F204E">
      <w:pPr>
        <w:pStyle w:val="btbullet"/>
      </w:pPr>
      <w:r w:rsidRPr="00283CEC">
        <w:t>s</w:t>
      </w:r>
      <w:r w:rsidR="00A77E1E" w:rsidRPr="00283CEC">
        <w:t>ustaining and expanding economic activity through a period of diversification and transition</w:t>
      </w:r>
    </w:p>
    <w:p w:rsidR="00A77E1E" w:rsidRPr="00283CEC" w:rsidRDefault="00900C75" w:rsidP="000F204E">
      <w:pPr>
        <w:pStyle w:val="btbullet"/>
      </w:pPr>
      <w:r w:rsidRPr="00283CEC">
        <w:t>e</w:t>
      </w:r>
      <w:r w:rsidR="00A77E1E" w:rsidRPr="00283CEC">
        <w:t>nhancing the resilience of the region’s industries to the impacts of economic restructuring and climate change</w:t>
      </w:r>
    </w:p>
    <w:p w:rsidR="00661845" w:rsidRPr="00283CEC" w:rsidRDefault="00900C75" w:rsidP="000F204E">
      <w:pPr>
        <w:pStyle w:val="btbullet"/>
      </w:pPr>
      <w:r w:rsidRPr="00283CEC">
        <w:t>i</w:t>
      </w:r>
      <w:r w:rsidR="00661845" w:rsidRPr="00283CEC">
        <w:t>dentifying new and improving existing tourism opportunities in the region</w:t>
      </w:r>
    </w:p>
    <w:p w:rsidR="00A77E1E" w:rsidRPr="00283CEC" w:rsidRDefault="00900C75" w:rsidP="000F204E">
      <w:pPr>
        <w:pStyle w:val="btbullet"/>
      </w:pPr>
      <w:r w:rsidRPr="00283CEC">
        <w:t>a</w:t>
      </w:r>
      <w:r w:rsidR="00A77E1E" w:rsidRPr="00283CEC">
        <w:t>ccommodating projected population and household growth</w:t>
      </w:r>
      <w:r w:rsidR="00661845" w:rsidRPr="00283CEC">
        <w:t>, including managing settlement growth with consideration of economic resources, environmental assets and natural hazards</w:t>
      </w:r>
    </w:p>
    <w:p w:rsidR="00A77E1E" w:rsidRPr="00283CEC" w:rsidRDefault="00900C75" w:rsidP="000F204E">
      <w:pPr>
        <w:pStyle w:val="btbullet"/>
      </w:pPr>
      <w:r w:rsidRPr="00283CEC">
        <w:t>m</w:t>
      </w:r>
      <w:r w:rsidR="00A77E1E" w:rsidRPr="00283CEC">
        <w:t>anaging the impacts of a changing community profile including an increasingly aged population</w:t>
      </w:r>
    </w:p>
    <w:p w:rsidR="00A77E1E" w:rsidRPr="00283CEC" w:rsidRDefault="00900C75" w:rsidP="000F204E">
      <w:pPr>
        <w:pStyle w:val="btbullet"/>
      </w:pPr>
      <w:r w:rsidRPr="00283CEC">
        <w:t>p</w:t>
      </w:r>
      <w:r w:rsidR="00A77E1E" w:rsidRPr="00283CEC">
        <w:t>lanning and adapting settlements and infrastructure to respond to the impacts of climate change, including increased risk from natural hazards</w:t>
      </w:r>
    </w:p>
    <w:p w:rsidR="00A77E1E" w:rsidRPr="00283CEC" w:rsidRDefault="00900C75" w:rsidP="000F204E">
      <w:pPr>
        <w:pStyle w:val="btbullet"/>
      </w:pPr>
      <w:r w:rsidRPr="00283CEC">
        <w:t>i</w:t>
      </w:r>
      <w:r w:rsidR="007F4E77" w:rsidRPr="00283CEC">
        <w:t xml:space="preserve">mproving the efficiency, </w:t>
      </w:r>
      <w:r w:rsidR="00C372D6" w:rsidRPr="00283CEC">
        <w:t>reliability</w:t>
      </w:r>
      <w:r w:rsidR="007F4E77" w:rsidRPr="00283CEC">
        <w:t xml:space="preserve"> and service levels</w:t>
      </w:r>
      <w:r w:rsidR="00C372D6" w:rsidRPr="00283CEC">
        <w:t xml:space="preserve"> of the region’s transport network to provide access to markets, services and employment</w:t>
      </w:r>
    </w:p>
    <w:p w:rsidR="00B515F4" w:rsidRPr="00283CEC" w:rsidRDefault="00900C75" w:rsidP="000F204E">
      <w:pPr>
        <w:pStyle w:val="btbullet"/>
      </w:pPr>
      <w:proofErr w:type="gramStart"/>
      <w:r w:rsidRPr="00283CEC">
        <w:t>d</w:t>
      </w:r>
      <w:r w:rsidR="00C372D6" w:rsidRPr="00283CEC">
        <w:t>elivering</w:t>
      </w:r>
      <w:proofErr w:type="gramEnd"/>
      <w:r w:rsidR="00C372D6" w:rsidRPr="00283CEC">
        <w:t xml:space="preserve"> services and communications infrastructure to meet the needs of the community, commercial and industrial users</w:t>
      </w:r>
      <w:r w:rsidR="00661845" w:rsidRPr="00283CEC">
        <w:t>.</w:t>
      </w:r>
      <w:bookmarkStart w:id="33" w:name="_Toc354498419"/>
      <w:bookmarkStart w:id="34" w:name="_Toc354498420"/>
      <w:bookmarkStart w:id="35" w:name="_Toc354498421"/>
      <w:bookmarkStart w:id="36" w:name="_Toc354498422"/>
      <w:bookmarkStart w:id="37" w:name="_Toc354498423"/>
      <w:bookmarkStart w:id="38" w:name="_Toc354498424"/>
      <w:bookmarkStart w:id="39" w:name="_Toc336871217"/>
      <w:bookmarkEnd w:id="33"/>
      <w:bookmarkEnd w:id="34"/>
      <w:bookmarkEnd w:id="35"/>
      <w:bookmarkEnd w:id="36"/>
      <w:bookmarkEnd w:id="37"/>
      <w:bookmarkEnd w:id="38"/>
      <w:r w:rsidR="00685D7A" w:rsidRPr="00283CEC">
        <w:t xml:space="preserve"> </w:t>
      </w:r>
    </w:p>
    <w:p w:rsidR="00C507C7" w:rsidRPr="00283CEC" w:rsidRDefault="00C507C7" w:rsidP="00B515F4">
      <w:pPr>
        <w:pStyle w:val="Heading11"/>
      </w:pPr>
      <w:bookmarkStart w:id="40" w:name="_Toc376791239"/>
      <w:r w:rsidRPr="00283CEC">
        <w:t xml:space="preserve">Vision for the </w:t>
      </w:r>
      <w:r w:rsidR="00F033A8" w:rsidRPr="00283CEC">
        <w:t>r</w:t>
      </w:r>
      <w:r w:rsidRPr="00283CEC">
        <w:t>egion</w:t>
      </w:r>
      <w:bookmarkEnd w:id="39"/>
      <w:bookmarkEnd w:id="40"/>
    </w:p>
    <w:p w:rsidR="00206BC5" w:rsidRPr="00283CEC" w:rsidRDefault="00D0159C" w:rsidP="00357C93">
      <w:pPr>
        <w:pStyle w:val="bt"/>
        <w:rPr>
          <w:rFonts w:eastAsia="Calibri"/>
        </w:rPr>
      </w:pPr>
      <w:r w:rsidRPr="00283CEC">
        <w:rPr>
          <w:rFonts w:eastAsia="Calibri"/>
        </w:rPr>
        <w:t xml:space="preserve">By </w:t>
      </w:r>
      <w:r w:rsidR="00206BC5" w:rsidRPr="00283CEC">
        <w:rPr>
          <w:rFonts w:eastAsia="Calibri"/>
        </w:rPr>
        <w:t>204</w:t>
      </w:r>
      <w:r w:rsidR="00900C75" w:rsidRPr="00283CEC">
        <w:rPr>
          <w:rFonts w:eastAsia="Calibri"/>
        </w:rPr>
        <w:t>1</w:t>
      </w:r>
      <w:r w:rsidR="00206BC5" w:rsidRPr="00283CEC">
        <w:rPr>
          <w:rFonts w:eastAsia="Calibri"/>
        </w:rPr>
        <w:t xml:space="preserve"> Gippsland is recognised as having attracted remarkable levels of investment in economic and urban growth through implementation of regional strategies and projects</w:t>
      </w:r>
      <w:r w:rsidR="00900C75" w:rsidRPr="00283CEC">
        <w:rPr>
          <w:rFonts w:eastAsia="Calibri"/>
        </w:rPr>
        <w:t xml:space="preserve">, </w:t>
      </w:r>
      <w:r w:rsidR="00206BC5" w:rsidRPr="00283CEC">
        <w:rPr>
          <w:rFonts w:eastAsia="Calibri"/>
        </w:rPr>
        <w:t>inspired by the region’s assets and its potential.</w:t>
      </w:r>
    </w:p>
    <w:p w:rsidR="00206BC5" w:rsidRPr="00283CEC" w:rsidRDefault="007716FB" w:rsidP="00357C93">
      <w:pPr>
        <w:pStyle w:val="bt"/>
        <w:rPr>
          <w:rFonts w:eastAsia="Calibri"/>
        </w:rPr>
      </w:pPr>
      <w:r w:rsidRPr="00283CEC">
        <w:rPr>
          <w:rFonts w:eastAsia="Calibri"/>
        </w:rPr>
        <w:t>G</w:t>
      </w:r>
      <w:r w:rsidR="00206BC5" w:rsidRPr="00283CEC">
        <w:rPr>
          <w:rFonts w:eastAsia="Calibri"/>
        </w:rPr>
        <w:t xml:space="preserve">rowth has been </w:t>
      </w:r>
      <w:r w:rsidR="00661845" w:rsidRPr="00283CEC">
        <w:rPr>
          <w:rFonts w:eastAsia="Calibri"/>
        </w:rPr>
        <w:t>planned for</w:t>
      </w:r>
      <w:r w:rsidR="009C76F6" w:rsidRPr="00283CEC">
        <w:rPr>
          <w:rFonts w:eastAsia="Calibri"/>
        </w:rPr>
        <w:t>,</w:t>
      </w:r>
      <w:r w:rsidR="00661845" w:rsidRPr="00283CEC">
        <w:rPr>
          <w:rFonts w:eastAsia="Calibri"/>
        </w:rPr>
        <w:t xml:space="preserve"> and </w:t>
      </w:r>
      <w:r w:rsidR="00206BC5" w:rsidRPr="00283CEC">
        <w:rPr>
          <w:rFonts w:eastAsia="Calibri"/>
        </w:rPr>
        <w:t>attracted to</w:t>
      </w:r>
      <w:r w:rsidR="009C76F6" w:rsidRPr="00283CEC">
        <w:rPr>
          <w:rFonts w:eastAsia="Calibri"/>
        </w:rPr>
        <w:t>,</w:t>
      </w:r>
      <w:r w:rsidR="00206BC5" w:rsidRPr="00283CEC">
        <w:rPr>
          <w:rFonts w:eastAsia="Calibri"/>
        </w:rPr>
        <w:t xml:space="preserve"> </w:t>
      </w:r>
      <w:r w:rsidR="00926AC8" w:rsidRPr="00283CEC">
        <w:rPr>
          <w:rFonts w:eastAsia="Calibri"/>
        </w:rPr>
        <w:t>six</w:t>
      </w:r>
      <w:r w:rsidR="00206BC5" w:rsidRPr="00283CEC">
        <w:rPr>
          <w:rFonts w:eastAsia="Calibri"/>
        </w:rPr>
        <w:t xml:space="preserve"> </w:t>
      </w:r>
      <w:r w:rsidR="00926AC8" w:rsidRPr="00283CEC">
        <w:rPr>
          <w:rFonts w:eastAsia="Calibri"/>
        </w:rPr>
        <w:t xml:space="preserve">urban centres: </w:t>
      </w:r>
      <w:r w:rsidR="005C282D" w:rsidRPr="00283CEC">
        <w:rPr>
          <w:rFonts w:eastAsia="Calibri"/>
        </w:rPr>
        <w:t>Latrobe City</w:t>
      </w:r>
      <w:r w:rsidR="00F45764" w:rsidRPr="00283CEC">
        <w:rPr>
          <w:rFonts w:eastAsia="Calibri"/>
        </w:rPr>
        <w:t xml:space="preserve"> as the regional city</w:t>
      </w:r>
      <w:r w:rsidR="005C282D" w:rsidRPr="00283CEC">
        <w:rPr>
          <w:rFonts w:eastAsia="Calibri"/>
        </w:rPr>
        <w:t xml:space="preserve">, Bairnsdale, Leongatha, Sale, </w:t>
      </w:r>
      <w:r w:rsidR="00206BC5" w:rsidRPr="00283CEC">
        <w:rPr>
          <w:rFonts w:eastAsia="Calibri"/>
        </w:rPr>
        <w:t>Warragul</w:t>
      </w:r>
      <w:r w:rsidR="00E01D7C" w:rsidRPr="00283CEC">
        <w:rPr>
          <w:rFonts w:eastAsia="Calibri"/>
        </w:rPr>
        <w:t>/Drouin</w:t>
      </w:r>
      <w:r w:rsidR="005C282D" w:rsidRPr="00283CEC">
        <w:rPr>
          <w:rFonts w:eastAsia="Calibri"/>
        </w:rPr>
        <w:t xml:space="preserve"> and </w:t>
      </w:r>
      <w:r w:rsidR="008E2071" w:rsidRPr="00283CEC">
        <w:rPr>
          <w:rFonts w:eastAsia="Calibri"/>
        </w:rPr>
        <w:t xml:space="preserve">Wonthaggi. This </w:t>
      </w:r>
      <w:r w:rsidR="00206BC5" w:rsidRPr="00283CEC">
        <w:rPr>
          <w:rFonts w:eastAsia="Calibri"/>
        </w:rPr>
        <w:t>approach has attracted an</w:t>
      </w:r>
      <w:r w:rsidR="00B552B5" w:rsidRPr="00283CEC">
        <w:rPr>
          <w:rFonts w:eastAsia="Calibri"/>
        </w:rPr>
        <w:t>d retained higher than projected</w:t>
      </w:r>
      <w:r w:rsidR="00206BC5" w:rsidRPr="00283CEC">
        <w:rPr>
          <w:rFonts w:eastAsia="Calibri"/>
        </w:rPr>
        <w:t xml:space="preserve"> population and employment levels as the c</w:t>
      </w:r>
      <w:r w:rsidR="008E2071" w:rsidRPr="00283CEC">
        <w:rPr>
          <w:rFonts w:eastAsia="Calibri"/>
        </w:rPr>
        <w:t xml:space="preserve">entres </w:t>
      </w:r>
      <w:r w:rsidR="00206BC5" w:rsidRPr="00283CEC">
        <w:rPr>
          <w:rFonts w:eastAsia="Calibri"/>
        </w:rPr>
        <w:t xml:space="preserve">have gained the critical mass to provide higher order services. </w:t>
      </w:r>
    </w:p>
    <w:p w:rsidR="00206BC5" w:rsidRPr="00283CEC" w:rsidRDefault="008E2071" w:rsidP="00357C93">
      <w:pPr>
        <w:pStyle w:val="bt"/>
        <w:rPr>
          <w:rFonts w:eastAsia="Calibri"/>
        </w:rPr>
      </w:pPr>
      <w:r w:rsidRPr="00283CEC">
        <w:rPr>
          <w:rFonts w:eastAsia="Calibri"/>
        </w:rPr>
        <w:t>E</w:t>
      </w:r>
      <w:r w:rsidR="00206BC5" w:rsidRPr="00283CEC">
        <w:rPr>
          <w:rFonts w:eastAsia="Calibri"/>
        </w:rPr>
        <w:t>conomic growth has</w:t>
      </w:r>
      <w:r w:rsidRPr="00283CEC">
        <w:rPr>
          <w:rFonts w:eastAsia="Calibri"/>
        </w:rPr>
        <w:t xml:space="preserve"> been sustained by</w:t>
      </w:r>
      <w:r w:rsidR="00206BC5" w:rsidRPr="00283CEC">
        <w:rPr>
          <w:rFonts w:eastAsia="Calibri"/>
        </w:rPr>
        <w:t xml:space="preserve"> the region’s traditional strengths in natural resources, energy, agriculture and forestry</w:t>
      </w:r>
      <w:r w:rsidR="008E3E3B" w:rsidRPr="00283CEC">
        <w:rPr>
          <w:rFonts w:eastAsia="Calibri"/>
        </w:rPr>
        <w:t xml:space="preserve">, </w:t>
      </w:r>
      <w:r w:rsidR="00206BC5" w:rsidRPr="00283CEC">
        <w:rPr>
          <w:rFonts w:eastAsia="Calibri"/>
        </w:rPr>
        <w:t>manufactur</w:t>
      </w:r>
      <w:r w:rsidRPr="00283CEC">
        <w:rPr>
          <w:rFonts w:eastAsia="Calibri"/>
        </w:rPr>
        <w:t>ing</w:t>
      </w:r>
      <w:r w:rsidR="008E3E3B" w:rsidRPr="00283CEC">
        <w:rPr>
          <w:rFonts w:eastAsia="Calibri"/>
        </w:rPr>
        <w:t xml:space="preserve"> and tourism</w:t>
      </w:r>
      <w:r w:rsidR="00206BC5" w:rsidRPr="00283CEC">
        <w:rPr>
          <w:rFonts w:eastAsia="Calibri"/>
        </w:rPr>
        <w:t>. Investment in r</w:t>
      </w:r>
      <w:r w:rsidRPr="00283CEC">
        <w:rPr>
          <w:rFonts w:eastAsia="Calibri"/>
        </w:rPr>
        <w:t xml:space="preserve">esearch and development in these and other </w:t>
      </w:r>
      <w:r w:rsidR="00206BC5" w:rsidRPr="00283CEC">
        <w:rPr>
          <w:rFonts w:eastAsia="Calibri"/>
        </w:rPr>
        <w:t xml:space="preserve">industries has spurred </w:t>
      </w:r>
      <w:r w:rsidRPr="00283CEC">
        <w:rPr>
          <w:rFonts w:eastAsia="Calibri"/>
        </w:rPr>
        <w:t xml:space="preserve">on the development of new industries </w:t>
      </w:r>
      <w:r w:rsidR="007E7769" w:rsidRPr="00283CEC">
        <w:rPr>
          <w:rFonts w:eastAsia="Calibri"/>
        </w:rPr>
        <w:t xml:space="preserve">and </w:t>
      </w:r>
      <w:r w:rsidR="00206BC5" w:rsidRPr="00283CEC">
        <w:rPr>
          <w:rFonts w:eastAsia="Calibri"/>
        </w:rPr>
        <w:t xml:space="preserve">higher employment rates and </w:t>
      </w:r>
      <w:r w:rsidR="00D0159C" w:rsidRPr="00283CEC">
        <w:rPr>
          <w:rFonts w:eastAsia="Calibri"/>
        </w:rPr>
        <w:t xml:space="preserve">resulted in Gippsland having a reputation for </w:t>
      </w:r>
      <w:r w:rsidR="009E30C4" w:rsidRPr="00283CEC">
        <w:rPr>
          <w:rFonts w:eastAsia="Calibri"/>
        </w:rPr>
        <w:t>innovative technolo</w:t>
      </w:r>
      <w:r w:rsidR="00206BC5" w:rsidRPr="00283CEC">
        <w:rPr>
          <w:rFonts w:eastAsia="Calibri"/>
        </w:rPr>
        <w:t>gy. Promotion of the region’s nature</w:t>
      </w:r>
      <w:r w:rsidRPr="00283CEC">
        <w:rPr>
          <w:rFonts w:eastAsia="Calibri"/>
        </w:rPr>
        <w:t>-</w:t>
      </w:r>
      <w:r w:rsidR="00206BC5" w:rsidRPr="00283CEC">
        <w:rPr>
          <w:rFonts w:eastAsia="Calibri"/>
        </w:rPr>
        <w:t xml:space="preserve">based </w:t>
      </w:r>
      <w:r w:rsidR="00020576" w:rsidRPr="00283CEC">
        <w:rPr>
          <w:rFonts w:eastAsia="Calibri"/>
        </w:rPr>
        <w:t xml:space="preserve">and cultural heritage </w:t>
      </w:r>
      <w:r w:rsidR="00206BC5" w:rsidRPr="00283CEC">
        <w:rPr>
          <w:rFonts w:eastAsia="Calibri"/>
        </w:rPr>
        <w:t xml:space="preserve">tourism assets has also attracted new investment </w:t>
      </w:r>
      <w:r w:rsidRPr="00283CEC">
        <w:rPr>
          <w:rFonts w:eastAsia="Calibri"/>
        </w:rPr>
        <w:t xml:space="preserve">in world-class facilities and significant increases </w:t>
      </w:r>
      <w:r w:rsidR="00D0159C" w:rsidRPr="00283CEC">
        <w:rPr>
          <w:rFonts w:eastAsia="Calibri"/>
        </w:rPr>
        <w:t xml:space="preserve">in </w:t>
      </w:r>
      <w:r w:rsidRPr="00283CEC">
        <w:rPr>
          <w:rFonts w:eastAsia="Calibri"/>
        </w:rPr>
        <w:t>visitor numbers.</w:t>
      </w:r>
    </w:p>
    <w:p w:rsidR="00206BC5" w:rsidRPr="00283CEC" w:rsidRDefault="008E2071" w:rsidP="00357C93">
      <w:pPr>
        <w:pStyle w:val="bt"/>
        <w:rPr>
          <w:rFonts w:eastAsia="Calibri"/>
        </w:rPr>
      </w:pPr>
      <w:r w:rsidRPr="00283CEC">
        <w:rPr>
          <w:rFonts w:eastAsia="Calibri"/>
        </w:rPr>
        <w:t>C</w:t>
      </w:r>
      <w:r w:rsidR="00206BC5" w:rsidRPr="00283CEC">
        <w:rPr>
          <w:rFonts w:eastAsia="Calibri"/>
        </w:rPr>
        <w:t xml:space="preserve">areful planning of </w:t>
      </w:r>
      <w:r w:rsidRPr="00283CEC">
        <w:rPr>
          <w:rFonts w:eastAsia="Calibri"/>
        </w:rPr>
        <w:t xml:space="preserve">both </w:t>
      </w:r>
      <w:r w:rsidR="00206BC5" w:rsidRPr="00283CEC">
        <w:rPr>
          <w:rFonts w:eastAsia="Calibri"/>
        </w:rPr>
        <w:t xml:space="preserve">urban and rural areas </w:t>
      </w:r>
      <w:r w:rsidR="00727753" w:rsidRPr="00283CEC">
        <w:rPr>
          <w:rFonts w:eastAsia="Calibri"/>
        </w:rPr>
        <w:t xml:space="preserve">has added to </w:t>
      </w:r>
      <w:r w:rsidR="00206BC5" w:rsidRPr="00283CEC">
        <w:rPr>
          <w:rFonts w:eastAsia="Calibri"/>
        </w:rPr>
        <w:t>the region’s valued rural and regional character and protected and replenished its environment. Ecological</w:t>
      </w:r>
      <w:r w:rsidRPr="00283CEC">
        <w:rPr>
          <w:rFonts w:eastAsia="Calibri"/>
        </w:rPr>
        <w:t>ly</w:t>
      </w:r>
      <w:r w:rsidR="00206BC5" w:rsidRPr="00283CEC">
        <w:rPr>
          <w:rFonts w:eastAsia="Calibri"/>
        </w:rPr>
        <w:t xml:space="preserve"> sustainable development practices and</w:t>
      </w:r>
      <w:r w:rsidRPr="00283CEC">
        <w:rPr>
          <w:rFonts w:eastAsia="Calibri"/>
        </w:rPr>
        <w:t xml:space="preserve"> the facilitation of a </w:t>
      </w:r>
      <w:r w:rsidR="00206BC5" w:rsidRPr="00283CEC">
        <w:rPr>
          <w:rFonts w:eastAsia="Calibri"/>
        </w:rPr>
        <w:t>healthy lifestyle are now entrenched in planning practices and community values.</w:t>
      </w:r>
    </w:p>
    <w:p w:rsidR="00BE57BC" w:rsidRPr="00283CEC" w:rsidRDefault="00206BC5" w:rsidP="0096070F">
      <w:pPr>
        <w:pStyle w:val="bt"/>
        <w:rPr>
          <w:rFonts w:eastAsia="Calibri"/>
        </w:rPr>
      </w:pPr>
      <w:r w:rsidRPr="00283CEC">
        <w:rPr>
          <w:rFonts w:eastAsia="Calibri"/>
        </w:rPr>
        <w:t>The region’s private and public transport connections between towns, ports, markets, Melbourne and interstate operate efficiently</w:t>
      </w:r>
      <w:r w:rsidR="007A4803" w:rsidRPr="00283CEC">
        <w:rPr>
          <w:rFonts w:eastAsia="Calibri"/>
        </w:rPr>
        <w:t xml:space="preserve"> to </w:t>
      </w:r>
      <w:r w:rsidR="00C51598" w:rsidRPr="00283CEC">
        <w:rPr>
          <w:rFonts w:eastAsia="Calibri"/>
        </w:rPr>
        <w:t xml:space="preserve">accommodate </w:t>
      </w:r>
      <w:r w:rsidR="007A4803" w:rsidRPr="00283CEC">
        <w:rPr>
          <w:rFonts w:eastAsia="Calibri"/>
        </w:rPr>
        <w:t>new demand</w:t>
      </w:r>
      <w:r w:rsidR="008E2071" w:rsidRPr="00283CEC">
        <w:rPr>
          <w:rFonts w:eastAsia="Calibri"/>
        </w:rPr>
        <w:t>.</w:t>
      </w:r>
    </w:p>
    <w:p w:rsidR="00C507C7" w:rsidRPr="00283CEC" w:rsidRDefault="00C507C7" w:rsidP="00357C93">
      <w:pPr>
        <w:pStyle w:val="Heading11"/>
      </w:pPr>
      <w:bookmarkStart w:id="41" w:name="_Toc354498426"/>
      <w:bookmarkStart w:id="42" w:name="_Toc354498427"/>
      <w:bookmarkStart w:id="43" w:name="_Toc354498428"/>
      <w:bookmarkStart w:id="44" w:name="_Toc354498429"/>
      <w:bookmarkStart w:id="45" w:name="_Toc354498430"/>
      <w:bookmarkStart w:id="46" w:name="_Toc354498431"/>
      <w:bookmarkStart w:id="47" w:name="_Toc354498432"/>
      <w:bookmarkStart w:id="48" w:name="_Toc354498433"/>
      <w:bookmarkStart w:id="49" w:name="_Toc354498434"/>
      <w:bookmarkStart w:id="50" w:name="_Toc354498435"/>
      <w:bookmarkStart w:id="51" w:name="_Toc354498436"/>
      <w:bookmarkStart w:id="52" w:name="_Toc354498437"/>
      <w:bookmarkStart w:id="53" w:name="_Toc336871218"/>
      <w:bookmarkStart w:id="54" w:name="_Toc376791240"/>
      <w:bookmarkEnd w:id="41"/>
      <w:bookmarkEnd w:id="42"/>
      <w:bookmarkEnd w:id="43"/>
      <w:bookmarkEnd w:id="44"/>
      <w:bookmarkEnd w:id="45"/>
      <w:bookmarkEnd w:id="46"/>
      <w:bookmarkEnd w:id="47"/>
      <w:bookmarkEnd w:id="48"/>
      <w:bookmarkEnd w:id="49"/>
      <w:bookmarkEnd w:id="50"/>
      <w:bookmarkEnd w:id="51"/>
      <w:bookmarkEnd w:id="52"/>
      <w:r w:rsidRPr="00283CEC">
        <w:t xml:space="preserve">Principles to </w:t>
      </w:r>
      <w:r w:rsidR="00F033A8" w:rsidRPr="00283CEC">
        <w:t>a</w:t>
      </w:r>
      <w:r w:rsidRPr="00283CEC">
        <w:t xml:space="preserve">chieve the </w:t>
      </w:r>
      <w:r w:rsidR="00F033A8" w:rsidRPr="00283CEC">
        <w:t>v</w:t>
      </w:r>
      <w:r w:rsidRPr="00283CEC">
        <w:t>ision</w:t>
      </w:r>
      <w:bookmarkEnd w:id="53"/>
      <w:bookmarkEnd w:id="54"/>
    </w:p>
    <w:p w:rsidR="009D6559" w:rsidRPr="00283CEC" w:rsidRDefault="00BA57DA" w:rsidP="00357C93">
      <w:pPr>
        <w:pStyle w:val="bt"/>
        <w:rPr>
          <w:rFonts w:eastAsia="Calibri"/>
        </w:rPr>
      </w:pPr>
      <w:r w:rsidRPr="00283CEC">
        <w:rPr>
          <w:rFonts w:eastAsia="Calibri"/>
        </w:rPr>
        <w:t>A set of guiding principles to achieve the vision has been developed with the participation of the project partners. These principles reflect the priorities and directions of the</w:t>
      </w:r>
      <w:r w:rsidR="00922CD5" w:rsidRPr="00283CEC">
        <w:rPr>
          <w:rFonts w:eastAsia="Calibri"/>
        </w:rPr>
        <w:t xml:space="preserve"> </w:t>
      </w:r>
      <w:r w:rsidR="00804CAA" w:rsidRPr="00283CEC">
        <w:rPr>
          <w:rStyle w:val="Emphasis"/>
          <w:rFonts w:eastAsia="Calibri"/>
          <w:i w:val="0"/>
        </w:rPr>
        <w:t xml:space="preserve">Gippsland Regional </w:t>
      </w:r>
      <w:r w:rsidR="00E010D2" w:rsidRPr="00283CEC">
        <w:rPr>
          <w:rStyle w:val="Emphasis"/>
          <w:rFonts w:eastAsia="Calibri"/>
          <w:i w:val="0"/>
        </w:rPr>
        <w:t>Plan</w:t>
      </w:r>
      <w:r w:rsidR="006A04F2">
        <w:rPr>
          <w:rStyle w:val="Emphasis"/>
          <w:rFonts w:eastAsia="Calibri"/>
          <w:i w:val="0"/>
        </w:rPr>
        <w:t xml:space="preserve"> 2010</w:t>
      </w:r>
      <w:r w:rsidR="009C76F6" w:rsidRPr="00283CEC">
        <w:rPr>
          <w:rFonts w:eastAsia="Calibri"/>
        </w:rPr>
        <w:t>.</w:t>
      </w:r>
      <w:r w:rsidR="00922CD5" w:rsidRPr="00283CEC">
        <w:rPr>
          <w:rFonts w:eastAsia="Calibri"/>
        </w:rPr>
        <w:t xml:space="preserve"> </w:t>
      </w:r>
    </w:p>
    <w:p w:rsidR="001C1D74" w:rsidRPr="00283CEC" w:rsidRDefault="001C1D74" w:rsidP="00357C93">
      <w:pPr>
        <w:pStyle w:val="bt"/>
        <w:rPr>
          <w:rStyle w:val="Strong"/>
        </w:rPr>
      </w:pPr>
      <w:r w:rsidRPr="00283CEC">
        <w:rPr>
          <w:rStyle w:val="Strong"/>
        </w:rPr>
        <w:t>Principle 1: Strengthen economic resilience by growing a more diverse economy</w:t>
      </w:r>
      <w:r w:rsidR="007E7769" w:rsidRPr="00283CEC">
        <w:rPr>
          <w:rStyle w:val="Strong"/>
        </w:rPr>
        <w:t>,</w:t>
      </w:r>
      <w:r w:rsidRPr="00283CEC">
        <w:rPr>
          <w:rStyle w:val="Strong"/>
        </w:rPr>
        <w:t xml:space="preserve"> </w:t>
      </w:r>
      <w:r w:rsidR="00A139E5" w:rsidRPr="00283CEC">
        <w:rPr>
          <w:rStyle w:val="Strong"/>
        </w:rPr>
        <w:t>that</w:t>
      </w:r>
      <w:r w:rsidRPr="00283CEC">
        <w:rPr>
          <w:rStyle w:val="Strong"/>
        </w:rPr>
        <w:t xml:space="preserve"> is supported by new investment, innovation, and value</w:t>
      </w:r>
      <w:r w:rsidR="00922CD5" w:rsidRPr="00283CEC">
        <w:rPr>
          <w:rStyle w:val="Strong"/>
        </w:rPr>
        <w:t>-</w:t>
      </w:r>
      <w:r w:rsidRPr="00283CEC">
        <w:rPr>
          <w:rStyle w:val="Strong"/>
        </w:rPr>
        <w:t>adding in traditional strengths</w:t>
      </w:r>
    </w:p>
    <w:p w:rsidR="001C1D74" w:rsidRPr="00283CEC" w:rsidRDefault="001C1D74" w:rsidP="00357C93">
      <w:pPr>
        <w:pStyle w:val="bt"/>
      </w:pPr>
      <w:r w:rsidRPr="00283CEC">
        <w:t xml:space="preserve">The </w:t>
      </w:r>
      <w:r w:rsidR="009C76F6" w:rsidRPr="00283CEC">
        <w:t>p</w:t>
      </w:r>
      <w:r w:rsidRPr="00283CEC">
        <w:t>lan will support a diversified economy</w:t>
      </w:r>
      <w:r w:rsidR="00922CD5" w:rsidRPr="00283CEC">
        <w:t>,</w:t>
      </w:r>
      <w:r w:rsidRPr="00283CEC">
        <w:t xml:space="preserve"> building on the region’s traditional strengths </w:t>
      </w:r>
      <w:r w:rsidR="00922CD5" w:rsidRPr="00283CEC">
        <w:t xml:space="preserve">of </w:t>
      </w:r>
      <w:r w:rsidRPr="00283CEC">
        <w:t>energy, earth resources, agriculture, forestry, fisheries, commercial</w:t>
      </w:r>
      <w:r w:rsidR="00922CD5" w:rsidRPr="00283CEC">
        <w:t xml:space="preserve"> and industrial development</w:t>
      </w:r>
      <w:r w:rsidRPr="00283CEC">
        <w:t xml:space="preserve">, tourism and the service sector. The </w:t>
      </w:r>
      <w:r w:rsidR="009C76F6" w:rsidRPr="00283CEC">
        <w:t>p</w:t>
      </w:r>
      <w:r w:rsidRPr="00283CEC">
        <w:t>lan provides policy support for value</w:t>
      </w:r>
      <w:r w:rsidR="00922CD5" w:rsidRPr="00283CEC">
        <w:t>-</w:t>
      </w:r>
      <w:r w:rsidRPr="00283CEC">
        <w:t xml:space="preserve">adding opportunities and employment growth </w:t>
      </w:r>
      <w:r w:rsidR="00922CD5" w:rsidRPr="00283CEC">
        <w:t xml:space="preserve">in </w:t>
      </w:r>
      <w:r w:rsidRPr="00283CEC">
        <w:t xml:space="preserve">healthcare and social services, green jobs and knowledge industries. Focusing urban growth in the </w:t>
      </w:r>
      <w:r w:rsidR="00922CD5" w:rsidRPr="00283CEC">
        <w:t>r</w:t>
      </w:r>
      <w:r w:rsidRPr="00283CEC">
        <w:t xml:space="preserve">egional </w:t>
      </w:r>
      <w:r w:rsidR="00922CD5" w:rsidRPr="00283CEC">
        <w:t>c</w:t>
      </w:r>
      <w:r w:rsidR="00F45764" w:rsidRPr="00283CEC">
        <w:t xml:space="preserve">ity, </w:t>
      </w:r>
      <w:r w:rsidRPr="00283CEC">
        <w:t xml:space="preserve">as well as </w:t>
      </w:r>
      <w:r w:rsidR="007E7769" w:rsidRPr="00283CEC">
        <w:t xml:space="preserve">in </w:t>
      </w:r>
      <w:r w:rsidR="00922CD5" w:rsidRPr="00283CEC">
        <w:t>a</w:t>
      </w:r>
      <w:r w:rsidRPr="00283CEC">
        <w:t xml:space="preserve"> network of </w:t>
      </w:r>
      <w:r w:rsidR="00922CD5" w:rsidRPr="00283CEC">
        <w:t>r</w:t>
      </w:r>
      <w:r w:rsidRPr="00283CEC">
        <w:t xml:space="preserve">egional </w:t>
      </w:r>
      <w:r w:rsidR="00922CD5" w:rsidRPr="00283CEC">
        <w:t>c</w:t>
      </w:r>
      <w:r w:rsidRPr="00283CEC">
        <w:t>entres</w:t>
      </w:r>
      <w:r w:rsidR="009C76F6" w:rsidRPr="00283CEC">
        <w:t>,</w:t>
      </w:r>
      <w:r w:rsidRPr="00283CEC">
        <w:t xml:space="preserve"> will boost population mass and concentrate services and businesses in a man</w:t>
      </w:r>
      <w:r w:rsidR="00B20BD7" w:rsidRPr="00283CEC">
        <w:t xml:space="preserve">ner </w:t>
      </w:r>
      <w:r w:rsidRPr="00283CEC">
        <w:t>that is conducive to increased investment and employment.</w:t>
      </w:r>
    </w:p>
    <w:p w:rsidR="001C1D74" w:rsidRPr="00283CEC" w:rsidRDefault="001C1D74" w:rsidP="00357C93">
      <w:pPr>
        <w:pStyle w:val="bt"/>
        <w:rPr>
          <w:rStyle w:val="Strong"/>
        </w:rPr>
      </w:pPr>
      <w:r w:rsidRPr="00283CEC">
        <w:rPr>
          <w:rStyle w:val="Strong"/>
        </w:rPr>
        <w:t xml:space="preserve">Principle 2: </w:t>
      </w:r>
      <w:r w:rsidR="004308F0" w:rsidRPr="00283CEC">
        <w:rPr>
          <w:rStyle w:val="Strong"/>
        </w:rPr>
        <w:t xml:space="preserve">Promote a healthy environment by valuing Gippsland’s environmental and heritage </w:t>
      </w:r>
      <w:r w:rsidR="005F604E" w:rsidRPr="00283CEC">
        <w:rPr>
          <w:rStyle w:val="Strong"/>
        </w:rPr>
        <w:t>assets and</w:t>
      </w:r>
      <w:r w:rsidR="004308F0" w:rsidRPr="00283CEC">
        <w:rPr>
          <w:rStyle w:val="Strong"/>
        </w:rPr>
        <w:t xml:space="preserve"> by minimising the region’s exposure to natural hazards and risks</w:t>
      </w:r>
    </w:p>
    <w:p w:rsidR="001C1D74" w:rsidRPr="00283CEC" w:rsidRDefault="00AA514A" w:rsidP="00357C93">
      <w:pPr>
        <w:pStyle w:val="bt"/>
      </w:pPr>
      <w:r w:rsidRPr="00283CEC">
        <w:t>Distinctive rural landscapes and sensitive environments such as the coast, mountain ranges and natural bushland will be protected and valued.</w:t>
      </w:r>
      <w:r w:rsidR="001C1D74" w:rsidRPr="00283CEC">
        <w:t xml:space="preserve"> </w:t>
      </w:r>
      <w:r w:rsidRPr="00283CEC">
        <w:t>Urban and economic development will be managed so as to minimise adverse impacts on these environmental and cultural heritage assets, and will be directed to areas of lower risk from bushfire, flood and other natural hazards.</w:t>
      </w:r>
      <w:r w:rsidR="005C282D" w:rsidRPr="00283CEC">
        <w:t xml:space="preserve"> </w:t>
      </w:r>
    </w:p>
    <w:p w:rsidR="001C1D74" w:rsidRPr="00283CEC" w:rsidRDefault="001C1D74" w:rsidP="00357C93">
      <w:pPr>
        <w:pStyle w:val="bt"/>
        <w:rPr>
          <w:rStyle w:val="Strong"/>
        </w:rPr>
      </w:pPr>
      <w:r w:rsidRPr="00283CEC">
        <w:rPr>
          <w:rStyle w:val="Strong"/>
        </w:rPr>
        <w:t>Principle 3: Develop sustainable communities through a settlement framework comprising major urban centres</w:t>
      </w:r>
      <w:r w:rsidR="007E7769" w:rsidRPr="00283CEC">
        <w:rPr>
          <w:rStyle w:val="Strong"/>
        </w:rPr>
        <w:t>,</w:t>
      </w:r>
      <w:r w:rsidRPr="00283CEC">
        <w:rPr>
          <w:rStyle w:val="Strong"/>
        </w:rPr>
        <w:t xml:space="preserve"> </w:t>
      </w:r>
      <w:r w:rsidR="001D55E0" w:rsidRPr="00283CEC">
        <w:rPr>
          <w:rStyle w:val="Strong"/>
        </w:rPr>
        <w:t>that</w:t>
      </w:r>
      <w:r w:rsidRPr="00283CEC">
        <w:rPr>
          <w:rStyle w:val="Strong"/>
        </w:rPr>
        <w:t xml:space="preserve"> ensure residents have convenient access to jobs, services, infrastructure and community facilities</w:t>
      </w:r>
    </w:p>
    <w:p w:rsidR="001C1D74" w:rsidRPr="00283CEC" w:rsidRDefault="001C1D74" w:rsidP="00357C93">
      <w:pPr>
        <w:pStyle w:val="bt"/>
        <w:rPr>
          <w:szCs w:val="20"/>
        </w:rPr>
      </w:pPr>
      <w:r w:rsidRPr="00283CEC">
        <w:rPr>
          <w:szCs w:val="20"/>
        </w:rPr>
        <w:t xml:space="preserve">The </w:t>
      </w:r>
      <w:r w:rsidR="009C76F6" w:rsidRPr="00283CEC">
        <w:rPr>
          <w:szCs w:val="20"/>
        </w:rPr>
        <w:t>p</w:t>
      </w:r>
      <w:r w:rsidRPr="00283CEC">
        <w:rPr>
          <w:szCs w:val="20"/>
        </w:rPr>
        <w:t xml:space="preserve">lan introduces a settlement framework for urban growth </w:t>
      </w:r>
      <w:r w:rsidR="007E7769" w:rsidRPr="00283CEC">
        <w:rPr>
          <w:szCs w:val="20"/>
        </w:rPr>
        <w:t xml:space="preserve">that </w:t>
      </w:r>
      <w:r w:rsidRPr="00283CEC">
        <w:rPr>
          <w:szCs w:val="20"/>
        </w:rPr>
        <w:t xml:space="preserve">builds on the existing network of main towns. The </w:t>
      </w:r>
      <w:r w:rsidR="00002955" w:rsidRPr="00283CEC">
        <w:rPr>
          <w:szCs w:val="20"/>
        </w:rPr>
        <w:t xml:space="preserve">regional city </w:t>
      </w:r>
      <w:r w:rsidRPr="00283CEC">
        <w:rPr>
          <w:szCs w:val="20"/>
        </w:rPr>
        <w:t xml:space="preserve">is centrally </w:t>
      </w:r>
      <w:r w:rsidR="00002955" w:rsidRPr="00283CEC">
        <w:rPr>
          <w:szCs w:val="20"/>
        </w:rPr>
        <w:t xml:space="preserve">located </w:t>
      </w:r>
      <w:r w:rsidRPr="00283CEC">
        <w:rPr>
          <w:szCs w:val="20"/>
        </w:rPr>
        <w:t xml:space="preserve">and has the scale and range of services </w:t>
      </w:r>
      <w:r w:rsidR="00002955" w:rsidRPr="00283CEC">
        <w:rPr>
          <w:szCs w:val="20"/>
        </w:rPr>
        <w:t xml:space="preserve">needed </w:t>
      </w:r>
      <w:r w:rsidRPr="00283CEC">
        <w:rPr>
          <w:szCs w:val="20"/>
        </w:rPr>
        <w:t xml:space="preserve">to provide benefits across the region. </w:t>
      </w:r>
      <w:r w:rsidR="00002955" w:rsidRPr="00283CEC">
        <w:rPr>
          <w:szCs w:val="20"/>
        </w:rPr>
        <w:t>The r</w:t>
      </w:r>
      <w:r w:rsidRPr="00283CEC">
        <w:rPr>
          <w:szCs w:val="20"/>
        </w:rPr>
        <w:t xml:space="preserve">egional centres </w:t>
      </w:r>
      <w:r w:rsidR="00002955" w:rsidRPr="00283CEC">
        <w:rPr>
          <w:szCs w:val="20"/>
        </w:rPr>
        <w:t xml:space="preserve">of </w:t>
      </w:r>
      <w:r w:rsidRPr="00283CEC">
        <w:rPr>
          <w:szCs w:val="20"/>
        </w:rPr>
        <w:t>Warragul, Leongatha, Wonthaggi, Bairnsdale and Sale</w:t>
      </w:r>
      <w:r w:rsidR="00E147EA" w:rsidRPr="00283CEC">
        <w:rPr>
          <w:szCs w:val="20"/>
        </w:rPr>
        <w:t xml:space="preserve">, </w:t>
      </w:r>
      <w:r w:rsidRPr="00283CEC">
        <w:rPr>
          <w:szCs w:val="20"/>
        </w:rPr>
        <w:t>and a network of smaller nearby towns including Drouin, Korumbu</w:t>
      </w:r>
      <w:r w:rsidR="007F4E77" w:rsidRPr="00283CEC">
        <w:rPr>
          <w:szCs w:val="20"/>
        </w:rPr>
        <w:t xml:space="preserve">rra, Inverloch, Paynesville, </w:t>
      </w:r>
      <w:r w:rsidRPr="00283CEC">
        <w:rPr>
          <w:szCs w:val="20"/>
        </w:rPr>
        <w:t>Maffra</w:t>
      </w:r>
      <w:r w:rsidR="007F4E77" w:rsidRPr="00283CEC">
        <w:rPr>
          <w:szCs w:val="20"/>
        </w:rPr>
        <w:t xml:space="preserve"> and Stratford</w:t>
      </w:r>
      <w:r w:rsidR="00E147EA" w:rsidRPr="00283CEC">
        <w:rPr>
          <w:szCs w:val="20"/>
        </w:rPr>
        <w:t>,</w:t>
      </w:r>
      <w:r w:rsidR="00002955" w:rsidRPr="00283CEC">
        <w:rPr>
          <w:szCs w:val="20"/>
        </w:rPr>
        <w:t xml:space="preserve"> </w:t>
      </w:r>
      <w:r w:rsidRPr="00283CEC">
        <w:rPr>
          <w:szCs w:val="20"/>
        </w:rPr>
        <w:t xml:space="preserve">will distribute growth and access to services across the </w:t>
      </w:r>
      <w:r w:rsidR="00002955" w:rsidRPr="00283CEC">
        <w:rPr>
          <w:szCs w:val="20"/>
        </w:rPr>
        <w:t xml:space="preserve">Gippsland </w:t>
      </w:r>
      <w:r w:rsidRPr="00283CEC">
        <w:rPr>
          <w:szCs w:val="20"/>
        </w:rPr>
        <w:t xml:space="preserve">region. The importance of district and smaller towns is acknowledged. Urban growth will be coordinated </w:t>
      </w:r>
      <w:r w:rsidR="00002955" w:rsidRPr="00283CEC">
        <w:rPr>
          <w:szCs w:val="20"/>
        </w:rPr>
        <w:t xml:space="preserve">to encourage </w:t>
      </w:r>
      <w:r w:rsidRPr="00283CEC">
        <w:rPr>
          <w:szCs w:val="20"/>
        </w:rPr>
        <w:t>servic</w:t>
      </w:r>
      <w:r w:rsidR="00002955" w:rsidRPr="00283CEC">
        <w:rPr>
          <w:szCs w:val="20"/>
        </w:rPr>
        <w:t xml:space="preserve">es </w:t>
      </w:r>
      <w:r w:rsidRPr="00283CEC">
        <w:rPr>
          <w:szCs w:val="20"/>
        </w:rPr>
        <w:t xml:space="preserve">and housing stock </w:t>
      </w:r>
      <w:r w:rsidR="00002955" w:rsidRPr="00283CEC">
        <w:rPr>
          <w:szCs w:val="20"/>
        </w:rPr>
        <w:t xml:space="preserve">that better </w:t>
      </w:r>
      <w:r w:rsidRPr="00283CEC">
        <w:rPr>
          <w:szCs w:val="20"/>
        </w:rPr>
        <w:t>meet the needs of a changing population and the projected increase in smaller households.</w:t>
      </w:r>
    </w:p>
    <w:p w:rsidR="001C1D74" w:rsidRPr="00283CEC" w:rsidRDefault="001C1D74" w:rsidP="00357C93">
      <w:pPr>
        <w:pStyle w:val="bt"/>
        <w:rPr>
          <w:rStyle w:val="Strong"/>
        </w:rPr>
      </w:pPr>
      <w:r w:rsidRPr="00283CEC">
        <w:rPr>
          <w:rStyle w:val="Strong"/>
        </w:rPr>
        <w:t>Principle 4: Deliver timely and accessible infrastructure to meet regional needs for transport, utilities and community facilities</w:t>
      </w:r>
    </w:p>
    <w:p w:rsidR="00BE57BC" w:rsidRPr="00283CEC" w:rsidRDefault="001C1D74" w:rsidP="00357C93">
      <w:pPr>
        <w:pStyle w:val="bt"/>
      </w:pPr>
      <w:r w:rsidRPr="00283CEC">
        <w:t xml:space="preserve">The </w:t>
      </w:r>
      <w:r w:rsidR="009C76F6" w:rsidRPr="00283CEC">
        <w:t>p</w:t>
      </w:r>
      <w:r w:rsidRPr="00283CEC">
        <w:t xml:space="preserve">lan recognises the importance of road and public transport and promotes initiatives to improve access within the region and to markets and services in Melbourne and beyond. Urban development will be directed to places </w:t>
      </w:r>
      <w:r w:rsidR="00002955" w:rsidRPr="00283CEC">
        <w:t xml:space="preserve">with </w:t>
      </w:r>
      <w:r w:rsidRPr="00283CEC">
        <w:t>existing capacity in services and infrastructure such as water, sewerage, electricity, roads and public transport</w:t>
      </w:r>
      <w:r w:rsidR="00002955" w:rsidRPr="00283CEC">
        <w:t>,</w:t>
      </w:r>
      <w:r w:rsidRPr="00283CEC">
        <w:t xml:space="preserve"> and where additional servicing can be accommodated in an economically efficient manner. Regional services such as hospitals, tertiary education, sports and cultural facilities will be focused across the network of major centres.</w:t>
      </w:r>
    </w:p>
    <w:p w:rsidR="00BC653A" w:rsidRPr="00283CEC" w:rsidRDefault="00BC653A">
      <w:pPr>
        <w:rPr>
          <w:rFonts w:cs="Calibri"/>
          <w:szCs w:val="20"/>
        </w:rPr>
      </w:pPr>
    </w:p>
    <w:p w:rsidR="00BC653A" w:rsidRPr="00283CEC" w:rsidRDefault="00BC653A">
      <w:pPr>
        <w:rPr>
          <w:rFonts w:cs="Calibri"/>
          <w:szCs w:val="20"/>
        </w:rPr>
        <w:sectPr w:rsidR="00BC653A" w:rsidRPr="00283CEC" w:rsidSect="006E5D4D">
          <w:headerReference w:type="default" r:id="rId23"/>
          <w:pgSz w:w="11906" w:h="16838"/>
          <w:pgMar w:top="1440" w:right="1440" w:bottom="993" w:left="1440" w:header="708" w:footer="708" w:gutter="0"/>
          <w:cols w:space="708"/>
          <w:docGrid w:linePitch="360"/>
        </w:sectPr>
      </w:pPr>
    </w:p>
    <w:p w:rsidR="00A00E44" w:rsidRPr="00283CEC" w:rsidRDefault="00A00E44" w:rsidP="002C3AF4">
      <w:pPr>
        <w:pStyle w:val="Heading1"/>
      </w:pPr>
      <w:bookmarkStart w:id="55" w:name="_Toc336871219"/>
      <w:bookmarkStart w:id="56" w:name="_Toc376791241"/>
      <w:r w:rsidRPr="00283CEC">
        <w:t>PART C</w:t>
      </w:r>
      <w:r w:rsidR="00E5661A" w:rsidRPr="00283CEC">
        <w:t>:</w:t>
      </w:r>
      <w:r w:rsidRPr="00283CEC">
        <w:tab/>
        <w:t>T</w:t>
      </w:r>
      <w:r w:rsidR="009B6188" w:rsidRPr="00283CEC">
        <w:t>OWARDS</w:t>
      </w:r>
      <w:r w:rsidRPr="00283CEC">
        <w:t xml:space="preserve"> </w:t>
      </w:r>
      <w:r w:rsidR="009B6188" w:rsidRPr="00283CEC">
        <w:t>THE</w:t>
      </w:r>
      <w:r w:rsidRPr="00283CEC">
        <w:t xml:space="preserve"> R</w:t>
      </w:r>
      <w:r w:rsidR="009B6188" w:rsidRPr="00283CEC">
        <w:t>EGIONAL</w:t>
      </w:r>
      <w:r w:rsidRPr="00283CEC">
        <w:t xml:space="preserve"> G</w:t>
      </w:r>
      <w:r w:rsidR="009B6188" w:rsidRPr="00283CEC">
        <w:t>ROWTH</w:t>
      </w:r>
      <w:r w:rsidRPr="00283CEC">
        <w:t xml:space="preserve"> P</w:t>
      </w:r>
      <w:r w:rsidR="009B6188" w:rsidRPr="00283CEC">
        <w:t>LAN</w:t>
      </w:r>
      <w:r w:rsidRPr="00283CEC">
        <w:t xml:space="preserve"> –</w:t>
      </w:r>
      <w:r w:rsidR="00FC77ED">
        <w:t xml:space="preserve"> </w:t>
      </w:r>
      <w:r w:rsidRPr="00283CEC">
        <w:t>R</w:t>
      </w:r>
      <w:r w:rsidR="009B6188" w:rsidRPr="00283CEC">
        <w:t>EGIONAL</w:t>
      </w:r>
      <w:r w:rsidRPr="00283CEC">
        <w:t xml:space="preserve"> L</w:t>
      </w:r>
      <w:r w:rsidR="009B6188" w:rsidRPr="00283CEC">
        <w:t>AND</w:t>
      </w:r>
      <w:r w:rsidRPr="00283CEC">
        <w:t xml:space="preserve"> U</w:t>
      </w:r>
      <w:r w:rsidR="009B6188" w:rsidRPr="00283CEC">
        <w:t>SE</w:t>
      </w:r>
      <w:r w:rsidRPr="00283CEC">
        <w:t xml:space="preserve"> F</w:t>
      </w:r>
      <w:bookmarkEnd w:id="55"/>
      <w:r w:rsidR="009B6188" w:rsidRPr="00283CEC">
        <w:t>RAMEWORK</w:t>
      </w:r>
      <w:bookmarkEnd w:id="56"/>
    </w:p>
    <w:p w:rsidR="00A00E44" w:rsidRPr="00283CEC" w:rsidRDefault="00A00E44" w:rsidP="00357C93">
      <w:pPr>
        <w:pStyle w:val="Heading11"/>
      </w:pPr>
      <w:bookmarkStart w:id="57" w:name="_Toc336871220"/>
      <w:bookmarkStart w:id="58" w:name="_Toc376791242"/>
      <w:r w:rsidRPr="00283CEC">
        <w:t xml:space="preserve">Regional </w:t>
      </w:r>
      <w:r w:rsidR="00FA6702" w:rsidRPr="00283CEC">
        <w:t>e</w:t>
      </w:r>
      <w:r w:rsidRPr="00283CEC">
        <w:t>conomy</w:t>
      </w:r>
      <w:bookmarkEnd w:id="57"/>
      <w:bookmarkEnd w:id="58"/>
    </w:p>
    <w:p w:rsidR="00357C93" w:rsidRPr="00283CEC" w:rsidRDefault="00357C93" w:rsidP="00357C93">
      <w:pPr>
        <w:pStyle w:val="bt"/>
        <w:rPr>
          <w:rStyle w:val="Strong"/>
        </w:rPr>
      </w:pPr>
      <w:r w:rsidRPr="00283CEC">
        <w:rPr>
          <w:rStyle w:val="Strong"/>
        </w:rPr>
        <w:t>Future directions</w:t>
      </w:r>
    </w:p>
    <w:p w:rsidR="00357C93" w:rsidRPr="000F204E" w:rsidRDefault="00357C93" w:rsidP="000F204E">
      <w:pPr>
        <w:pStyle w:val="btbullet"/>
      </w:pPr>
      <w:r w:rsidRPr="000F204E">
        <w:t>Facilitate vibrant and prosperous commercial centres in the region’s major urban centres that respond to changing population and market conditions</w:t>
      </w:r>
    </w:p>
    <w:p w:rsidR="00357C93" w:rsidRPr="000F204E" w:rsidRDefault="00357C93" w:rsidP="000F204E">
      <w:pPr>
        <w:pStyle w:val="btbullet"/>
      </w:pPr>
      <w:r w:rsidRPr="000F204E">
        <w:t>Further diversify Gippsland’s service and manufacturing industries to support job creation and investment, and value</w:t>
      </w:r>
      <w:r w:rsidR="007E7769" w:rsidRPr="000F204E">
        <w:t>-</w:t>
      </w:r>
      <w:r w:rsidRPr="000F204E">
        <w:t>add to local products</w:t>
      </w:r>
    </w:p>
    <w:p w:rsidR="00357C93" w:rsidRPr="000F204E" w:rsidRDefault="00357C93" w:rsidP="000F204E">
      <w:pPr>
        <w:pStyle w:val="btbullet"/>
      </w:pPr>
      <w:r w:rsidRPr="000F204E">
        <w:t>Advance productive and innovative agriculture, forestry and fisheries sectors with a focus on export markets and local food processing</w:t>
      </w:r>
    </w:p>
    <w:p w:rsidR="00357C93" w:rsidRPr="000F204E" w:rsidRDefault="00357C93" w:rsidP="000F204E">
      <w:pPr>
        <w:pStyle w:val="btbullet"/>
      </w:pPr>
      <w:r w:rsidRPr="000F204E">
        <w:t>Strengthen the energy sector, subject to best practice environmental standards, and identify, protect, extract and process valued earth resources such as brown coal, oil and gas, and sand and rock</w:t>
      </w:r>
    </w:p>
    <w:p w:rsidR="00357C93" w:rsidRPr="000F204E" w:rsidRDefault="00357C93" w:rsidP="000F204E">
      <w:pPr>
        <w:pStyle w:val="btbullet"/>
      </w:pPr>
      <w:r w:rsidRPr="000F204E">
        <w:t>Facilitate the rejuvenation, expansion and development of regional tourism based on Gippsland’s environmental and cultural heritage assets and identified strategic tourism investment areas</w:t>
      </w:r>
    </w:p>
    <w:p w:rsidR="005C0F0F" w:rsidRPr="00283CEC" w:rsidRDefault="009F6024" w:rsidP="00357C93">
      <w:pPr>
        <w:pStyle w:val="bt"/>
      </w:pPr>
      <w:r w:rsidRPr="00283CEC">
        <w:t>The Gippsland</w:t>
      </w:r>
      <w:r w:rsidR="005C0F0F" w:rsidRPr="00283CEC">
        <w:t xml:space="preserve"> region’s</w:t>
      </w:r>
      <w:r w:rsidRPr="00283CEC">
        <w:t xml:space="preserve"> economy is </w:t>
      </w:r>
      <w:r w:rsidR="00B946B8" w:rsidRPr="00283CEC">
        <w:t xml:space="preserve">predominantly driven by </w:t>
      </w:r>
      <w:r w:rsidR="005C0F0F" w:rsidRPr="00283CEC">
        <w:t>its</w:t>
      </w:r>
      <w:r w:rsidR="00B946B8" w:rsidRPr="00283CEC">
        <w:t xml:space="preserve"> abundant </w:t>
      </w:r>
      <w:r w:rsidRPr="00283CEC">
        <w:t>natural</w:t>
      </w:r>
      <w:r w:rsidR="00B946B8" w:rsidRPr="00283CEC">
        <w:t xml:space="preserve"> resources </w:t>
      </w:r>
      <w:r w:rsidR="00B43506" w:rsidRPr="00283CEC">
        <w:t xml:space="preserve">such as </w:t>
      </w:r>
      <w:r w:rsidRPr="00283CEC">
        <w:t xml:space="preserve">productive agricultural land and earth resources including coal, </w:t>
      </w:r>
      <w:r w:rsidR="00B946B8" w:rsidRPr="00283CEC">
        <w:t xml:space="preserve">sand, </w:t>
      </w:r>
      <w:r w:rsidRPr="00283CEC">
        <w:t>gas and oil. In addition, the region’s extensive coastline, waterways</w:t>
      </w:r>
      <w:r w:rsidR="00DE7FDF" w:rsidRPr="00283CEC">
        <w:t xml:space="preserve">, </w:t>
      </w:r>
      <w:r w:rsidR="00B43506" w:rsidRPr="00283CEC">
        <w:t>n</w:t>
      </w:r>
      <w:r w:rsidRPr="00283CEC">
        <w:t xml:space="preserve">ational </w:t>
      </w:r>
      <w:r w:rsidR="00B43506" w:rsidRPr="00283CEC">
        <w:t>p</w:t>
      </w:r>
      <w:r w:rsidRPr="00283CEC">
        <w:t>arks</w:t>
      </w:r>
      <w:r w:rsidR="00DE7FDF" w:rsidRPr="00283CEC">
        <w:t xml:space="preserve">, </w:t>
      </w:r>
      <w:r w:rsidR="008C1B27" w:rsidRPr="00283CEC">
        <w:t xml:space="preserve">cultural </w:t>
      </w:r>
      <w:r w:rsidR="00020576" w:rsidRPr="00283CEC">
        <w:t xml:space="preserve">heritage </w:t>
      </w:r>
      <w:r w:rsidR="00D676FB" w:rsidRPr="00283CEC">
        <w:t>places</w:t>
      </w:r>
      <w:r w:rsidR="00020576" w:rsidRPr="00283CEC">
        <w:t xml:space="preserve"> </w:t>
      </w:r>
      <w:r w:rsidR="00DE7FDF" w:rsidRPr="00283CEC">
        <w:t>and unique wildlife experiences</w:t>
      </w:r>
      <w:r w:rsidR="00320231" w:rsidRPr="00283CEC">
        <w:t>,</w:t>
      </w:r>
      <w:r w:rsidR="00DE7FDF" w:rsidRPr="00283CEC">
        <w:t xml:space="preserve"> such as the Phi</w:t>
      </w:r>
      <w:r w:rsidR="0045042E" w:rsidRPr="00283CEC">
        <w:t>l</w:t>
      </w:r>
      <w:r w:rsidR="00DE7FDF" w:rsidRPr="00283CEC">
        <w:t>lip Island penguins</w:t>
      </w:r>
      <w:r w:rsidR="00320231" w:rsidRPr="00283CEC">
        <w:t>,</w:t>
      </w:r>
      <w:r w:rsidR="00DE7FDF" w:rsidRPr="00283CEC">
        <w:t xml:space="preserve"> </w:t>
      </w:r>
      <w:r w:rsidRPr="00283CEC">
        <w:t>support a significant tourism industry</w:t>
      </w:r>
      <w:r w:rsidR="00DE7FDF" w:rsidRPr="00283CEC">
        <w:t>.</w:t>
      </w:r>
      <w:r w:rsidR="00274881" w:rsidRPr="00283CEC">
        <w:t xml:space="preserve"> </w:t>
      </w:r>
    </w:p>
    <w:p w:rsidR="009F6024" w:rsidRPr="00283CEC" w:rsidRDefault="009F6024" w:rsidP="00357C93">
      <w:pPr>
        <w:pStyle w:val="bt"/>
      </w:pPr>
      <w:r w:rsidRPr="00283CEC">
        <w:t>Dairy, meat production, horticulture and forestry generate significant wealth and employment both through primary production and through associated processing and manufacturing. Energy, gas, water, mining</w:t>
      </w:r>
      <w:r w:rsidR="007F4E77" w:rsidRPr="00283CEC">
        <w:t xml:space="preserve">, construction </w:t>
      </w:r>
      <w:r w:rsidRPr="00283CEC">
        <w:t xml:space="preserve">and </w:t>
      </w:r>
      <w:r w:rsidR="007F4E77" w:rsidRPr="00283CEC">
        <w:t>defence</w:t>
      </w:r>
      <w:r w:rsidRPr="00283CEC">
        <w:t xml:space="preserve"> are other key sectors </w:t>
      </w:r>
      <w:r w:rsidR="00B43506" w:rsidRPr="00283CEC">
        <w:t xml:space="preserve">that </w:t>
      </w:r>
      <w:r w:rsidRPr="00283CEC">
        <w:t xml:space="preserve">drive the Gippsland economy and create significant benefits for employment, exports and wealth creation. Retail trade, healthcare, education and social assistance are also important </w:t>
      </w:r>
      <w:r w:rsidR="00B43506" w:rsidRPr="00283CEC">
        <w:t xml:space="preserve">regional </w:t>
      </w:r>
      <w:r w:rsidRPr="00283CEC">
        <w:t>sectors and are expected to remain strong into the future.</w:t>
      </w:r>
    </w:p>
    <w:p w:rsidR="009F6024" w:rsidRPr="00283CEC" w:rsidRDefault="007A4803" w:rsidP="00357C93">
      <w:pPr>
        <w:pStyle w:val="bt"/>
      </w:pPr>
      <w:r w:rsidRPr="00283CEC">
        <w:t xml:space="preserve">Significantly, </w:t>
      </w:r>
      <w:r w:rsidR="009F6024" w:rsidRPr="00283CEC">
        <w:t>Gippsland’s natural resources help underpin the wider Victorian economy</w:t>
      </w:r>
      <w:r w:rsidRPr="00283CEC">
        <w:t xml:space="preserve"> through reliable power generation</w:t>
      </w:r>
      <w:r w:rsidR="009F6024" w:rsidRPr="00283CEC">
        <w:t xml:space="preserve">. The region’s brown coal resources and energy infrastructure produce </w:t>
      </w:r>
      <w:r w:rsidR="00BA4404" w:rsidRPr="00283CEC">
        <w:t>around 90</w:t>
      </w:r>
      <w:r w:rsidR="009C76F6" w:rsidRPr="00283CEC">
        <w:t xml:space="preserve"> per cent</w:t>
      </w:r>
      <w:r w:rsidR="00BA4404" w:rsidRPr="00283CEC">
        <w:t xml:space="preserve"> of the </w:t>
      </w:r>
      <w:r w:rsidR="00B43506" w:rsidRPr="00283CEC">
        <w:t>s</w:t>
      </w:r>
      <w:r w:rsidR="00BA4404" w:rsidRPr="00283CEC">
        <w:t>tate’s</w:t>
      </w:r>
      <w:r w:rsidR="009F6024" w:rsidRPr="00283CEC">
        <w:t xml:space="preserve"> electricity</w:t>
      </w:r>
      <w:r w:rsidRPr="00283CEC">
        <w:t>. In addition</w:t>
      </w:r>
      <w:r w:rsidR="007E7769" w:rsidRPr="00283CEC">
        <w:t>,</w:t>
      </w:r>
      <w:r w:rsidR="003B4B6A" w:rsidRPr="00283CEC">
        <w:t xml:space="preserve"> </w:t>
      </w:r>
      <w:r w:rsidR="009F6024" w:rsidRPr="00283CEC">
        <w:t xml:space="preserve">the Thomson Reservoir </w:t>
      </w:r>
      <w:r w:rsidR="00C254A9" w:rsidRPr="00283CEC">
        <w:t>is</w:t>
      </w:r>
      <w:r w:rsidR="009F6024" w:rsidRPr="00283CEC">
        <w:t xml:space="preserve"> fundamental to Melbourne’s water security. </w:t>
      </w:r>
      <w:r w:rsidR="00D21D22" w:rsidRPr="00283CEC">
        <w:t>Gippsland also supplies about 32</w:t>
      </w:r>
      <w:r w:rsidR="009C76F6" w:rsidRPr="00283CEC">
        <w:t xml:space="preserve"> per cent</w:t>
      </w:r>
      <w:r w:rsidR="00BA4404" w:rsidRPr="00283CEC">
        <w:t xml:space="preserve"> of Victoria’s milk, 25</w:t>
      </w:r>
      <w:r w:rsidR="009C76F6" w:rsidRPr="00283CEC">
        <w:t xml:space="preserve"> per cent</w:t>
      </w:r>
      <w:r w:rsidR="00BA4404" w:rsidRPr="00283CEC">
        <w:t xml:space="preserve"> of its beef and 14</w:t>
      </w:r>
      <w:r w:rsidR="009C76F6" w:rsidRPr="00283CEC">
        <w:t xml:space="preserve"> per cent</w:t>
      </w:r>
      <w:r w:rsidR="00BA4404" w:rsidRPr="00283CEC">
        <w:t xml:space="preserve"> of its fruit and vegetables</w:t>
      </w:r>
      <w:r w:rsidR="00B43506" w:rsidRPr="00283CEC">
        <w:t>. T</w:t>
      </w:r>
      <w:r w:rsidR="00BA4404" w:rsidRPr="00283CEC">
        <w:t xml:space="preserve">ourist attractions </w:t>
      </w:r>
      <w:r w:rsidR="00B43506" w:rsidRPr="00283CEC">
        <w:t xml:space="preserve">such as </w:t>
      </w:r>
      <w:r w:rsidR="00BA4404" w:rsidRPr="00283CEC">
        <w:t xml:space="preserve">Gippsland Lakes, Wilsons Promontory, Phillip Island and the </w:t>
      </w:r>
      <w:r w:rsidR="00D21D22" w:rsidRPr="00283CEC">
        <w:t>Australian</w:t>
      </w:r>
      <w:r w:rsidR="00BA4404" w:rsidRPr="00283CEC">
        <w:t xml:space="preserve"> Alps are important components of the </w:t>
      </w:r>
      <w:r w:rsidR="00B43506" w:rsidRPr="00283CEC">
        <w:t>s</w:t>
      </w:r>
      <w:r w:rsidR="00BA4404" w:rsidRPr="00283CEC">
        <w:t>tate’s tourism offer.</w:t>
      </w:r>
    </w:p>
    <w:p w:rsidR="00F668EA" w:rsidRDefault="009F6024" w:rsidP="00F668EA">
      <w:pPr>
        <w:pStyle w:val="bt"/>
      </w:pPr>
      <w:r w:rsidRPr="00283CEC">
        <w:t xml:space="preserve">However, </w:t>
      </w:r>
      <w:r w:rsidR="007A4803" w:rsidRPr="00283CEC">
        <w:t xml:space="preserve">climate change and the </w:t>
      </w:r>
      <w:r w:rsidR="00B43506" w:rsidRPr="00283CEC">
        <w:t xml:space="preserve">introduction of </w:t>
      </w:r>
      <w:r w:rsidR="00D9712A" w:rsidRPr="00283CEC">
        <w:t xml:space="preserve">initiatives to reduce greenhouse gas </w:t>
      </w:r>
      <w:r w:rsidR="00E010D2" w:rsidRPr="00283CEC">
        <w:t>emissions will</w:t>
      </w:r>
      <w:r w:rsidR="007A4803" w:rsidRPr="00283CEC">
        <w:t xml:space="preserve"> have</w:t>
      </w:r>
      <w:r w:rsidR="00105EC3" w:rsidRPr="00283CEC">
        <w:t xml:space="preserve"> </w:t>
      </w:r>
      <w:r w:rsidR="00DE7FDF" w:rsidRPr="00283CEC">
        <w:t xml:space="preserve">major </w:t>
      </w:r>
      <w:r w:rsidRPr="00283CEC">
        <w:t xml:space="preserve">implications for the Gippsland economy given the </w:t>
      </w:r>
      <w:r w:rsidR="00B43506" w:rsidRPr="00283CEC">
        <w:t xml:space="preserve">size of </w:t>
      </w:r>
      <w:r w:rsidR="00DE7FDF" w:rsidRPr="00283CEC">
        <w:t>its</w:t>
      </w:r>
      <w:r w:rsidRPr="00283CEC">
        <w:t xml:space="preserve"> mining and power generation sectors. </w:t>
      </w:r>
      <w:r w:rsidR="00B955D9" w:rsidRPr="00283CEC">
        <w:t xml:space="preserve">Gippsland </w:t>
      </w:r>
      <w:r w:rsidR="00EE54E5" w:rsidRPr="00283CEC">
        <w:t>will need</w:t>
      </w:r>
      <w:r w:rsidRPr="00283CEC">
        <w:t xml:space="preserve"> to move to a low-carbon economy and diversify its economic </w:t>
      </w:r>
      <w:r w:rsidR="007A4803" w:rsidRPr="00283CEC">
        <w:t>activities</w:t>
      </w:r>
      <w:r w:rsidR="00B955D9" w:rsidRPr="00283CEC">
        <w:t xml:space="preserve">. The region is in a position to take advantage of its existing assets and resources in energy and agriculture at the same time as growing other sectors of the economy to </w:t>
      </w:r>
      <w:r w:rsidR="00B43506" w:rsidRPr="00283CEC">
        <w:t xml:space="preserve">broaden </w:t>
      </w:r>
      <w:r w:rsidR="00B955D9" w:rsidRPr="00283CEC">
        <w:t xml:space="preserve">employment opportunities. </w:t>
      </w:r>
      <w:r w:rsidR="00865616" w:rsidRPr="00283CEC">
        <w:t xml:space="preserve">The region contains significant infrastructure as identified </w:t>
      </w:r>
      <w:r w:rsidR="00FC77ED">
        <w:t>on</w:t>
      </w:r>
      <w:r w:rsidR="00FF2EF6">
        <w:t xml:space="preserve"> </w:t>
      </w:r>
      <w:r w:rsidR="00AD704A">
        <w:t>Map 5</w:t>
      </w:r>
      <w:r w:rsidR="00865616" w:rsidRPr="00283CEC">
        <w:t>.</w:t>
      </w:r>
      <w:bookmarkStart w:id="59" w:name="_Ref373930970"/>
      <w:bookmarkStart w:id="60" w:name="_Toc374361105"/>
    </w:p>
    <w:p w:rsidR="00FC22AE" w:rsidRPr="00F668EA" w:rsidRDefault="006B4F4E" w:rsidP="00F668EA">
      <w:pPr>
        <w:pStyle w:val="bt"/>
      </w:pPr>
      <w:r w:rsidRPr="00F668EA">
        <w:t>Map</w:t>
      </w:r>
      <w:r w:rsidR="00AD704A">
        <w:t xml:space="preserve"> 5</w:t>
      </w:r>
      <w:bookmarkEnd w:id="59"/>
      <w:r w:rsidR="00F668EA">
        <w:t xml:space="preserve"> is located here in the document and it shows -</w:t>
      </w:r>
      <w:r w:rsidR="00B80607" w:rsidRPr="00F668EA">
        <w:t xml:space="preserve"> </w:t>
      </w:r>
      <w:r w:rsidRPr="00F668EA">
        <w:t>Infrastructure</w:t>
      </w:r>
      <w:bookmarkEnd w:id="60"/>
    </w:p>
    <w:p w:rsidR="009F6024" w:rsidRPr="00283CEC" w:rsidRDefault="009F6024" w:rsidP="00357C93">
      <w:pPr>
        <w:pStyle w:val="bt"/>
      </w:pPr>
      <w:r w:rsidRPr="00283CEC">
        <w:t xml:space="preserve">New </w:t>
      </w:r>
      <w:r w:rsidR="00DE7FDF" w:rsidRPr="00283CEC">
        <w:t xml:space="preserve">industries </w:t>
      </w:r>
      <w:r w:rsidRPr="00283CEC">
        <w:t xml:space="preserve">are being explored that build on the region’s competitive strengths, </w:t>
      </w:r>
      <w:r w:rsidR="00DE7FDF" w:rsidRPr="00283CEC">
        <w:t xml:space="preserve">particularly opportunities </w:t>
      </w:r>
      <w:r w:rsidR="00105EC3" w:rsidRPr="00283CEC">
        <w:t xml:space="preserve">in </w:t>
      </w:r>
      <w:r w:rsidR="00554DBE" w:rsidRPr="00283CEC">
        <w:t xml:space="preserve">coal </w:t>
      </w:r>
      <w:r w:rsidR="007A4803" w:rsidRPr="00283CEC">
        <w:t xml:space="preserve">research and </w:t>
      </w:r>
      <w:r w:rsidR="00105EC3" w:rsidRPr="00283CEC">
        <w:t xml:space="preserve">technology </w:t>
      </w:r>
      <w:r w:rsidR="009C76F6" w:rsidRPr="00283CEC">
        <w:t xml:space="preserve">such as </w:t>
      </w:r>
      <w:r w:rsidR="004D2BFB" w:rsidRPr="00283CEC">
        <w:t xml:space="preserve">more sustainable energy and </w:t>
      </w:r>
      <w:r w:rsidR="00105EC3" w:rsidRPr="00283CEC">
        <w:t>carbon capture and storage</w:t>
      </w:r>
      <w:r w:rsidR="009C76F6" w:rsidRPr="00283CEC">
        <w:t xml:space="preserve">. Other opportunities include </w:t>
      </w:r>
      <w:r w:rsidRPr="00283CEC">
        <w:t>advanced manufacturing</w:t>
      </w:r>
      <w:r w:rsidR="004D2BFB" w:rsidRPr="00283CEC">
        <w:t>, intensive agriculture and food processing,</w:t>
      </w:r>
      <w:r w:rsidR="007A4803" w:rsidRPr="00283CEC">
        <w:t xml:space="preserve"> and tourism</w:t>
      </w:r>
      <w:r w:rsidRPr="00283CEC">
        <w:t>.</w:t>
      </w:r>
      <w:r w:rsidR="004D2BFB" w:rsidRPr="00283CEC">
        <w:t xml:space="preserve"> Growth is also projected in the service sectors including health and social assistance, professional and technical services, and finance services.</w:t>
      </w:r>
    </w:p>
    <w:p w:rsidR="005C0F0F" w:rsidRPr="00283CEC" w:rsidRDefault="005C0F0F" w:rsidP="00357C93">
      <w:pPr>
        <w:pStyle w:val="bt"/>
      </w:pPr>
      <w:r w:rsidRPr="00283CEC">
        <w:t xml:space="preserve">The diverse </w:t>
      </w:r>
      <w:r w:rsidR="008A730C" w:rsidRPr="00283CEC">
        <w:t>range of opportunities for the region is</w:t>
      </w:r>
      <w:r w:rsidRPr="00283CEC">
        <w:t xml:space="preserve"> shown </w:t>
      </w:r>
      <w:r w:rsidR="00FC77ED">
        <w:t>on</w:t>
      </w:r>
      <w:r w:rsidR="00FF2EF6">
        <w:t xml:space="preserve"> </w:t>
      </w:r>
      <w:r w:rsidR="00AD704A">
        <w:t>Map 6</w:t>
      </w:r>
      <w:r w:rsidR="00287B5F">
        <w:t>: Future directions for the economy</w:t>
      </w:r>
      <w:r w:rsidRPr="00283CEC">
        <w:t>.</w:t>
      </w:r>
    </w:p>
    <w:p w:rsidR="009F6024" w:rsidRPr="00283CEC" w:rsidRDefault="009F6024" w:rsidP="00357C93">
      <w:pPr>
        <w:pStyle w:val="bt"/>
      </w:pPr>
      <w:r w:rsidRPr="00283CEC">
        <w:t xml:space="preserve">In </w:t>
      </w:r>
      <w:r w:rsidR="00072476" w:rsidRPr="00283CEC">
        <w:t xml:space="preserve">the </w:t>
      </w:r>
      <w:r w:rsidRPr="00283CEC">
        <w:t xml:space="preserve">agriculture </w:t>
      </w:r>
      <w:r w:rsidR="00072476" w:rsidRPr="00283CEC">
        <w:t xml:space="preserve">sector, new </w:t>
      </w:r>
      <w:r w:rsidRPr="00283CEC">
        <w:t xml:space="preserve">ways </w:t>
      </w:r>
      <w:r w:rsidR="00072476" w:rsidRPr="00283CEC">
        <w:t xml:space="preserve">of </w:t>
      </w:r>
      <w:r w:rsidRPr="00283CEC">
        <w:t>maximis</w:t>
      </w:r>
      <w:r w:rsidR="00072476" w:rsidRPr="00283CEC">
        <w:t xml:space="preserve">ing </w:t>
      </w:r>
      <w:r w:rsidRPr="00283CEC">
        <w:t xml:space="preserve">food and processing capabilities </w:t>
      </w:r>
      <w:r w:rsidR="00072476" w:rsidRPr="00283CEC">
        <w:t xml:space="preserve">are being explored </w:t>
      </w:r>
      <w:r w:rsidRPr="00283CEC">
        <w:t xml:space="preserve">through food manufacturing and by using agricultural by-products for biofuels and bioenergy. Growth in food manufacturing will </w:t>
      </w:r>
      <w:r w:rsidR="0045042E" w:rsidRPr="00283CEC">
        <w:t>depend</w:t>
      </w:r>
      <w:r w:rsidR="00554DBE" w:rsidRPr="00283CEC">
        <w:t xml:space="preserve"> on a </w:t>
      </w:r>
      <w:r w:rsidRPr="00283CEC">
        <w:t xml:space="preserve">reliable </w:t>
      </w:r>
      <w:r w:rsidR="00554DBE" w:rsidRPr="00283CEC">
        <w:t xml:space="preserve">source of </w:t>
      </w:r>
      <w:r w:rsidRPr="00283CEC">
        <w:t>high quality agricultural product supported by a secure water supply and access to local processors and export markets. The impacts of climate change will need to be monitored and producers may need support in adapting their farm operations.</w:t>
      </w:r>
    </w:p>
    <w:p w:rsidR="009F6024" w:rsidRPr="00283CEC" w:rsidRDefault="009F6024" w:rsidP="00357C93">
      <w:pPr>
        <w:pStyle w:val="bt"/>
      </w:pPr>
      <w:r w:rsidRPr="00283CEC">
        <w:t xml:space="preserve">The </w:t>
      </w:r>
      <w:r w:rsidR="00072476" w:rsidRPr="00283CEC">
        <w:t xml:space="preserve">Gippsland </w:t>
      </w:r>
      <w:r w:rsidRPr="00283CEC">
        <w:t xml:space="preserve">region’s access to markets is largely dependent on its </w:t>
      </w:r>
      <w:r w:rsidR="0045042E" w:rsidRPr="00283CEC">
        <w:t>linkages</w:t>
      </w:r>
      <w:r w:rsidRPr="00283CEC">
        <w:t xml:space="preserve"> to Melbourne and transport hubs such as the Port of Melbourne and Melbourne Airport. Road and rail improvements that facilitate </w:t>
      </w:r>
      <w:r w:rsidR="00DE7FDF" w:rsidRPr="00283CEC">
        <w:t xml:space="preserve">increased </w:t>
      </w:r>
      <w:r w:rsidRPr="00283CEC">
        <w:t xml:space="preserve">freight access to Melbourne’s distribution and export hubs </w:t>
      </w:r>
      <w:r w:rsidR="00072476" w:rsidRPr="00283CEC">
        <w:t xml:space="preserve">will </w:t>
      </w:r>
      <w:r w:rsidRPr="00283CEC">
        <w:t>enhance the competitiveness of Gippsland’s agricultural and manufacturing sectors</w:t>
      </w:r>
      <w:r w:rsidR="0041546F" w:rsidRPr="00283CEC">
        <w:t>,</w:t>
      </w:r>
      <w:r w:rsidRPr="00283CEC">
        <w:t xml:space="preserve"> </w:t>
      </w:r>
      <w:r w:rsidR="009C76F6" w:rsidRPr="00283CEC">
        <w:t xml:space="preserve">while </w:t>
      </w:r>
      <w:r w:rsidRPr="00283CEC">
        <w:t>the expansion of the Port of Hastings as a</w:t>
      </w:r>
      <w:r w:rsidR="00825FF4" w:rsidRPr="00283CEC">
        <w:t>n</w:t>
      </w:r>
      <w:r w:rsidRPr="00283CEC">
        <w:t xml:space="preserve"> export facility will open up further opportunities for economic growth.</w:t>
      </w:r>
    </w:p>
    <w:p w:rsidR="009F6024" w:rsidRPr="00283CEC" w:rsidRDefault="009F6024" w:rsidP="00357C93">
      <w:pPr>
        <w:pStyle w:val="bt"/>
      </w:pPr>
      <w:r w:rsidRPr="00283CEC">
        <w:t xml:space="preserve">The region’s wide variety of </w:t>
      </w:r>
      <w:r w:rsidR="00BD739C" w:rsidRPr="00283CEC">
        <w:t>environmental</w:t>
      </w:r>
      <w:r w:rsidRPr="00283CEC">
        <w:t xml:space="preserve"> </w:t>
      </w:r>
      <w:r w:rsidR="00020576" w:rsidRPr="00283CEC">
        <w:t xml:space="preserve">and cultural heritage </w:t>
      </w:r>
      <w:r w:rsidRPr="00283CEC">
        <w:t>assets offer</w:t>
      </w:r>
      <w:r w:rsidR="007E7769" w:rsidRPr="00283CEC">
        <w:t>s</w:t>
      </w:r>
      <w:r w:rsidRPr="00283CEC">
        <w:t xml:space="preserve"> an opportunity for major growth in tourism</w:t>
      </w:r>
      <w:r w:rsidR="00072476" w:rsidRPr="00283CEC">
        <w:t>,</w:t>
      </w:r>
      <w:r w:rsidRPr="00283CEC">
        <w:t xml:space="preserve"> sustained by a growing local population, Melbourne’s ongoing expansion and interstate and international </w:t>
      </w:r>
      <w:r w:rsidR="0041546F" w:rsidRPr="00283CEC">
        <w:t>visitors. G</w:t>
      </w:r>
      <w:r w:rsidRPr="00283CEC">
        <w:t>row</w:t>
      </w:r>
      <w:r w:rsidR="0041546F" w:rsidRPr="00283CEC">
        <w:t xml:space="preserve">th in tourism </w:t>
      </w:r>
      <w:r w:rsidRPr="00283CEC">
        <w:t xml:space="preserve">will </w:t>
      </w:r>
      <w:r w:rsidR="0041546F" w:rsidRPr="00283CEC">
        <w:t xml:space="preserve">need to be supported </w:t>
      </w:r>
      <w:r w:rsidR="00072476" w:rsidRPr="00283CEC">
        <w:t xml:space="preserve">by </w:t>
      </w:r>
      <w:r w:rsidR="0041546F" w:rsidRPr="00283CEC">
        <w:t>upgrades to</w:t>
      </w:r>
      <w:r w:rsidRPr="00283CEC">
        <w:t xml:space="preserve"> </w:t>
      </w:r>
      <w:r w:rsidR="0041546F" w:rsidRPr="00283CEC">
        <w:t xml:space="preserve">facilities and infrastructure </w:t>
      </w:r>
      <w:r w:rsidRPr="00283CEC">
        <w:t xml:space="preserve">to meet the needs and expectations of a more sophisticated and international market, and by offering an authentic and memorable experience </w:t>
      </w:r>
      <w:r w:rsidR="007E7769" w:rsidRPr="00283CEC">
        <w:t xml:space="preserve">that </w:t>
      </w:r>
      <w:r w:rsidRPr="00283CEC">
        <w:t>is distinctive to Gippsland.</w:t>
      </w:r>
    </w:p>
    <w:p w:rsidR="009F6024" w:rsidRPr="00283CEC" w:rsidRDefault="009F6024" w:rsidP="00357C93">
      <w:pPr>
        <w:pStyle w:val="bt"/>
      </w:pPr>
      <w:r w:rsidRPr="00283CEC">
        <w:t>Population increase will drive growth in sectors such as retailing and services</w:t>
      </w:r>
      <w:r w:rsidR="00E86301" w:rsidRPr="00283CEC">
        <w:t>,</w:t>
      </w:r>
      <w:r w:rsidRPr="00283CEC">
        <w:t xml:space="preserve"> and </w:t>
      </w:r>
      <w:r w:rsidR="00072476" w:rsidRPr="00283CEC">
        <w:t xml:space="preserve">will </w:t>
      </w:r>
      <w:r w:rsidRPr="00283CEC">
        <w:t xml:space="preserve">also </w:t>
      </w:r>
      <w:r w:rsidR="00072476" w:rsidRPr="00283CEC">
        <w:t xml:space="preserve">drive </w:t>
      </w:r>
      <w:r w:rsidRPr="00283CEC">
        <w:t>housing construction and related indust</w:t>
      </w:r>
      <w:r w:rsidR="00275350" w:rsidRPr="00283CEC">
        <w:t>ries. An</w:t>
      </w:r>
      <w:r w:rsidRPr="00283CEC">
        <w:t xml:space="preserve"> ageing</w:t>
      </w:r>
      <w:r w:rsidR="00275350" w:rsidRPr="00283CEC">
        <w:t xml:space="preserve"> population will increase demand on </w:t>
      </w:r>
      <w:r w:rsidRPr="00283CEC">
        <w:t>health</w:t>
      </w:r>
      <w:r w:rsidR="00072476" w:rsidRPr="00283CEC">
        <w:t>care</w:t>
      </w:r>
      <w:r w:rsidR="00275350" w:rsidRPr="00283CEC">
        <w:t xml:space="preserve"> and related support services, driving the need for investment and employment opportunities in </w:t>
      </w:r>
      <w:r w:rsidRPr="00283CEC">
        <w:t>healthcare and social assistance.</w:t>
      </w:r>
    </w:p>
    <w:p w:rsidR="001D2C94" w:rsidRPr="00283CEC" w:rsidRDefault="009F6024" w:rsidP="00357C93">
      <w:pPr>
        <w:pStyle w:val="bt"/>
      </w:pPr>
      <w:r w:rsidRPr="00283CEC">
        <w:t xml:space="preserve">Strong growth is also expected in sectors such as professional, scientific and technical services, </w:t>
      </w:r>
      <w:r w:rsidR="004240FB" w:rsidRPr="00283CEC">
        <w:t xml:space="preserve">defence, </w:t>
      </w:r>
      <w:r w:rsidR="007E7769" w:rsidRPr="00283CEC">
        <w:t xml:space="preserve">and </w:t>
      </w:r>
      <w:r w:rsidRPr="00283CEC">
        <w:t xml:space="preserve">finance and insurance services over the next 20 years. </w:t>
      </w:r>
      <w:r w:rsidR="00275350" w:rsidRPr="00283CEC">
        <w:t xml:space="preserve">These ‘knowledge industry’ </w:t>
      </w:r>
      <w:r w:rsidRPr="00283CEC">
        <w:t xml:space="preserve">sectors are forecast to continue as high growth </w:t>
      </w:r>
      <w:r w:rsidR="00275350" w:rsidRPr="00283CEC">
        <w:t xml:space="preserve">sectors for the foreseeable future. Collaboration with </w:t>
      </w:r>
      <w:r w:rsidR="00CE5F3D" w:rsidRPr="00283CEC">
        <w:t xml:space="preserve">regional </w:t>
      </w:r>
      <w:r w:rsidR="00275350" w:rsidRPr="00283CEC">
        <w:t>education and health facilities can build opportunities for innovation and further investment in these sectors.</w:t>
      </w:r>
    </w:p>
    <w:p w:rsidR="00071613" w:rsidRPr="00283CEC" w:rsidRDefault="00071613" w:rsidP="00071613">
      <w:pPr>
        <w:pStyle w:val="bt"/>
      </w:pPr>
      <w:r w:rsidRPr="00283CEC">
        <w:t xml:space="preserve">Gippsland’s economy is well placed to take full advantage of its existing assets and resources in energy and agriculture. It is also well placed to start to reduce its reliance on these assets to grow a more diverse economy with greater strengths in sectors such as health, education and knowledge industries. </w:t>
      </w:r>
      <w:r w:rsidR="00BB6CA4">
        <w:t>This plan’s</w:t>
      </w:r>
      <w:r w:rsidR="00BB6CA4" w:rsidRPr="00283CEC">
        <w:t xml:space="preserve"> </w:t>
      </w:r>
      <w:r w:rsidRPr="00283CEC">
        <w:t>regional settlement framework and growth framework plans for regional centres will support this transition by identifying employment land to accommodate projected growth and by supporting stronger transport and communication links, both within the region and to markets in Melbourne and beyond.</w:t>
      </w:r>
    </w:p>
    <w:p w:rsidR="004F4F2D" w:rsidRDefault="00071613" w:rsidP="004F4F2D">
      <w:pPr>
        <w:pStyle w:val="bt"/>
      </w:pPr>
      <w:r w:rsidRPr="00283CEC">
        <w:t xml:space="preserve">This plan aims to support the priorities and recommendations of the </w:t>
      </w:r>
      <w:r w:rsidRPr="00283CEC">
        <w:rPr>
          <w:rStyle w:val="Emphasis"/>
          <w:i w:val="0"/>
        </w:rPr>
        <w:t xml:space="preserve">Gippsland Regional Plan </w:t>
      </w:r>
      <w:r w:rsidRPr="00283CEC">
        <w:t xml:space="preserve">and the </w:t>
      </w:r>
      <w:r w:rsidRPr="00283CEC">
        <w:rPr>
          <w:rStyle w:val="Emphasis"/>
          <w:i w:val="0"/>
        </w:rPr>
        <w:t>Latrobe Valley Industry and Employment Roadmap</w:t>
      </w:r>
      <w:r w:rsidRPr="00283CEC">
        <w:t>.</w:t>
      </w:r>
      <w:bookmarkStart w:id="61" w:name="_Ref355960503"/>
      <w:bookmarkStart w:id="62" w:name="_Ref373931010"/>
      <w:bookmarkStart w:id="63" w:name="_Toc374361106"/>
    </w:p>
    <w:p w:rsidR="003C3B80" w:rsidRPr="004F4F2D" w:rsidRDefault="006B4F4E" w:rsidP="004F4F2D">
      <w:pPr>
        <w:pStyle w:val="bt"/>
      </w:pPr>
      <w:r w:rsidRPr="004F4F2D">
        <w:t>Map</w:t>
      </w:r>
      <w:bookmarkEnd w:id="61"/>
      <w:r w:rsidR="00AD704A">
        <w:t xml:space="preserve"> 6</w:t>
      </w:r>
      <w:r w:rsidR="004F4F2D">
        <w:t xml:space="preserve"> is located here in the document and it shows -</w:t>
      </w:r>
      <w:r w:rsidR="00B46805" w:rsidRPr="004F4F2D">
        <w:t xml:space="preserve"> </w:t>
      </w:r>
      <w:r w:rsidRPr="004F4F2D">
        <w:t>Future directions for the economy</w:t>
      </w:r>
      <w:bookmarkEnd w:id="62"/>
      <w:bookmarkEnd w:id="63"/>
    </w:p>
    <w:p w:rsidR="00A00E44" w:rsidRPr="00283CEC" w:rsidRDefault="00A00E44" w:rsidP="00357C93">
      <w:pPr>
        <w:pStyle w:val="Heading2"/>
        <w:rPr>
          <w:color w:val="auto"/>
        </w:rPr>
      </w:pPr>
      <w:bookmarkStart w:id="64" w:name="_Toc336871221"/>
      <w:bookmarkStart w:id="65" w:name="_Toc376791243"/>
      <w:r w:rsidRPr="00283CEC">
        <w:rPr>
          <w:color w:val="auto"/>
        </w:rPr>
        <w:t xml:space="preserve">Business, </w:t>
      </w:r>
      <w:r w:rsidR="0092625B" w:rsidRPr="00283CEC">
        <w:rPr>
          <w:color w:val="auto"/>
        </w:rPr>
        <w:t>i</w:t>
      </w:r>
      <w:r w:rsidRPr="00283CEC">
        <w:rPr>
          <w:color w:val="auto"/>
        </w:rPr>
        <w:t xml:space="preserve">ndustry and </w:t>
      </w:r>
      <w:r w:rsidR="0092625B" w:rsidRPr="00283CEC">
        <w:rPr>
          <w:color w:val="auto"/>
        </w:rPr>
        <w:t>s</w:t>
      </w:r>
      <w:r w:rsidRPr="00283CEC">
        <w:rPr>
          <w:color w:val="auto"/>
        </w:rPr>
        <w:t>ervices</w:t>
      </w:r>
      <w:bookmarkEnd w:id="64"/>
      <w:r w:rsidR="001110EC" w:rsidRPr="00283CEC">
        <w:rPr>
          <w:color w:val="auto"/>
        </w:rPr>
        <w:t xml:space="preserve">: </w:t>
      </w:r>
      <w:r w:rsidR="0092625B" w:rsidRPr="00283CEC">
        <w:rPr>
          <w:color w:val="auto"/>
        </w:rPr>
        <w:t>w</w:t>
      </w:r>
      <w:r w:rsidR="001110EC" w:rsidRPr="00283CEC">
        <w:rPr>
          <w:color w:val="auto"/>
        </w:rPr>
        <w:t xml:space="preserve">orking in the </w:t>
      </w:r>
      <w:r w:rsidR="00870A64" w:rsidRPr="00283CEC">
        <w:rPr>
          <w:color w:val="auto"/>
        </w:rPr>
        <w:t xml:space="preserve">Gippsland </w:t>
      </w:r>
      <w:r w:rsidR="0092625B" w:rsidRPr="00283CEC">
        <w:rPr>
          <w:color w:val="auto"/>
        </w:rPr>
        <w:t>r</w:t>
      </w:r>
      <w:r w:rsidR="001110EC" w:rsidRPr="00283CEC">
        <w:rPr>
          <w:color w:val="auto"/>
        </w:rPr>
        <w:t>egion</w:t>
      </w:r>
      <w:bookmarkEnd w:id="65"/>
    </w:p>
    <w:p w:rsidR="00703D64" w:rsidRPr="00283CEC" w:rsidRDefault="008508AC" w:rsidP="00CC3A69">
      <w:pPr>
        <w:pStyle w:val="Heading4"/>
      </w:pPr>
      <w:r w:rsidRPr="00283CEC">
        <w:t>Business and services</w:t>
      </w:r>
    </w:p>
    <w:p w:rsidR="001C65B6" w:rsidRPr="00283CEC" w:rsidRDefault="00D567BE" w:rsidP="00357C93">
      <w:pPr>
        <w:pStyle w:val="bt"/>
      </w:pPr>
      <w:r w:rsidRPr="00283CEC">
        <w:t xml:space="preserve">The projected growth in </w:t>
      </w:r>
      <w:r w:rsidR="00072476" w:rsidRPr="00283CEC">
        <w:t xml:space="preserve">the </w:t>
      </w:r>
      <w:r w:rsidR="00FE706F" w:rsidRPr="00283CEC">
        <w:t xml:space="preserve">retail and </w:t>
      </w:r>
      <w:r w:rsidRPr="00283CEC">
        <w:t>services sector</w:t>
      </w:r>
      <w:r w:rsidR="00072476" w:rsidRPr="00283CEC">
        <w:t>s</w:t>
      </w:r>
      <w:r w:rsidR="00320231" w:rsidRPr="00283CEC">
        <w:t>,</w:t>
      </w:r>
      <w:r w:rsidR="00FE706F" w:rsidRPr="00283CEC">
        <w:t xml:space="preserve"> </w:t>
      </w:r>
      <w:r w:rsidRPr="00283CEC">
        <w:t xml:space="preserve">including </w:t>
      </w:r>
      <w:r w:rsidR="00FE706F" w:rsidRPr="00283CEC">
        <w:t xml:space="preserve">professional and technical services, </w:t>
      </w:r>
      <w:r w:rsidR="00EC5430" w:rsidRPr="00283CEC">
        <w:t>finance</w:t>
      </w:r>
      <w:r w:rsidR="006A1E64" w:rsidRPr="00283CEC">
        <w:t>, healthcare</w:t>
      </w:r>
      <w:r w:rsidR="00FE706F" w:rsidRPr="00283CEC">
        <w:t xml:space="preserve"> and social assistance</w:t>
      </w:r>
      <w:r w:rsidR="00320231" w:rsidRPr="00283CEC">
        <w:t>,</w:t>
      </w:r>
      <w:r w:rsidR="00FE706F" w:rsidRPr="00283CEC">
        <w:t xml:space="preserve"> </w:t>
      </w:r>
      <w:r w:rsidR="00697C16" w:rsidRPr="00283CEC">
        <w:t xml:space="preserve">aligns </w:t>
      </w:r>
      <w:r w:rsidR="00FE706F" w:rsidRPr="00283CEC">
        <w:t xml:space="preserve">with </w:t>
      </w:r>
      <w:r w:rsidR="0044558D" w:rsidRPr="00283CEC">
        <w:t xml:space="preserve">the </w:t>
      </w:r>
      <w:r w:rsidR="00072476" w:rsidRPr="00283CEC">
        <w:t xml:space="preserve">Gippsland </w:t>
      </w:r>
      <w:r w:rsidR="0044558D" w:rsidRPr="00283CEC">
        <w:t xml:space="preserve">region’s aim </w:t>
      </w:r>
      <w:r w:rsidR="00FE706F" w:rsidRPr="00283CEC">
        <w:t>to diversify its economy</w:t>
      </w:r>
      <w:r w:rsidR="00320231" w:rsidRPr="00283CEC">
        <w:t>. T</w:t>
      </w:r>
      <w:r w:rsidR="00EC5430" w:rsidRPr="00283CEC">
        <w:t>hese sectors are projected to comprise more than 30</w:t>
      </w:r>
      <w:r w:rsidR="00DD32E3" w:rsidRPr="00283CEC">
        <w:t xml:space="preserve"> per cent</w:t>
      </w:r>
      <w:r w:rsidR="00EC5430" w:rsidRPr="00283CEC">
        <w:t xml:space="preserve"> of industry output in 2031</w:t>
      </w:r>
      <w:r w:rsidR="00FE706F" w:rsidRPr="00283CEC">
        <w:t>.</w:t>
      </w:r>
      <w:r w:rsidR="00EC5430" w:rsidRPr="00283CEC">
        <w:t xml:space="preserve"> </w:t>
      </w:r>
      <w:r w:rsidR="00FE706F" w:rsidRPr="00283CEC">
        <w:t xml:space="preserve">The growth in healthcare and social assistance </w:t>
      </w:r>
      <w:r w:rsidR="00ED1546" w:rsidRPr="00283CEC">
        <w:t xml:space="preserve">will </w:t>
      </w:r>
      <w:r w:rsidR="00FE706F" w:rsidRPr="00283CEC">
        <w:t xml:space="preserve">likely reflect the increasing proportion of </w:t>
      </w:r>
      <w:r w:rsidR="00072476" w:rsidRPr="00283CEC">
        <w:t xml:space="preserve">older people in </w:t>
      </w:r>
      <w:r w:rsidR="001C65B6" w:rsidRPr="00283CEC">
        <w:t xml:space="preserve">the community. </w:t>
      </w:r>
      <w:r w:rsidR="00014F6A" w:rsidRPr="00283CEC">
        <w:t xml:space="preserve">Lifestyle, recreation and related services </w:t>
      </w:r>
      <w:r w:rsidR="00072476" w:rsidRPr="00283CEC">
        <w:t xml:space="preserve">that </w:t>
      </w:r>
      <w:r w:rsidR="00014F6A" w:rsidRPr="00283CEC">
        <w:t xml:space="preserve">meet the needs of retirees may provide further business growth opportunities. </w:t>
      </w:r>
      <w:r w:rsidR="001C65B6" w:rsidRPr="00283CEC">
        <w:t>P</w:t>
      </w:r>
      <w:r w:rsidR="00ED1546" w:rsidRPr="00283CEC">
        <w:t xml:space="preserve">rofessional and technical services will </w:t>
      </w:r>
      <w:r w:rsidR="001C65B6" w:rsidRPr="00283CEC">
        <w:t>grow to meet the needs of a higher population and will benefit from partnerships and collaborative arrangements with education institutions</w:t>
      </w:r>
      <w:r w:rsidR="004B05FD" w:rsidRPr="00283CEC">
        <w:t>.</w:t>
      </w:r>
    </w:p>
    <w:p w:rsidR="00697C16" w:rsidRPr="00283CEC" w:rsidRDefault="001C65B6" w:rsidP="00357C93">
      <w:pPr>
        <w:pStyle w:val="bt"/>
      </w:pPr>
      <w:r w:rsidRPr="00283CEC">
        <w:t xml:space="preserve">Professional and service </w:t>
      </w:r>
      <w:proofErr w:type="gramStart"/>
      <w:r w:rsidRPr="00283CEC">
        <w:t>industries</w:t>
      </w:r>
      <w:r w:rsidR="007716FB" w:rsidRPr="00283CEC">
        <w:t>,</w:t>
      </w:r>
      <w:proofErr w:type="gramEnd"/>
      <w:r w:rsidR="00F71BBA" w:rsidRPr="00283CEC">
        <w:t xml:space="preserve"> sometimes referred to as ‘knowledge industries’</w:t>
      </w:r>
      <w:r w:rsidR="007716FB" w:rsidRPr="00283CEC">
        <w:t>,</w:t>
      </w:r>
      <w:r w:rsidRPr="00283CEC">
        <w:t xml:space="preserve"> can benefit </w:t>
      </w:r>
      <w:r w:rsidR="00F71BBA" w:rsidRPr="00283CEC">
        <w:t xml:space="preserve">from being co-located with similar industries within commercial areas or precincts. These benefits can include knowledge sharing and collaboration. </w:t>
      </w:r>
      <w:r w:rsidR="00697C16" w:rsidRPr="00283CEC">
        <w:t xml:space="preserve">The retail sector will need to adapt and respond to the growth of online retailing, and will in part rely on broadening the appeal of commercial centres </w:t>
      </w:r>
      <w:r w:rsidR="001B4875" w:rsidRPr="00283CEC">
        <w:t xml:space="preserve">with </w:t>
      </w:r>
      <w:r w:rsidR="00697C16" w:rsidRPr="00283CEC">
        <w:t xml:space="preserve">greater emphasis </w:t>
      </w:r>
      <w:r w:rsidR="002D7010" w:rsidRPr="00283CEC">
        <w:t>on public</w:t>
      </w:r>
      <w:r w:rsidR="00697C16" w:rsidRPr="00283CEC">
        <w:t xml:space="preserve"> amenity and ‘place-making’. Further information </w:t>
      </w:r>
      <w:r w:rsidR="004B05FD" w:rsidRPr="00283CEC">
        <w:t xml:space="preserve">about </w:t>
      </w:r>
      <w:r w:rsidR="00697C16" w:rsidRPr="00283CEC">
        <w:t xml:space="preserve">the </w:t>
      </w:r>
      <w:r w:rsidR="004B05FD" w:rsidRPr="00283CEC">
        <w:t xml:space="preserve">projected </w:t>
      </w:r>
      <w:r w:rsidR="00164051" w:rsidRPr="00283CEC">
        <w:t xml:space="preserve">growth of online retailing is </w:t>
      </w:r>
      <w:r w:rsidR="004B05FD" w:rsidRPr="00283CEC">
        <w:t xml:space="preserve">provided </w:t>
      </w:r>
      <w:r w:rsidR="00164051" w:rsidRPr="00283CEC">
        <w:t>in the</w:t>
      </w:r>
      <w:r w:rsidR="00674F5E" w:rsidRPr="00283CEC">
        <w:t xml:space="preserve"> </w:t>
      </w:r>
      <w:r w:rsidR="00DD32E3" w:rsidRPr="00283CEC">
        <w:t>b</w:t>
      </w:r>
      <w:r w:rsidR="00AF0BC5" w:rsidRPr="00283CEC">
        <w:t xml:space="preserve">ackground </w:t>
      </w:r>
      <w:r w:rsidR="00DD32E3" w:rsidRPr="00283CEC">
        <w:t>r</w:t>
      </w:r>
      <w:r w:rsidR="00AF0BC5" w:rsidRPr="00283CEC">
        <w:t>eport</w:t>
      </w:r>
      <w:r w:rsidR="00BB7DE7" w:rsidRPr="00283CEC">
        <w:t>.</w:t>
      </w:r>
    </w:p>
    <w:p w:rsidR="00BE57BC" w:rsidRPr="00283CEC" w:rsidRDefault="00F71BBA" w:rsidP="00357C93">
      <w:pPr>
        <w:pStyle w:val="bt"/>
      </w:pPr>
      <w:r w:rsidRPr="00283CEC">
        <w:t xml:space="preserve">Focusing retail and service sectors within a network of major urban centres will </w:t>
      </w:r>
      <w:r w:rsidR="007D0829" w:rsidRPr="00283CEC">
        <w:t xml:space="preserve">broaden the range of services available at these locations and be an attractor for future population growth. This process of population attraction and increasing diversity of services is </w:t>
      </w:r>
      <w:proofErr w:type="gramStart"/>
      <w:r w:rsidR="007D0829" w:rsidRPr="00283CEC">
        <w:t>key</w:t>
      </w:r>
      <w:proofErr w:type="gramEnd"/>
      <w:r w:rsidR="007D0829" w:rsidRPr="00283CEC">
        <w:t xml:space="preserve"> to enabling regional centres to reach a critical mass where they become self-sustaining and reduce escape expenditure.</w:t>
      </w:r>
    </w:p>
    <w:p w:rsidR="00357C93" w:rsidRPr="00283CEC" w:rsidRDefault="00357C93" w:rsidP="00357C93">
      <w:pPr>
        <w:pStyle w:val="bt"/>
        <w:rPr>
          <w:rFonts w:cs="Calibri"/>
          <w:b/>
          <w:szCs w:val="20"/>
          <w:lang w:eastAsia="en-US"/>
        </w:rPr>
      </w:pPr>
      <w:r w:rsidRPr="00283CEC">
        <w:rPr>
          <w:rFonts w:cs="Calibri"/>
          <w:b/>
          <w:szCs w:val="20"/>
          <w:lang w:eastAsia="en-US"/>
        </w:rPr>
        <w:t>Strategies for future land use</w:t>
      </w:r>
    </w:p>
    <w:p w:rsidR="00357C93" w:rsidRPr="00283CEC" w:rsidRDefault="00357C93" w:rsidP="00767431">
      <w:pPr>
        <w:pStyle w:val="btbullet"/>
      </w:pPr>
      <w:r w:rsidRPr="00283CEC">
        <w:t>Create vibrant and resilient commercial centres by consolidating a range of commercial and service activities within clearly defined boundaries</w:t>
      </w:r>
    </w:p>
    <w:p w:rsidR="00357C93" w:rsidRPr="00283CEC" w:rsidRDefault="00357C93" w:rsidP="00767431">
      <w:pPr>
        <w:pStyle w:val="btbullet"/>
      </w:pPr>
      <w:r w:rsidRPr="00283CEC">
        <w:t>Support streetscape and redevelopment initiatives in commercial centres that will be subject to significant growth (Traralgon, Morwell Mid Valley, Warragul, Wonthaggi, Leongatha, Sale and Bairnsdale) so as to improve their attractiveness and usability by people with changing needs</w:t>
      </w:r>
    </w:p>
    <w:p w:rsidR="00357C93" w:rsidRPr="00283CEC" w:rsidRDefault="00357C93" w:rsidP="00767431">
      <w:pPr>
        <w:pStyle w:val="btbullet"/>
      </w:pPr>
      <w:r w:rsidRPr="00283CEC">
        <w:t>Support the development of industry sectors with strong prospects for increased employment such as knowledge industries, tourism, professional services and industries geared towards growing Asian and other international markets</w:t>
      </w:r>
    </w:p>
    <w:p w:rsidR="00703D64" w:rsidRPr="00283CEC" w:rsidRDefault="008508AC" w:rsidP="00CC3A69">
      <w:pPr>
        <w:pStyle w:val="Heading4"/>
      </w:pPr>
      <w:r w:rsidRPr="00283CEC">
        <w:t>Industry</w:t>
      </w:r>
    </w:p>
    <w:p w:rsidR="00E01E11" w:rsidRPr="00283CEC" w:rsidRDefault="008508AC" w:rsidP="00FF5665">
      <w:pPr>
        <w:rPr>
          <w:rStyle w:val="IntenseEmphasis"/>
        </w:rPr>
      </w:pPr>
      <w:r w:rsidRPr="00283CEC">
        <w:rPr>
          <w:rStyle w:val="IntenseEmphasis"/>
        </w:rPr>
        <w:t>Power generation</w:t>
      </w:r>
    </w:p>
    <w:p w:rsidR="00320231" w:rsidRPr="00283CEC" w:rsidRDefault="00364B77" w:rsidP="00357C93">
      <w:pPr>
        <w:pStyle w:val="bt"/>
      </w:pPr>
      <w:r w:rsidRPr="00283CEC">
        <w:t>The power generation sector</w:t>
      </w:r>
      <w:r w:rsidR="00FA70A5" w:rsidRPr="00283CEC">
        <w:t xml:space="preserve"> </w:t>
      </w:r>
      <w:r w:rsidR="000B76D4" w:rsidRPr="00283CEC">
        <w:t xml:space="preserve">contributes </w:t>
      </w:r>
      <w:r w:rsidR="00FA70A5" w:rsidRPr="00283CEC">
        <w:t xml:space="preserve">significant </w:t>
      </w:r>
      <w:r w:rsidR="000B76D4" w:rsidRPr="00283CEC">
        <w:t xml:space="preserve">economic value to the region </w:t>
      </w:r>
      <w:r w:rsidR="00FA70A5" w:rsidRPr="00283CEC">
        <w:t xml:space="preserve">and </w:t>
      </w:r>
      <w:r w:rsidR="007A239F" w:rsidRPr="00283CEC">
        <w:t>supports</w:t>
      </w:r>
      <w:r w:rsidR="00FA70A5" w:rsidRPr="00283CEC">
        <w:t xml:space="preserve"> </w:t>
      </w:r>
      <w:r w:rsidR="00933F87" w:rsidRPr="00283CEC">
        <w:t xml:space="preserve">employment in </w:t>
      </w:r>
      <w:r w:rsidR="00FA70A5" w:rsidRPr="00283CEC">
        <w:t>a range of</w:t>
      </w:r>
      <w:r w:rsidR="007A239F" w:rsidRPr="00283CEC">
        <w:t xml:space="preserve"> related maintenance and engineering businesses</w:t>
      </w:r>
      <w:r w:rsidR="00FA70A5" w:rsidRPr="00283CEC">
        <w:t xml:space="preserve">. </w:t>
      </w:r>
      <w:r w:rsidR="008527D2" w:rsidRPr="00283CEC">
        <w:t>While</w:t>
      </w:r>
      <w:r w:rsidR="00C3169D" w:rsidRPr="00283CEC">
        <w:t xml:space="preserve"> </w:t>
      </w:r>
      <w:r w:rsidR="008527D2" w:rsidRPr="00283CEC">
        <w:t xml:space="preserve">some </w:t>
      </w:r>
      <w:r w:rsidR="00FA70A5" w:rsidRPr="00283CEC">
        <w:t>coal-fired power generation</w:t>
      </w:r>
      <w:r w:rsidR="00C3169D" w:rsidRPr="00283CEC">
        <w:t xml:space="preserve"> </w:t>
      </w:r>
      <w:r w:rsidR="008527D2" w:rsidRPr="00283CEC">
        <w:t xml:space="preserve">plants will eventually close, the state will retain a </w:t>
      </w:r>
      <w:r w:rsidR="00744FB9" w:rsidRPr="00283CEC">
        <w:t xml:space="preserve">need for </w:t>
      </w:r>
      <w:r w:rsidR="008527D2" w:rsidRPr="00283CEC">
        <w:t>reliable power generation</w:t>
      </w:r>
      <w:r w:rsidR="00744FB9" w:rsidRPr="00283CEC">
        <w:t xml:space="preserve"> </w:t>
      </w:r>
      <w:r w:rsidR="002438CC" w:rsidRPr="00283CEC">
        <w:t xml:space="preserve">that </w:t>
      </w:r>
      <w:r w:rsidR="00744FB9" w:rsidRPr="00283CEC">
        <w:t>can be provided by coal-fired plants</w:t>
      </w:r>
      <w:r w:rsidR="008527D2" w:rsidRPr="00283CEC">
        <w:t>. E</w:t>
      </w:r>
      <w:r w:rsidR="008A25EE" w:rsidRPr="00283CEC">
        <w:t xml:space="preserve">nvironmental considerations </w:t>
      </w:r>
      <w:r w:rsidR="008527D2" w:rsidRPr="00283CEC">
        <w:t xml:space="preserve">will support changes in power generation and renewable energy projects across Gippsland. </w:t>
      </w:r>
    </w:p>
    <w:p w:rsidR="00772626" w:rsidRPr="00283CEC" w:rsidRDefault="00FA70A5" w:rsidP="00357C93">
      <w:pPr>
        <w:pStyle w:val="bt"/>
      </w:pPr>
      <w:r w:rsidRPr="00283CEC">
        <w:t>The p</w:t>
      </w:r>
      <w:r w:rsidR="00364B77" w:rsidRPr="00283CEC">
        <w:t xml:space="preserve">lant </w:t>
      </w:r>
      <w:r w:rsidR="008A25EE" w:rsidRPr="00283CEC">
        <w:t xml:space="preserve">and </w:t>
      </w:r>
      <w:r w:rsidR="006A634C" w:rsidRPr="00283CEC">
        <w:t xml:space="preserve">electricity distribution </w:t>
      </w:r>
      <w:r w:rsidRPr="00283CEC">
        <w:t>network</w:t>
      </w:r>
      <w:r w:rsidR="008A25EE" w:rsidRPr="00283CEC">
        <w:t xml:space="preserve"> </w:t>
      </w:r>
      <w:r w:rsidR="008527D2" w:rsidRPr="00283CEC">
        <w:t xml:space="preserve">centred in the Latrobe Valley </w:t>
      </w:r>
      <w:r w:rsidRPr="00283CEC">
        <w:t>is a s</w:t>
      </w:r>
      <w:r w:rsidR="00C1567D" w:rsidRPr="00283CEC">
        <w:t>ignificant asset for the region</w:t>
      </w:r>
      <w:r w:rsidR="00C3169D" w:rsidRPr="00283CEC">
        <w:t xml:space="preserve"> and Victoria</w:t>
      </w:r>
      <w:r w:rsidRPr="00283CEC">
        <w:t>, and provide</w:t>
      </w:r>
      <w:r w:rsidR="008527D2" w:rsidRPr="00283CEC">
        <w:t>s</w:t>
      </w:r>
      <w:r w:rsidRPr="00283CEC">
        <w:t xml:space="preserve"> the </w:t>
      </w:r>
      <w:r w:rsidR="00C50B07" w:rsidRPr="00283CEC">
        <w:t xml:space="preserve">foundation </w:t>
      </w:r>
      <w:r w:rsidRPr="00283CEC">
        <w:t xml:space="preserve">for a future low-emissions energy industry. Future technology </w:t>
      </w:r>
      <w:r w:rsidR="000D2BF5" w:rsidRPr="00283CEC">
        <w:t>to enable commercial</w:t>
      </w:r>
      <w:r w:rsidR="00DD32E3" w:rsidRPr="00283CEC">
        <w:t>-</w:t>
      </w:r>
      <w:r w:rsidR="000D2BF5" w:rsidRPr="00283CEC">
        <w:t xml:space="preserve">scale </w:t>
      </w:r>
      <w:r w:rsidR="006A634C" w:rsidRPr="00283CEC">
        <w:t>carbon capture and storage</w:t>
      </w:r>
      <w:r w:rsidR="000D2BF5" w:rsidRPr="00283CEC">
        <w:t xml:space="preserve"> would provide for the continued use of the brown coal resource and power generating facilities in the long</w:t>
      </w:r>
      <w:r w:rsidR="00AF0BC5" w:rsidRPr="00283CEC">
        <w:t xml:space="preserve"> </w:t>
      </w:r>
      <w:r w:rsidR="000D2BF5" w:rsidRPr="00283CEC">
        <w:t>term.</w:t>
      </w:r>
      <w:r w:rsidR="00272EBC" w:rsidRPr="00283CEC">
        <w:t xml:space="preserve"> </w:t>
      </w:r>
      <w:r w:rsidR="00772626" w:rsidRPr="00283CEC">
        <w:t>In the future the region will remain</w:t>
      </w:r>
      <w:r w:rsidR="00744FB9" w:rsidRPr="00283CEC">
        <w:t xml:space="preserve"> a key </w:t>
      </w:r>
      <w:r w:rsidR="00772626" w:rsidRPr="00283CEC">
        <w:t>energy</w:t>
      </w:r>
      <w:r w:rsidR="00AF0BC5" w:rsidRPr="00283CEC">
        <w:t>-</w:t>
      </w:r>
      <w:r w:rsidR="00772626" w:rsidRPr="00283CEC">
        <w:t>generating centre for Victoria.</w:t>
      </w:r>
    </w:p>
    <w:p w:rsidR="00E01E11" w:rsidRPr="00283CEC" w:rsidRDefault="008508AC" w:rsidP="00357C93">
      <w:pPr>
        <w:pStyle w:val="bt"/>
        <w:rPr>
          <w:rStyle w:val="IntenseEmphasis"/>
        </w:rPr>
      </w:pPr>
      <w:r w:rsidRPr="00283CEC">
        <w:rPr>
          <w:rStyle w:val="IntenseEmphasis"/>
        </w:rPr>
        <w:t>Manufacturing</w:t>
      </w:r>
      <w:r w:rsidR="00BB79FE" w:rsidRPr="00283CEC">
        <w:rPr>
          <w:rStyle w:val="IntenseEmphasis"/>
        </w:rPr>
        <w:t xml:space="preserve"> and aviation</w:t>
      </w:r>
    </w:p>
    <w:p w:rsidR="00BB79FE" w:rsidRPr="00283CEC" w:rsidRDefault="00BA0309" w:rsidP="00357C93">
      <w:pPr>
        <w:pStyle w:val="bt"/>
      </w:pPr>
      <w:r w:rsidRPr="00283CEC">
        <w:t xml:space="preserve">Gippsland has existing capabilities in advanced manufacturing and engineering services that support the </w:t>
      </w:r>
      <w:r w:rsidR="00BB79FE" w:rsidRPr="00283CEC">
        <w:t xml:space="preserve">mining and </w:t>
      </w:r>
      <w:r w:rsidRPr="00283CEC">
        <w:t xml:space="preserve">power generation sector, </w:t>
      </w:r>
      <w:r w:rsidR="00B20B59" w:rsidRPr="00283CEC">
        <w:t xml:space="preserve">and specialised operations in </w:t>
      </w:r>
      <w:r w:rsidR="00744FB9" w:rsidRPr="00283CEC">
        <w:t xml:space="preserve">agriculture, </w:t>
      </w:r>
      <w:r w:rsidR="00B20B59" w:rsidRPr="00283CEC">
        <w:t xml:space="preserve">aircraft manufacturing and paper production. </w:t>
      </w:r>
      <w:r w:rsidR="00BB79FE" w:rsidRPr="00283CEC">
        <w:t>The region includes businesses with capabilities in steel fabrication, precision engineering and maintenance, packaging and plastics manufacturing that generate exports to both national and international markets.</w:t>
      </w:r>
    </w:p>
    <w:p w:rsidR="00647647" w:rsidRPr="00283CEC" w:rsidRDefault="00AA514A" w:rsidP="00357C93">
      <w:pPr>
        <w:pStyle w:val="bt"/>
      </w:pPr>
      <w:r w:rsidRPr="00283CEC">
        <w:t>Recent investment to redevelop defence facilities and the potential for expansion of RAAF operations in central Gippsland provide leverage opportunities for construction, manufacturing and technical service industries across Gippsland. The region’s capacity in aircraft manufacturing also presents opportunities to diversify into similar high technology enterprises that may grow through collaboration with the Latrobe Regional and West Sale airports as well as supporting the defence sector.</w:t>
      </w:r>
      <w:r w:rsidR="00506D35" w:rsidRPr="00283CEC">
        <w:t xml:space="preserve"> Projected growth in professional and technical services will further support these industries. </w:t>
      </w:r>
      <w:r w:rsidR="00B20B59" w:rsidRPr="00283CEC">
        <w:t xml:space="preserve">The Australian Paper Maryvale plant is a key economic asset </w:t>
      </w:r>
      <w:r w:rsidR="00236530" w:rsidRPr="00283CEC">
        <w:t xml:space="preserve">for the region </w:t>
      </w:r>
      <w:r w:rsidR="00FD23F9" w:rsidRPr="00283CEC">
        <w:t>employing around 1400 people</w:t>
      </w:r>
      <w:r w:rsidR="00236530" w:rsidRPr="00283CEC">
        <w:t>,</w:t>
      </w:r>
      <w:r w:rsidR="00FD23F9" w:rsidRPr="00283CEC">
        <w:t xml:space="preserve"> and </w:t>
      </w:r>
      <w:r w:rsidR="00B20B59" w:rsidRPr="00283CEC">
        <w:t>has the potential to sup</w:t>
      </w:r>
      <w:r w:rsidR="00227F02" w:rsidRPr="00283CEC">
        <w:t xml:space="preserve">port related </w:t>
      </w:r>
      <w:r w:rsidR="00126EB4" w:rsidRPr="00283CEC">
        <w:t xml:space="preserve">textile processes </w:t>
      </w:r>
      <w:r w:rsidR="008527D2" w:rsidRPr="00283CEC">
        <w:t xml:space="preserve">and </w:t>
      </w:r>
      <w:r w:rsidR="00151385" w:rsidRPr="00283CEC">
        <w:t xml:space="preserve">better utilise </w:t>
      </w:r>
      <w:r w:rsidR="00126EB4" w:rsidRPr="00283CEC">
        <w:t xml:space="preserve">the region’s timber resources. </w:t>
      </w:r>
    </w:p>
    <w:p w:rsidR="00357C93" w:rsidRPr="00283CEC" w:rsidRDefault="00357C93" w:rsidP="00357C93">
      <w:pPr>
        <w:pStyle w:val="bt"/>
        <w:rPr>
          <w:rStyle w:val="Strong"/>
        </w:rPr>
      </w:pPr>
      <w:r w:rsidRPr="00283CEC">
        <w:rPr>
          <w:rStyle w:val="Strong"/>
        </w:rPr>
        <w:t>Strategies for future land use</w:t>
      </w:r>
    </w:p>
    <w:p w:rsidR="00357C93" w:rsidRPr="00283CEC" w:rsidRDefault="00357C93" w:rsidP="00767431">
      <w:pPr>
        <w:pStyle w:val="btbullet"/>
      </w:pPr>
      <w:r w:rsidRPr="00283CEC">
        <w:t>Investigate further development of a green jobs sector in Gippsland based on environmentally sensitive and innovative products and processes that reduce environmental impacts</w:t>
      </w:r>
    </w:p>
    <w:p w:rsidR="00357C93" w:rsidRPr="00283CEC" w:rsidRDefault="00357C93" w:rsidP="00767431">
      <w:pPr>
        <w:pStyle w:val="btbullet"/>
      </w:pPr>
      <w:r w:rsidRPr="00283CEC">
        <w:t xml:space="preserve">Develop further the region’s research and development profile in places with an established presence, such as Churchill and </w:t>
      </w:r>
      <w:proofErr w:type="spellStart"/>
      <w:r w:rsidRPr="00283CEC">
        <w:t>Ellinbank</w:t>
      </w:r>
      <w:proofErr w:type="spellEnd"/>
      <w:r w:rsidRPr="00283CEC">
        <w:t>, building on the region’s energy and agricultural industries and tertiary education facilities</w:t>
      </w:r>
    </w:p>
    <w:p w:rsidR="00BB79FE" w:rsidRPr="00283CEC" w:rsidRDefault="00BB79FE" w:rsidP="00767431">
      <w:pPr>
        <w:pStyle w:val="btbullet"/>
      </w:pPr>
      <w:r w:rsidRPr="00283CEC">
        <w:t xml:space="preserve">Facilitate opportunities within aviation-related industries, and support the continued presence and future growth of </w:t>
      </w:r>
      <w:r w:rsidR="001C35A8">
        <w:t>the defence sector in Gippsland</w:t>
      </w:r>
    </w:p>
    <w:p w:rsidR="00357C93" w:rsidRPr="00283CEC" w:rsidRDefault="00357C93" w:rsidP="00767431">
      <w:pPr>
        <w:pStyle w:val="btbullet"/>
      </w:pPr>
      <w:r w:rsidRPr="00283CEC">
        <w:t>Increase Gippsland’s capacity in advanced manufacturing and engineering with particular reference to Latrobe Valley industries and release further industrial land in other centres as needed to benefit from available infrastructure and affordable land</w:t>
      </w:r>
    </w:p>
    <w:p w:rsidR="00BE57BC" w:rsidRPr="00283CEC" w:rsidRDefault="00357C93" w:rsidP="00767431">
      <w:pPr>
        <w:pStyle w:val="btbullet"/>
      </w:pPr>
      <w:r w:rsidRPr="00283CEC">
        <w:t>Facilitate the release of additional industrial zoned land in towns including Warragul, Leongatha, Sale, Lakes Entrance, Paynesville and Mallacoota</w:t>
      </w:r>
    </w:p>
    <w:p w:rsidR="00A00E44" w:rsidRPr="00283CEC" w:rsidRDefault="008508AC" w:rsidP="00CC3A69">
      <w:pPr>
        <w:pStyle w:val="Heading4"/>
      </w:pPr>
      <w:r w:rsidRPr="00283CEC">
        <w:t>Tourism</w:t>
      </w:r>
    </w:p>
    <w:p w:rsidR="00656509" w:rsidRPr="00283CEC" w:rsidRDefault="00F61642" w:rsidP="00357C93">
      <w:pPr>
        <w:pStyle w:val="bt"/>
      </w:pPr>
      <w:r w:rsidRPr="00283CEC">
        <w:t xml:space="preserve">Tourism in Gippsland </w:t>
      </w:r>
      <w:r w:rsidR="00DD4BBB" w:rsidRPr="00283CEC">
        <w:t>generates around $</w:t>
      </w:r>
      <w:r w:rsidR="009727FA" w:rsidRPr="00283CEC">
        <w:t xml:space="preserve">860 </w:t>
      </w:r>
      <w:r w:rsidR="00DD4BBB" w:rsidRPr="00283CEC">
        <w:t xml:space="preserve">million per annum and employs about </w:t>
      </w:r>
      <w:r w:rsidR="00EC5430" w:rsidRPr="00283CEC">
        <w:t>53</w:t>
      </w:r>
      <w:r w:rsidR="00DD4BBB" w:rsidRPr="00283CEC">
        <w:t>00 people</w:t>
      </w:r>
      <w:r w:rsidR="00253211" w:rsidRPr="00283CEC">
        <w:t xml:space="preserve"> representing about </w:t>
      </w:r>
      <w:r w:rsidR="00767689" w:rsidRPr="00283CEC">
        <w:t xml:space="preserve">six per cent </w:t>
      </w:r>
      <w:r w:rsidR="00253211" w:rsidRPr="00283CEC">
        <w:t>of the region’s total workforce</w:t>
      </w:r>
      <w:r w:rsidR="00223309" w:rsidRPr="00283CEC">
        <w:rPr>
          <w:rStyle w:val="FootnoteReference"/>
          <w:szCs w:val="20"/>
        </w:rPr>
        <w:footnoteReference w:id="1"/>
      </w:r>
      <w:r w:rsidR="002438CC" w:rsidRPr="00283CEC">
        <w:t>.</w:t>
      </w:r>
      <w:r w:rsidR="00DD4BBB" w:rsidRPr="00283CEC">
        <w:t xml:space="preserve"> </w:t>
      </w:r>
      <w:r w:rsidR="00AA514A" w:rsidRPr="00283CEC">
        <w:t>Most visitors to the region come from the domestic market, while unique nature-based attractions provide an opportunity to draw a greater number of international visitors</w:t>
      </w:r>
      <w:r w:rsidR="00741A4C" w:rsidRPr="00283CEC">
        <w:t>.</w:t>
      </w:r>
      <w:r w:rsidR="00DD4BBB" w:rsidRPr="00283CEC">
        <w:t xml:space="preserve"> </w:t>
      </w:r>
      <w:r w:rsidR="00741A4C" w:rsidRPr="00283CEC">
        <w:t>The t</w:t>
      </w:r>
      <w:r w:rsidR="00E769DD" w:rsidRPr="00283CEC">
        <w:t>ourism</w:t>
      </w:r>
      <w:r w:rsidR="00741A4C" w:rsidRPr="00283CEC">
        <w:t xml:space="preserve"> sector </w:t>
      </w:r>
      <w:r w:rsidR="003A0075" w:rsidRPr="00283CEC">
        <w:t xml:space="preserve">has </w:t>
      </w:r>
      <w:r w:rsidR="00E769DD" w:rsidRPr="00283CEC">
        <w:t xml:space="preserve">the potential for </w:t>
      </w:r>
      <w:r w:rsidR="001967EF" w:rsidRPr="00283CEC">
        <w:t xml:space="preserve">industry </w:t>
      </w:r>
      <w:r w:rsidR="001157E3" w:rsidRPr="00283CEC">
        <w:t>growth</w:t>
      </w:r>
      <w:r w:rsidR="00E769DD" w:rsidRPr="00283CEC">
        <w:t xml:space="preserve"> independent of population growth. </w:t>
      </w:r>
      <w:r w:rsidR="00656509" w:rsidRPr="00283CEC">
        <w:t xml:space="preserve">Future tourism development </w:t>
      </w:r>
      <w:r w:rsidR="00DD4BBB" w:rsidRPr="00283CEC">
        <w:t xml:space="preserve">is planned to </w:t>
      </w:r>
      <w:r w:rsidR="00656509" w:rsidRPr="00283CEC">
        <w:t xml:space="preserve">complement </w:t>
      </w:r>
      <w:r w:rsidR="00744FB9" w:rsidRPr="00283CEC">
        <w:t xml:space="preserve">existing </w:t>
      </w:r>
      <w:r w:rsidR="00545F9F" w:rsidRPr="00283CEC">
        <w:t>environmental</w:t>
      </w:r>
      <w:r w:rsidR="00AA2EDE" w:rsidRPr="00283CEC">
        <w:t xml:space="preserve"> and heritage </w:t>
      </w:r>
      <w:r w:rsidR="00656509" w:rsidRPr="00283CEC">
        <w:t xml:space="preserve">assets while managing </w:t>
      </w:r>
      <w:r w:rsidR="001D635B" w:rsidRPr="00283CEC">
        <w:t xml:space="preserve">potential </w:t>
      </w:r>
      <w:r w:rsidR="00656509" w:rsidRPr="00283CEC">
        <w:t>impact</w:t>
      </w:r>
      <w:r w:rsidR="001D635B" w:rsidRPr="00283CEC">
        <w:t>s</w:t>
      </w:r>
      <w:r w:rsidR="00656509" w:rsidRPr="00283CEC">
        <w:t xml:space="preserve"> on environmental and landscape values. </w:t>
      </w:r>
    </w:p>
    <w:p w:rsidR="004625E8" w:rsidRPr="00283CEC" w:rsidRDefault="00656509" w:rsidP="00357C93">
      <w:pPr>
        <w:pStyle w:val="bt"/>
      </w:pPr>
      <w:r w:rsidRPr="00283CEC">
        <w:t xml:space="preserve">Gippsland’s </w:t>
      </w:r>
      <w:r w:rsidR="00AF0BC5" w:rsidRPr="00283CEC">
        <w:t>n</w:t>
      </w:r>
      <w:r w:rsidR="001157E3" w:rsidRPr="00283CEC">
        <w:t xml:space="preserve">ational </w:t>
      </w:r>
      <w:r w:rsidR="00AF0BC5" w:rsidRPr="00283CEC">
        <w:t>p</w:t>
      </w:r>
      <w:r w:rsidR="001157E3" w:rsidRPr="00283CEC">
        <w:t>arks and coastal areas</w:t>
      </w:r>
      <w:r w:rsidR="00AF0BC5" w:rsidRPr="00283CEC">
        <w:t>, which are</w:t>
      </w:r>
      <w:r w:rsidR="001157E3" w:rsidRPr="00283CEC">
        <w:t xml:space="preserve"> in close proximity to</w:t>
      </w:r>
      <w:r w:rsidRPr="00283CEC">
        <w:t xml:space="preserve"> Melbourne</w:t>
      </w:r>
      <w:r w:rsidR="00AF0BC5" w:rsidRPr="00283CEC">
        <w:t>,</w:t>
      </w:r>
      <w:r w:rsidRPr="00283CEC">
        <w:t xml:space="preserve"> have </w:t>
      </w:r>
      <w:r w:rsidR="00AF0BC5" w:rsidRPr="00283CEC">
        <w:t xml:space="preserve">a range of </w:t>
      </w:r>
      <w:r w:rsidR="001157E3" w:rsidRPr="00283CEC">
        <w:t xml:space="preserve">traditional tourism strengths. </w:t>
      </w:r>
      <w:r w:rsidR="00DD4BBB" w:rsidRPr="00283CEC">
        <w:t xml:space="preserve">Phillip Island is a nationally important tourism icon with over </w:t>
      </w:r>
      <w:r w:rsidR="007716FB" w:rsidRPr="00283CEC">
        <w:t>three</w:t>
      </w:r>
      <w:r w:rsidR="00D4086B" w:rsidRPr="00283CEC">
        <w:t xml:space="preserve"> </w:t>
      </w:r>
      <w:r w:rsidR="00E010D2" w:rsidRPr="00283CEC">
        <w:t>million visitors</w:t>
      </w:r>
      <w:r w:rsidR="00DD4BBB" w:rsidRPr="00283CEC">
        <w:t xml:space="preserve"> per annum. </w:t>
      </w:r>
      <w:r w:rsidR="001157E3" w:rsidRPr="00283CEC">
        <w:t xml:space="preserve">There is an opportunity to broaden this focus and capitalise on </w:t>
      </w:r>
      <w:r w:rsidR="00AF0BC5" w:rsidRPr="00283CEC">
        <w:t xml:space="preserve">other </w:t>
      </w:r>
      <w:r w:rsidR="00545F9F" w:rsidRPr="00283CEC">
        <w:t xml:space="preserve">environmental </w:t>
      </w:r>
      <w:r w:rsidR="001157E3" w:rsidRPr="00283CEC">
        <w:t xml:space="preserve">and </w:t>
      </w:r>
      <w:r w:rsidR="008C1B27" w:rsidRPr="00283CEC">
        <w:t xml:space="preserve">cultural </w:t>
      </w:r>
      <w:r w:rsidR="00545F9F" w:rsidRPr="00283CEC">
        <w:t>heritage</w:t>
      </w:r>
      <w:r w:rsidR="001157E3" w:rsidRPr="00283CEC">
        <w:t xml:space="preserve"> assets</w:t>
      </w:r>
      <w:r w:rsidR="00DD4BBB" w:rsidRPr="00283CEC">
        <w:t xml:space="preserve"> across the region including at Wilsons Promontory, Gippsland Lakes, M</w:t>
      </w:r>
      <w:r w:rsidR="00AF0BC5" w:rsidRPr="00283CEC">
        <w:t>oun</w:t>
      </w:r>
      <w:r w:rsidR="00DD4BBB" w:rsidRPr="00283CEC">
        <w:t xml:space="preserve">t Baw </w:t>
      </w:r>
      <w:proofErr w:type="spellStart"/>
      <w:r w:rsidR="00DD4BBB" w:rsidRPr="00283CEC">
        <w:t>Baw</w:t>
      </w:r>
      <w:proofErr w:type="spellEnd"/>
      <w:r w:rsidR="00DD4BBB" w:rsidRPr="00283CEC">
        <w:t xml:space="preserve"> and the Australian Alps, </w:t>
      </w:r>
      <w:r w:rsidR="00A94ECF" w:rsidRPr="00283CEC">
        <w:t>Croajingolong</w:t>
      </w:r>
      <w:r w:rsidR="00DD4BBB" w:rsidRPr="00283CEC">
        <w:t xml:space="preserve"> National Park and </w:t>
      </w:r>
      <w:r w:rsidR="002438CC" w:rsidRPr="00283CEC">
        <w:t>Tarra-</w:t>
      </w:r>
      <w:r w:rsidR="00DD4BBB" w:rsidRPr="00283CEC">
        <w:t xml:space="preserve">Bulga National Park. </w:t>
      </w:r>
      <w:r w:rsidR="001157E3" w:rsidRPr="00283CEC">
        <w:t>Agriculture also provides opportunities for complementing nature-based touri</w:t>
      </w:r>
      <w:r w:rsidR="003A0075" w:rsidRPr="00283CEC">
        <w:t>sm experiences through farm stay accommodation.</w:t>
      </w:r>
    </w:p>
    <w:p w:rsidR="001157E3" w:rsidRPr="00283CEC" w:rsidRDefault="000F7FA8" w:rsidP="00357C93">
      <w:pPr>
        <w:pStyle w:val="bt"/>
      </w:pPr>
      <w:r w:rsidRPr="00283CEC">
        <w:t>T</w:t>
      </w:r>
      <w:r w:rsidR="00040C0F" w:rsidRPr="00283CEC">
        <w:t xml:space="preserve">he rich cultural </w:t>
      </w:r>
      <w:r w:rsidR="003A6A99" w:rsidRPr="00283CEC">
        <w:t>heritage of the region also provides opportunities to expand the tourism market.</w:t>
      </w:r>
    </w:p>
    <w:p w:rsidR="001157E3" w:rsidRPr="00283CEC" w:rsidRDefault="001157E3" w:rsidP="00357C93">
      <w:pPr>
        <w:pStyle w:val="bt"/>
      </w:pPr>
      <w:r w:rsidRPr="00283CEC">
        <w:t>Gippsland’s tourism opportunities can be defined in three categories:</w:t>
      </w:r>
    </w:p>
    <w:p w:rsidR="001157E3" w:rsidRPr="00283CEC" w:rsidRDefault="00AF0BC5" w:rsidP="00767431">
      <w:pPr>
        <w:pStyle w:val="btbullet"/>
      </w:pPr>
      <w:r w:rsidRPr="00283CEC">
        <w:t>n</w:t>
      </w:r>
      <w:r w:rsidR="001157E3" w:rsidRPr="00283CEC">
        <w:t>ew investment to rejuvenate existing product and expand existing opportunities</w:t>
      </w:r>
    </w:p>
    <w:p w:rsidR="001157E3" w:rsidRPr="00283CEC" w:rsidRDefault="00AF0BC5" w:rsidP="00767431">
      <w:pPr>
        <w:pStyle w:val="btbullet"/>
      </w:pPr>
      <w:r w:rsidRPr="00283CEC">
        <w:t>f</w:t>
      </w:r>
      <w:r w:rsidR="001157E3" w:rsidRPr="00283CEC">
        <w:t>urther investment to meet unmet demand</w:t>
      </w:r>
    </w:p>
    <w:p w:rsidR="008C7005" w:rsidRPr="00283CEC" w:rsidRDefault="00DF61BD" w:rsidP="00767431">
      <w:pPr>
        <w:pStyle w:val="btbullet"/>
      </w:pPr>
      <w:proofErr w:type="gramStart"/>
      <w:r w:rsidRPr="00283CEC">
        <w:t>investment</w:t>
      </w:r>
      <w:proofErr w:type="gramEnd"/>
      <w:r w:rsidRPr="00283CEC">
        <w:t xml:space="preserve"> to facilitate new tourism opportunities</w:t>
      </w:r>
      <w:r w:rsidR="00767689" w:rsidRPr="00283CEC">
        <w:t>.</w:t>
      </w:r>
    </w:p>
    <w:p w:rsidR="00B258B8" w:rsidRPr="00283CEC" w:rsidRDefault="001D635B" w:rsidP="00357C93">
      <w:pPr>
        <w:pStyle w:val="bt"/>
      </w:pPr>
      <w:r w:rsidRPr="00283CEC">
        <w:t xml:space="preserve">To progress these opportunities, strategic tourism investment areas have been identified </w:t>
      </w:r>
      <w:r w:rsidR="00DD4BBB" w:rsidRPr="00283CEC">
        <w:t>in places conducive to nature-based tourism</w:t>
      </w:r>
      <w:r w:rsidR="00B72077" w:rsidRPr="00283CEC">
        <w:t xml:space="preserve"> (</w:t>
      </w:r>
      <w:r w:rsidR="00BA0525" w:rsidRPr="00283CEC">
        <w:t>r</w:t>
      </w:r>
      <w:r w:rsidR="003C370D" w:rsidRPr="00283CEC">
        <w:t xml:space="preserve">efer to </w:t>
      </w:r>
      <w:r w:rsidR="00BB6CA4">
        <w:t xml:space="preserve">Section 3 of </w:t>
      </w:r>
      <w:r w:rsidR="00BC6C0A" w:rsidRPr="00283CEC">
        <w:t xml:space="preserve">the </w:t>
      </w:r>
      <w:r w:rsidR="00767689" w:rsidRPr="00283CEC">
        <w:t>b</w:t>
      </w:r>
      <w:r w:rsidR="00BC6C0A" w:rsidRPr="00283CEC">
        <w:t xml:space="preserve">ackground </w:t>
      </w:r>
      <w:r w:rsidR="00767689" w:rsidRPr="00283CEC">
        <w:t>r</w:t>
      </w:r>
      <w:r w:rsidR="00BC6C0A" w:rsidRPr="00283CEC">
        <w:t>eport</w:t>
      </w:r>
      <w:r w:rsidR="00440B39" w:rsidRPr="00283CEC">
        <w:t>)</w:t>
      </w:r>
      <w:r w:rsidR="002438CC" w:rsidRPr="00283CEC">
        <w:t>.</w:t>
      </w:r>
      <w:r w:rsidR="00440B39" w:rsidRPr="00283CEC">
        <w:t xml:space="preserve"> </w:t>
      </w:r>
      <w:r w:rsidR="00545F9F" w:rsidRPr="00283CEC">
        <w:t xml:space="preserve">Opportunities exist for private sector investment in </w:t>
      </w:r>
      <w:r w:rsidR="00744FB9" w:rsidRPr="00283CEC">
        <w:t xml:space="preserve">towns and </w:t>
      </w:r>
      <w:r w:rsidR="00545F9F" w:rsidRPr="00283CEC">
        <w:t>sensitive</w:t>
      </w:r>
      <w:r w:rsidR="00744FB9" w:rsidRPr="00283CEC">
        <w:t xml:space="preserve">ly designed </w:t>
      </w:r>
      <w:r w:rsidR="00545F9F" w:rsidRPr="00283CEC">
        <w:t>tourism infrastructure</w:t>
      </w:r>
      <w:r w:rsidR="00744FB9" w:rsidRPr="00283CEC">
        <w:t xml:space="preserve">. </w:t>
      </w:r>
    </w:p>
    <w:p w:rsidR="00B258B8" w:rsidRPr="00283CEC" w:rsidRDefault="00486098" w:rsidP="00357C93">
      <w:pPr>
        <w:pStyle w:val="bt"/>
      </w:pPr>
      <w:r w:rsidRPr="00283CEC">
        <w:t xml:space="preserve">The </w:t>
      </w:r>
      <w:r w:rsidR="002438CC" w:rsidRPr="00283CEC">
        <w:t>S</w:t>
      </w:r>
      <w:r w:rsidR="00320231" w:rsidRPr="00283CEC">
        <w:t xml:space="preserve">tate </w:t>
      </w:r>
      <w:r w:rsidR="002438CC" w:rsidRPr="00283CEC">
        <w:t>G</w:t>
      </w:r>
      <w:r w:rsidR="00320231" w:rsidRPr="00283CEC">
        <w:t xml:space="preserve">overnment </w:t>
      </w:r>
      <w:r w:rsidR="00744FB9" w:rsidRPr="00283CEC">
        <w:t xml:space="preserve">has </w:t>
      </w:r>
      <w:r w:rsidR="00440B39" w:rsidRPr="00283CEC">
        <w:t xml:space="preserve">released </w:t>
      </w:r>
      <w:r w:rsidR="00744FB9" w:rsidRPr="00283CEC">
        <w:t xml:space="preserve">new </w:t>
      </w:r>
      <w:r w:rsidRPr="00283CEC">
        <w:t xml:space="preserve">guidelines </w:t>
      </w:r>
      <w:r w:rsidR="00744FB9" w:rsidRPr="00283CEC">
        <w:t xml:space="preserve">relating to private </w:t>
      </w:r>
      <w:r w:rsidR="001D404E" w:rsidRPr="00283CEC">
        <w:t xml:space="preserve">tourism </w:t>
      </w:r>
      <w:r w:rsidR="00744FB9" w:rsidRPr="00283CEC">
        <w:t xml:space="preserve">developments </w:t>
      </w:r>
      <w:r w:rsidR="001D404E" w:rsidRPr="00283CEC">
        <w:t xml:space="preserve">in </w:t>
      </w:r>
      <w:r w:rsidR="00AF0BC5" w:rsidRPr="00283CEC">
        <w:t>n</w:t>
      </w:r>
      <w:r w:rsidR="001D404E" w:rsidRPr="00283CEC">
        <w:t xml:space="preserve">ational </w:t>
      </w:r>
      <w:r w:rsidR="00AF0BC5" w:rsidRPr="00283CEC">
        <w:t>p</w:t>
      </w:r>
      <w:r w:rsidR="001D404E" w:rsidRPr="00283CEC">
        <w:t>arks,</w:t>
      </w:r>
      <w:r w:rsidR="00744FB9" w:rsidRPr="00283CEC">
        <w:t xml:space="preserve"> with opportunities for </w:t>
      </w:r>
      <w:r w:rsidR="003C370D" w:rsidRPr="00283CEC">
        <w:t>leases</w:t>
      </w:r>
      <w:r w:rsidR="00744FB9" w:rsidRPr="00283CEC">
        <w:t xml:space="preserve"> </w:t>
      </w:r>
      <w:r w:rsidR="001D404E" w:rsidRPr="00283CEC">
        <w:t>up to 99 years in duration</w:t>
      </w:r>
      <w:r w:rsidR="00767689" w:rsidRPr="00283CEC">
        <w:t>. L</w:t>
      </w:r>
      <w:r w:rsidR="001D404E" w:rsidRPr="00283CEC">
        <w:t xml:space="preserve">eases greater than 65 years will need to demonstrate regional and/or state significance, and it is anticipated that such proposals will be initiated by </w:t>
      </w:r>
      <w:r w:rsidR="00AF0BC5" w:rsidRPr="00283CEC">
        <w:t>the g</w:t>
      </w:r>
      <w:r w:rsidR="001D404E" w:rsidRPr="00283CEC">
        <w:t>overnment</w:t>
      </w:r>
      <w:r w:rsidR="00744FB9" w:rsidRPr="00283CEC">
        <w:t xml:space="preserve">. Careful design </w:t>
      </w:r>
      <w:r w:rsidR="00767689" w:rsidRPr="00283CEC">
        <w:t xml:space="preserve">will be a consideration </w:t>
      </w:r>
      <w:r w:rsidR="00744FB9" w:rsidRPr="00283CEC">
        <w:t>to minimise risk</w:t>
      </w:r>
      <w:r w:rsidR="00186412" w:rsidRPr="00283CEC">
        <w:t>s</w:t>
      </w:r>
      <w:r w:rsidR="00744FB9" w:rsidRPr="00283CEC">
        <w:t xml:space="preserve"> to</w:t>
      </w:r>
      <w:r w:rsidR="00186412" w:rsidRPr="00283CEC">
        <w:t xml:space="preserve"> the environment and to</w:t>
      </w:r>
      <w:r w:rsidR="00744FB9" w:rsidRPr="00283CEC">
        <w:t xml:space="preserve"> </w:t>
      </w:r>
      <w:r w:rsidR="00767689" w:rsidRPr="00283CEC">
        <w:t xml:space="preserve">protect </w:t>
      </w:r>
      <w:r w:rsidR="00744FB9" w:rsidRPr="00283CEC">
        <w:t xml:space="preserve">life and property from natural hazards </w:t>
      </w:r>
      <w:r w:rsidR="00767689" w:rsidRPr="00283CEC">
        <w:t xml:space="preserve">such as </w:t>
      </w:r>
      <w:r w:rsidR="00FF3565" w:rsidRPr="00283CEC">
        <w:t>bushfire</w:t>
      </w:r>
      <w:r w:rsidR="00744FB9" w:rsidRPr="00283CEC">
        <w:t>.</w:t>
      </w:r>
      <w:r w:rsidRPr="00283CEC">
        <w:t xml:space="preserve"> </w:t>
      </w:r>
    </w:p>
    <w:p w:rsidR="00647647" w:rsidRPr="00283CEC" w:rsidRDefault="00486098" w:rsidP="00357C93">
      <w:pPr>
        <w:pStyle w:val="bt"/>
      </w:pPr>
      <w:r w:rsidRPr="00283CEC">
        <w:t xml:space="preserve">Councils may be required to assist in approving tourism investment opportunities in </w:t>
      </w:r>
      <w:r w:rsidR="00AF0BC5" w:rsidRPr="00283CEC">
        <w:t>n</w:t>
      </w:r>
      <w:r w:rsidRPr="00283CEC">
        <w:t xml:space="preserve">ational </w:t>
      </w:r>
      <w:r w:rsidR="00AF0BC5" w:rsidRPr="00283CEC">
        <w:t>p</w:t>
      </w:r>
      <w:r w:rsidRPr="00283CEC">
        <w:t>arks, depending on the statutory approvals needed in each case.</w:t>
      </w:r>
      <w:r w:rsidR="001D404E" w:rsidRPr="00283CEC">
        <w:t xml:space="preserve"> Opportunities to advance private </w:t>
      </w:r>
      <w:r w:rsidR="00AF0BC5" w:rsidRPr="00283CEC">
        <w:t xml:space="preserve">tourism </w:t>
      </w:r>
      <w:r w:rsidR="001D404E" w:rsidRPr="00283CEC">
        <w:t xml:space="preserve">investment in Gippsland’s </w:t>
      </w:r>
      <w:r w:rsidR="00AF0BC5" w:rsidRPr="00283CEC">
        <w:t>n</w:t>
      </w:r>
      <w:r w:rsidR="001D404E" w:rsidRPr="00283CEC">
        <w:t xml:space="preserve">ational </w:t>
      </w:r>
      <w:r w:rsidR="00AF0BC5" w:rsidRPr="00283CEC">
        <w:t>p</w:t>
      </w:r>
      <w:r w:rsidR="001D404E" w:rsidRPr="00283CEC">
        <w:t xml:space="preserve">arks should be investigated, particularly in relation to the strategic tourism investment areas identified in this </w:t>
      </w:r>
      <w:r w:rsidR="001070AC" w:rsidRPr="00283CEC">
        <w:t>p</w:t>
      </w:r>
      <w:r w:rsidR="001D404E" w:rsidRPr="00283CEC">
        <w:t>lan.</w:t>
      </w:r>
    </w:p>
    <w:p w:rsidR="00357C93" w:rsidRPr="00283CEC" w:rsidRDefault="00357C93" w:rsidP="00357C93">
      <w:pPr>
        <w:pStyle w:val="bt"/>
        <w:rPr>
          <w:rStyle w:val="Strong"/>
          <w:lang w:eastAsia="en-US"/>
        </w:rPr>
      </w:pPr>
      <w:r w:rsidRPr="00283CEC">
        <w:rPr>
          <w:rStyle w:val="Strong"/>
          <w:lang w:eastAsia="en-US"/>
        </w:rPr>
        <w:t>Strategies for future land use</w:t>
      </w:r>
    </w:p>
    <w:p w:rsidR="00357C93" w:rsidRPr="00283CEC" w:rsidRDefault="004625E8" w:rsidP="00767431">
      <w:pPr>
        <w:pStyle w:val="btbullet"/>
      </w:pPr>
      <w:r w:rsidRPr="00283CEC">
        <w:t>S</w:t>
      </w:r>
      <w:r w:rsidR="00357C93" w:rsidRPr="00283CEC">
        <w:t xml:space="preserve">trengthen tourism in </w:t>
      </w:r>
      <w:r w:rsidRPr="00283CEC">
        <w:t xml:space="preserve">the </w:t>
      </w:r>
      <w:r w:rsidR="00357C93" w:rsidRPr="00283CEC">
        <w:t xml:space="preserve">identified strategic tourism investment areas </w:t>
      </w:r>
      <w:r w:rsidRPr="00283CEC">
        <w:t xml:space="preserve">of: Phillip Island, Bunurong Coast, Wilsons Promontory National Park, Tarra-Bulga National Park, Mount Baw </w:t>
      </w:r>
      <w:proofErr w:type="spellStart"/>
      <w:r w:rsidRPr="00283CEC">
        <w:t>Baw</w:t>
      </w:r>
      <w:proofErr w:type="spellEnd"/>
      <w:r w:rsidRPr="00283CEC">
        <w:t xml:space="preserve"> and the Australian Alps, Gippsland Lakes, and Croajingolong National Park, including the Coastal Wilderness Walk, </w:t>
      </w:r>
      <w:r w:rsidR="00357C93" w:rsidRPr="00283CEC">
        <w:t>through improvements and development</w:t>
      </w:r>
      <w:r w:rsidR="002438CC" w:rsidRPr="00283CEC">
        <w:t>s</w:t>
      </w:r>
      <w:r w:rsidR="00357C93" w:rsidRPr="00283CEC">
        <w:t xml:space="preserve"> that enhance the visitor experience, are conducive to tourism development in the area, appropriately respond to natural hazards, and do not undermine the environmental and cultural heritage assets and values of the area</w:t>
      </w:r>
    </w:p>
    <w:p w:rsidR="00357C93" w:rsidRPr="00283CEC" w:rsidRDefault="00357C93" w:rsidP="00767431">
      <w:pPr>
        <w:pStyle w:val="btbullet"/>
      </w:pPr>
      <w:r w:rsidRPr="00283CEC">
        <w:t>Prepare a 20-year tourism strategy for Phillip Island</w:t>
      </w:r>
      <w:r w:rsidR="002438CC" w:rsidRPr="00283CEC">
        <w:t>,</w:t>
      </w:r>
      <w:r w:rsidRPr="00283CEC">
        <w:t xml:space="preserve"> which emphasises high quality and sophisticated experiences, nature-based tourism investment, and includes an environmental capacity statement for the island</w:t>
      </w:r>
    </w:p>
    <w:p w:rsidR="00357C93" w:rsidRPr="00283CEC" w:rsidRDefault="00357C93" w:rsidP="00767431">
      <w:pPr>
        <w:pStyle w:val="btbullet"/>
      </w:pPr>
      <w:r w:rsidRPr="00283CEC">
        <w:t xml:space="preserve">Facilitate increased tourism investment and subsequent employment by supporting sensitively designed, nature-based tourism proposals that complement and are compatible with the </w:t>
      </w:r>
      <w:r w:rsidR="004625E8" w:rsidRPr="00283CEC">
        <w:t xml:space="preserve">region’s environment and landscape attractions </w:t>
      </w:r>
      <w:r w:rsidRPr="00283CEC">
        <w:t xml:space="preserve">or are close to </w:t>
      </w:r>
      <w:r w:rsidR="004625E8" w:rsidRPr="00283CEC">
        <w:t xml:space="preserve">identified </w:t>
      </w:r>
      <w:r w:rsidRPr="00283CEC">
        <w:t xml:space="preserve">strategic tourism investment areas </w:t>
      </w:r>
    </w:p>
    <w:p w:rsidR="00357C93" w:rsidRPr="00283CEC" w:rsidRDefault="00357C93" w:rsidP="00767431">
      <w:pPr>
        <w:pStyle w:val="btbullet"/>
      </w:pPr>
      <w:r w:rsidRPr="00283CEC">
        <w:t xml:space="preserve">Encourage tourism development to locate within an existing urban settlement in identified strategic tourism investment areas, except where proposals: </w:t>
      </w:r>
    </w:p>
    <w:p w:rsidR="00357C93" w:rsidRPr="00283CEC" w:rsidRDefault="00357C93" w:rsidP="00D9369A">
      <w:pPr>
        <w:pStyle w:val="ListParagraph"/>
      </w:pPr>
      <w:r w:rsidRPr="00283CEC">
        <w:t xml:space="preserve">(a) </w:t>
      </w:r>
      <w:proofErr w:type="gramStart"/>
      <w:r w:rsidRPr="00283CEC">
        <w:t>support</w:t>
      </w:r>
      <w:proofErr w:type="gramEnd"/>
      <w:r w:rsidRPr="00283CEC">
        <w:t xml:space="preserve"> nature-based tourism or are farm-based </w:t>
      </w:r>
    </w:p>
    <w:p w:rsidR="00357C93" w:rsidRPr="00283CEC" w:rsidRDefault="00357C93" w:rsidP="00D9369A">
      <w:pPr>
        <w:pStyle w:val="ListParagraph"/>
      </w:pPr>
      <w:r w:rsidRPr="00283CEC">
        <w:t xml:space="preserve">(b) </w:t>
      </w:r>
      <w:proofErr w:type="gramStart"/>
      <w:r w:rsidRPr="00283CEC">
        <w:t>do</w:t>
      </w:r>
      <w:proofErr w:type="gramEnd"/>
      <w:r w:rsidRPr="00283CEC">
        <w:t xml:space="preserve"> not include a permanent residential component </w:t>
      </w:r>
    </w:p>
    <w:p w:rsidR="00357C93" w:rsidRPr="00283CEC" w:rsidRDefault="00357C93" w:rsidP="00D9369A">
      <w:pPr>
        <w:pStyle w:val="ListParagraph"/>
      </w:pPr>
      <w:r w:rsidRPr="00283CEC">
        <w:t xml:space="preserve">(c) </w:t>
      </w:r>
      <w:proofErr w:type="gramStart"/>
      <w:r w:rsidRPr="00283CEC">
        <w:t>avoid</w:t>
      </w:r>
      <w:proofErr w:type="gramEnd"/>
      <w:r w:rsidRPr="00283CEC">
        <w:t xml:space="preserve"> or manage natural hazards </w:t>
      </w:r>
    </w:p>
    <w:p w:rsidR="00357C93" w:rsidRPr="00283CEC" w:rsidRDefault="00357C93" w:rsidP="00D9369A">
      <w:pPr>
        <w:pStyle w:val="ListParagraph"/>
      </w:pPr>
      <w:r w:rsidRPr="00283CEC">
        <w:t xml:space="preserve">(d) </w:t>
      </w:r>
      <w:proofErr w:type="gramStart"/>
      <w:r w:rsidRPr="00283CEC">
        <w:t>are</w:t>
      </w:r>
      <w:proofErr w:type="gramEnd"/>
      <w:r w:rsidRPr="00283CEC">
        <w:t xml:space="preserve"> likely</w:t>
      </w:r>
      <w:r w:rsidR="00971DBA" w:rsidRPr="00283CEC">
        <w:t xml:space="preserve"> to be of regional significance</w:t>
      </w:r>
    </w:p>
    <w:p w:rsidR="00A41B70" w:rsidRPr="00283CEC" w:rsidRDefault="00357C93" w:rsidP="00D9369A">
      <w:pPr>
        <w:pStyle w:val="ListParagraph"/>
      </w:pPr>
      <w:r w:rsidRPr="00283CEC">
        <w:t xml:space="preserve">(e) </w:t>
      </w:r>
      <w:proofErr w:type="gramStart"/>
      <w:r w:rsidRPr="00283CEC">
        <w:t>are</w:t>
      </w:r>
      <w:proofErr w:type="gramEnd"/>
      <w:r w:rsidRPr="00283CEC">
        <w:t xml:space="preserve"> high quality and significantly add value to the tourism experience of the area</w:t>
      </w:r>
    </w:p>
    <w:p w:rsidR="00357C93" w:rsidRPr="00283CEC" w:rsidRDefault="00A41B70" w:rsidP="00D9369A">
      <w:pPr>
        <w:pStyle w:val="ListParagraph"/>
      </w:pPr>
      <w:r w:rsidRPr="00283CEC">
        <w:t xml:space="preserve">(f) </w:t>
      </w:r>
      <w:proofErr w:type="gramStart"/>
      <w:r w:rsidR="00AA514A" w:rsidRPr="00283CEC">
        <w:t>do</w:t>
      </w:r>
      <w:proofErr w:type="gramEnd"/>
      <w:r w:rsidR="00AA514A" w:rsidRPr="00283CEC">
        <w:t xml:space="preserve"> not detract from the environmental or landscape values of the area in which they are located.</w:t>
      </w:r>
    </w:p>
    <w:p w:rsidR="00582610" w:rsidRPr="00283CEC" w:rsidRDefault="00582610" w:rsidP="00357C93">
      <w:pPr>
        <w:pStyle w:val="Heading2"/>
        <w:rPr>
          <w:color w:val="auto"/>
        </w:rPr>
      </w:pPr>
      <w:bookmarkStart w:id="66" w:name="_Toc376791244"/>
      <w:r w:rsidRPr="00283CEC">
        <w:rPr>
          <w:color w:val="auto"/>
        </w:rPr>
        <w:t>Agriculture</w:t>
      </w:r>
      <w:bookmarkEnd w:id="66"/>
    </w:p>
    <w:p w:rsidR="00586BBE" w:rsidRPr="00283CEC" w:rsidRDefault="00ED02AE" w:rsidP="00357C93">
      <w:pPr>
        <w:pStyle w:val="bt"/>
      </w:pPr>
      <w:r w:rsidRPr="00283CEC">
        <w:t xml:space="preserve">By </w:t>
      </w:r>
      <w:r w:rsidR="00744FB9" w:rsidRPr="00283CEC">
        <w:t>2030</w:t>
      </w:r>
      <w:r w:rsidR="00972CAB" w:rsidRPr="00283CEC">
        <w:t xml:space="preserve"> </w:t>
      </w:r>
      <w:r w:rsidRPr="00283CEC">
        <w:t xml:space="preserve">it is envisaged </w:t>
      </w:r>
      <w:r w:rsidR="00A13B06" w:rsidRPr="00283CEC">
        <w:t xml:space="preserve">the </w:t>
      </w:r>
      <w:r w:rsidR="008527D2" w:rsidRPr="00283CEC">
        <w:t>Gippsland</w:t>
      </w:r>
      <w:r w:rsidR="00972CAB" w:rsidRPr="00283CEC">
        <w:t xml:space="preserve"> </w:t>
      </w:r>
      <w:r w:rsidR="00A13B06" w:rsidRPr="00283CEC">
        <w:t xml:space="preserve">region </w:t>
      </w:r>
      <w:r w:rsidRPr="00283CEC">
        <w:t xml:space="preserve">will be </w:t>
      </w:r>
      <w:r w:rsidR="008527D2" w:rsidRPr="00283CEC">
        <w:t xml:space="preserve">a major contributor </w:t>
      </w:r>
      <w:r w:rsidRPr="00283CEC">
        <w:t xml:space="preserve">to achieving the </w:t>
      </w:r>
      <w:r w:rsidR="008527D2" w:rsidRPr="00283CEC">
        <w:t xml:space="preserve">aim of </w:t>
      </w:r>
      <w:r w:rsidR="00F61642" w:rsidRPr="00283CEC">
        <w:t xml:space="preserve">doubling food production in Victoria. </w:t>
      </w:r>
      <w:r w:rsidR="008527D2" w:rsidRPr="00283CEC">
        <w:t>There are major dairy processing plants located at Leongatha, Korumburra</w:t>
      </w:r>
      <w:r w:rsidR="00F61642" w:rsidRPr="00283CEC">
        <w:t>, Darnum</w:t>
      </w:r>
      <w:r w:rsidR="008527D2" w:rsidRPr="00283CEC">
        <w:t xml:space="preserve"> and Maffra that service exte</w:t>
      </w:r>
      <w:r w:rsidR="00F61642" w:rsidRPr="00283CEC">
        <w:t xml:space="preserve">nsive dairy production areas. </w:t>
      </w:r>
      <w:r w:rsidR="008527D2" w:rsidRPr="00283CEC">
        <w:t>Other dairy manufacturing ope</w:t>
      </w:r>
      <w:r w:rsidR="00EE35FE" w:rsidRPr="00283CEC">
        <w:t xml:space="preserve">rations are located </w:t>
      </w:r>
      <w:r w:rsidR="00056D39" w:rsidRPr="00283CEC">
        <w:t>in Morwell and Longwarry</w:t>
      </w:r>
      <w:r w:rsidR="00F83C72" w:rsidRPr="00283CEC">
        <w:t>.</w:t>
      </w:r>
      <w:r w:rsidR="00C97B63" w:rsidRPr="00283CEC">
        <w:t xml:space="preserve"> </w:t>
      </w:r>
      <w:r w:rsidR="00AA514A" w:rsidRPr="00283CEC">
        <w:t>The region also has a significant cattle and grazing industry including beef, lamb and wool production. Meat and vegetable processing, including organics and hydroponic production, is located at Warragul/Drouin.</w:t>
      </w:r>
      <w:r w:rsidR="00EE35FE" w:rsidRPr="00283CEC">
        <w:t xml:space="preserve"> </w:t>
      </w:r>
      <w:r w:rsidR="008527D2" w:rsidRPr="00283CEC">
        <w:t xml:space="preserve">There is also a significant food manufacturing industry centred on the East Gippsland Food Cluster at Bairnsdale. </w:t>
      </w:r>
    </w:p>
    <w:p w:rsidR="00223309" w:rsidRPr="00283CEC" w:rsidRDefault="00AA514A" w:rsidP="00357C93">
      <w:pPr>
        <w:pStyle w:val="bt"/>
      </w:pPr>
      <w:r w:rsidRPr="00283CEC">
        <w:t xml:space="preserve">Adjacent to the region’s western edge, investigations by metropolitan councils and water authorities are continuing into the feasibility of establishing an intensive agricultural area to be known as the Bunyip Food Belt. This area could provide additional product for food processing and manufacturing facilities in Gippsland. </w:t>
      </w:r>
    </w:p>
    <w:p w:rsidR="008527D2" w:rsidRPr="00283CEC" w:rsidRDefault="008527D2" w:rsidP="00357C93">
      <w:pPr>
        <w:pStyle w:val="bt"/>
      </w:pPr>
      <w:r w:rsidRPr="00283CEC">
        <w:t>The region is currently investigating opportunities for new investment and value-add</w:t>
      </w:r>
      <w:r w:rsidR="00ED02AE" w:rsidRPr="00283CEC">
        <w:t xml:space="preserve">ing </w:t>
      </w:r>
      <w:r w:rsidRPr="00283CEC">
        <w:t xml:space="preserve">in this sector through the </w:t>
      </w:r>
      <w:r w:rsidR="00B84D71" w:rsidRPr="00283CEC">
        <w:rPr>
          <w:rStyle w:val="Emphasis"/>
          <w:i w:val="0"/>
        </w:rPr>
        <w:t>Gippsland Food Plan</w:t>
      </w:r>
      <w:r w:rsidRPr="00283CEC">
        <w:t xml:space="preserve"> supported by the Regional Development Australia Gippsland Committee. Gippsland’s food manufacturing industry relies on a consistent supply of quality product to ensure operations can run at optimum capacity. Protecting and maintaining Gippsland’s strategic and productive agricultural land is therefore essential for the continued growth of the food manufacturing sector.</w:t>
      </w:r>
      <w:r w:rsidR="002F67F6" w:rsidRPr="00283CEC">
        <w:t xml:space="preserve"> For </w:t>
      </w:r>
      <w:r w:rsidR="00ED02AE" w:rsidRPr="00283CEC">
        <w:t xml:space="preserve">more </w:t>
      </w:r>
      <w:r w:rsidR="002F67F6" w:rsidRPr="00283CEC">
        <w:t>detail on the region’s strategic agriculture and forestry areas refer to the</w:t>
      </w:r>
      <w:r w:rsidR="00BA0525" w:rsidRPr="00283CEC">
        <w:t xml:space="preserve"> </w:t>
      </w:r>
      <w:r w:rsidR="00A13B06" w:rsidRPr="00283CEC">
        <w:t>b</w:t>
      </w:r>
      <w:r w:rsidR="009B2677" w:rsidRPr="00283CEC">
        <w:t xml:space="preserve">ackground </w:t>
      </w:r>
      <w:r w:rsidR="00A13B06" w:rsidRPr="00283CEC">
        <w:t>r</w:t>
      </w:r>
      <w:r w:rsidR="009B2677" w:rsidRPr="00283CEC">
        <w:t>eport</w:t>
      </w:r>
      <w:r w:rsidR="002F67F6" w:rsidRPr="00283CEC">
        <w:t>.</w:t>
      </w:r>
    </w:p>
    <w:p w:rsidR="00E01E11" w:rsidRPr="00283CEC" w:rsidRDefault="00535C0D" w:rsidP="00CC3A69">
      <w:pPr>
        <w:pStyle w:val="Heading4"/>
      </w:pPr>
      <w:r w:rsidRPr="00283CEC">
        <w:t>Dairy</w:t>
      </w:r>
    </w:p>
    <w:p w:rsidR="001F0BE2" w:rsidRPr="00283CEC" w:rsidRDefault="00672AC7" w:rsidP="00357C93">
      <w:pPr>
        <w:pStyle w:val="bt"/>
      </w:pPr>
      <w:r w:rsidRPr="00283CEC">
        <w:t xml:space="preserve">Dairy production is a major contributor to the </w:t>
      </w:r>
      <w:r w:rsidR="00ED02AE" w:rsidRPr="00283CEC">
        <w:t xml:space="preserve">Gippsland </w:t>
      </w:r>
      <w:r w:rsidRPr="00283CEC">
        <w:t>economy</w:t>
      </w:r>
      <w:r w:rsidR="00ED02AE" w:rsidRPr="00283CEC">
        <w:t>,</w:t>
      </w:r>
      <w:r w:rsidRPr="00283CEC">
        <w:t xml:space="preserve"> being valued at close to $1 billion and employing around 6800 people </w:t>
      </w:r>
      <w:r w:rsidR="002438CC" w:rsidRPr="00283CEC">
        <w:t>on-</w:t>
      </w:r>
      <w:r w:rsidRPr="00283CEC">
        <w:t xml:space="preserve">farm and in </w:t>
      </w:r>
      <w:r w:rsidR="00D00483" w:rsidRPr="00283CEC">
        <w:t xml:space="preserve">related </w:t>
      </w:r>
      <w:r w:rsidRPr="00283CEC">
        <w:t>processing</w:t>
      </w:r>
      <w:r w:rsidR="00253211" w:rsidRPr="00283CEC">
        <w:t xml:space="preserve"> (</w:t>
      </w:r>
      <w:r w:rsidR="009223B0" w:rsidRPr="00283CEC">
        <w:t>eight</w:t>
      </w:r>
      <w:r w:rsidR="00A13B06" w:rsidRPr="00283CEC">
        <w:t xml:space="preserve"> per cent</w:t>
      </w:r>
      <w:r w:rsidR="00253211" w:rsidRPr="00283CEC">
        <w:t xml:space="preserve"> of the region’s workforce)</w:t>
      </w:r>
      <w:r w:rsidRPr="00283CEC">
        <w:t xml:space="preserve">. Gippsland produces approximately </w:t>
      </w:r>
      <w:r w:rsidR="00A65FE9" w:rsidRPr="00283CEC">
        <w:t xml:space="preserve">one-third </w:t>
      </w:r>
      <w:r w:rsidRPr="00283CEC">
        <w:t>of Vi</w:t>
      </w:r>
      <w:r w:rsidR="00F47304" w:rsidRPr="00283CEC">
        <w:t>ctoria’s total dairy production and around one-fifth of Australia’s dairy production.</w:t>
      </w:r>
    </w:p>
    <w:p w:rsidR="000F409C" w:rsidRPr="00283CEC" w:rsidRDefault="00D00483" w:rsidP="00357C93">
      <w:pPr>
        <w:pStyle w:val="bt"/>
      </w:pPr>
      <w:r w:rsidRPr="00283CEC">
        <w:t>Gippsland holds a competitive advantage</w:t>
      </w:r>
      <w:r w:rsidR="00A65FE9" w:rsidRPr="00283CEC">
        <w:t xml:space="preserve"> in dairying </w:t>
      </w:r>
      <w:r w:rsidR="00744FB9" w:rsidRPr="00283CEC">
        <w:t xml:space="preserve">due to </w:t>
      </w:r>
      <w:r w:rsidR="00A65FE9" w:rsidRPr="00283CEC">
        <w:t>productive soils and high and reliable rainfall.</w:t>
      </w:r>
      <w:r w:rsidR="00CC04D7" w:rsidRPr="00283CEC">
        <w:t xml:space="preserve"> </w:t>
      </w:r>
      <w:r w:rsidR="0070318C" w:rsidRPr="00283CEC">
        <w:t xml:space="preserve">There is also a significant level of investment in </w:t>
      </w:r>
      <w:r w:rsidR="003D6E4E" w:rsidRPr="00283CEC">
        <w:t>land</w:t>
      </w:r>
      <w:r w:rsidR="00C62554" w:rsidRPr="00283CEC">
        <w:t xml:space="preserve"> irrigation</w:t>
      </w:r>
      <w:r w:rsidR="003D6E4E" w:rsidRPr="00283CEC">
        <w:t xml:space="preserve">, </w:t>
      </w:r>
      <w:r w:rsidR="0070318C" w:rsidRPr="00283CEC">
        <w:t>dairy processing plants</w:t>
      </w:r>
      <w:r w:rsidR="00DB7FCE" w:rsidRPr="00283CEC">
        <w:t xml:space="preserve"> </w:t>
      </w:r>
      <w:r w:rsidR="0070318C" w:rsidRPr="00283CEC">
        <w:t xml:space="preserve">and infrastructure that </w:t>
      </w:r>
      <w:r w:rsidR="00896A23" w:rsidRPr="00283CEC">
        <w:t xml:space="preserve">in turn </w:t>
      </w:r>
      <w:r w:rsidR="00D25998" w:rsidRPr="00283CEC">
        <w:t xml:space="preserve">supports </w:t>
      </w:r>
      <w:r w:rsidR="0070318C" w:rsidRPr="00283CEC">
        <w:t xml:space="preserve">food manufacturing and value-adding </w:t>
      </w:r>
      <w:r w:rsidR="00896A23" w:rsidRPr="00283CEC">
        <w:t xml:space="preserve">within the region. </w:t>
      </w:r>
      <w:r w:rsidR="000F409C" w:rsidRPr="00283CEC">
        <w:t xml:space="preserve">Milk produced in Gippsland supports </w:t>
      </w:r>
      <w:r w:rsidR="00ED02AE" w:rsidRPr="00283CEC">
        <w:t xml:space="preserve">16 </w:t>
      </w:r>
      <w:r w:rsidR="000F409C" w:rsidRPr="00283CEC">
        <w:t xml:space="preserve">dairy factories </w:t>
      </w:r>
      <w:r w:rsidR="00ED02AE" w:rsidRPr="00283CEC">
        <w:t xml:space="preserve">that </w:t>
      </w:r>
      <w:r w:rsidR="000F409C" w:rsidRPr="00283CEC">
        <w:t>manufactur</w:t>
      </w:r>
      <w:r w:rsidR="00ED02AE" w:rsidRPr="00283CEC">
        <w:t xml:space="preserve">e </w:t>
      </w:r>
      <w:r w:rsidR="000F409C" w:rsidRPr="00283CEC">
        <w:t>products for domestic and export market</w:t>
      </w:r>
      <w:r w:rsidR="00C62554" w:rsidRPr="00283CEC">
        <w:t>s</w:t>
      </w:r>
      <w:r w:rsidR="000F409C" w:rsidRPr="00283CEC">
        <w:t>.</w:t>
      </w:r>
    </w:p>
    <w:p w:rsidR="00896A23" w:rsidRPr="00283CEC" w:rsidRDefault="000F409C" w:rsidP="00357C93">
      <w:pPr>
        <w:pStyle w:val="bt"/>
      </w:pPr>
      <w:r w:rsidRPr="00283CEC">
        <w:t xml:space="preserve">A secure supply of raw milk product is critical to maintaining the secondary processing sector. There is opportunity for further growth in the industry with likely growth in herd size, spare capacity within processing plants, and additional water available for irrigation from infrastructure modernisation. </w:t>
      </w:r>
      <w:r w:rsidR="00896A23" w:rsidRPr="00283CEC">
        <w:t>The road</w:t>
      </w:r>
      <w:r w:rsidRPr="00283CEC">
        <w:t xml:space="preserve"> freight</w:t>
      </w:r>
      <w:r w:rsidR="00896A23" w:rsidRPr="00283CEC">
        <w:t xml:space="preserve"> transport network </w:t>
      </w:r>
      <w:r w:rsidRPr="00283CEC">
        <w:t xml:space="preserve">is a key link </w:t>
      </w:r>
      <w:r w:rsidR="00896A23" w:rsidRPr="00283CEC">
        <w:t>connect</w:t>
      </w:r>
      <w:r w:rsidRPr="00283CEC">
        <w:t xml:space="preserve">ing </w:t>
      </w:r>
      <w:r w:rsidR="00896A23" w:rsidRPr="00283CEC">
        <w:t xml:space="preserve">the major dairy processing centres at Leongatha, Korumburra and Maffra to distribution </w:t>
      </w:r>
      <w:r w:rsidRPr="00283CEC">
        <w:t xml:space="preserve">and export hubs in Melbourne. </w:t>
      </w:r>
    </w:p>
    <w:p w:rsidR="00A33F24" w:rsidRPr="00283CEC" w:rsidRDefault="00E147EA" w:rsidP="00357C93">
      <w:pPr>
        <w:pStyle w:val="bt"/>
      </w:pPr>
      <w:r w:rsidRPr="00283CEC">
        <w:t xml:space="preserve">The dairy sector provides opportunities for the region to realise its aims for value-adding in agribusiness, and to provide a greater diversity of local employment including more high skilled jobs. </w:t>
      </w:r>
      <w:r w:rsidR="00ED02AE" w:rsidRPr="00283CEC">
        <w:t xml:space="preserve">In addition, there </w:t>
      </w:r>
      <w:r w:rsidR="00F27F2D" w:rsidRPr="00283CEC">
        <w:t xml:space="preserve">is the potential to </w:t>
      </w:r>
      <w:r w:rsidR="00B35C67" w:rsidRPr="00283CEC">
        <w:t>further enhance</w:t>
      </w:r>
      <w:r w:rsidR="00F27F2D" w:rsidRPr="00283CEC">
        <w:t xml:space="preserve"> Gippsland’s profile as a food producer of state and national significance.</w:t>
      </w:r>
    </w:p>
    <w:p w:rsidR="00E01E11" w:rsidRPr="00283CEC" w:rsidRDefault="00535C0D" w:rsidP="00CC3A69">
      <w:pPr>
        <w:pStyle w:val="Heading4"/>
      </w:pPr>
      <w:r w:rsidRPr="00283CEC">
        <w:t>Horticulture</w:t>
      </w:r>
    </w:p>
    <w:p w:rsidR="00184644" w:rsidRPr="00283CEC" w:rsidRDefault="009328A8" w:rsidP="00357C93">
      <w:pPr>
        <w:pStyle w:val="bt"/>
      </w:pPr>
      <w:r w:rsidRPr="00283CEC">
        <w:t>Horticultural production is concentrated in a number of locations including Thorpdale and Lindenow where there are very high versatility soils.</w:t>
      </w:r>
      <w:r w:rsidR="00DE083C" w:rsidRPr="00283CEC">
        <w:t xml:space="preserve"> </w:t>
      </w:r>
      <w:r w:rsidR="00A94ECF" w:rsidRPr="00283CEC">
        <w:t>Important vegetable growing and packaging operations also occur south of Longford. The Macalister Irrigation District is a key agricultural asset supporting both horticulture and dairy production, although recent trends indicate a conversion of dairy farms to horticulture in this area.</w:t>
      </w:r>
      <w:r w:rsidR="003B0D69" w:rsidRPr="00283CEC">
        <w:t xml:space="preserve"> </w:t>
      </w:r>
      <w:r w:rsidR="00AA514A" w:rsidRPr="00283CEC">
        <w:t>Funding has been provided for a major modernisation of the district’s gravity-fed irrigation system that will secure reliable water supply to farms and boost agricultural output.</w:t>
      </w:r>
      <w:r w:rsidR="00E147EA" w:rsidRPr="00283CEC">
        <w:t xml:space="preserve"> Intensive</w:t>
      </w:r>
      <w:r w:rsidR="00EE35FE" w:rsidRPr="00283CEC">
        <w:t xml:space="preserve"> horticultural production and hydroponics are also emerging within this sector. </w:t>
      </w:r>
      <w:r w:rsidR="00184644" w:rsidRPr="00283CEC">
        <w:t xml:space="preserve">Horticulture generates around </w:t>
      </w:r>
      <w:r w:rsidR="00CF7653" w:rsidRPr="00283CEC">
        <w:t>14</w:t>
      </w:r>
      <w:r w:rsidR="00A13B06" w:rsidRPr="00283CEC">
        <w:t xml:space="preserve"> per cent</w:t>
      </w:r>
      <w:r w:rsidR="00CF7653" w:rsidRPr="00283CEC">
        <w:t xml:space="preserve"> </w:t>
      </w:r>
      <w:r w:rsidR="00184644" w:rsidRPr="00283CEC">
        <w:t xml:space="preserve">of Gippsland’s agricultural production </w:t>
      </w:r>
      <w:r w:rsidR="00CF7653" w:rsidRPr="00283CEC">
        <w:t xml:space="preserve">value </w:t>
      </w:r>
      <w:r w:rsidR="00184644" w:rsidRPr="00283CEC">
        <w:t xml:space="preserve">and comprises </w:t>
      </w:r>
      <w:r w:rsidR="00A13B06" w:rsidRPr="00283CEC">
        <w:t xml:space="preserve">nine per cent </w:t>
      </w:r>
      <w:r w:rsidR="00184644" w:rsidRPr="00283CEC">
        <w:t>of the state’s horticulture</w:t>
      </w:r>
      <w:r w:rsidR="008667D1" w:rsidRPr="00283CEC">
        <w:t xml:space="preserve"> output</w:t>
      </w:r>
      <w:r w:rsidR="00184644" w:rsidRPr="00283CEC">
        <w:t>.</w:t>
      </w:r>
      <w:r w:rsidR="00C62554" w:rsidRPr="00283CEC">
        <w:t xml:space="preserve"> </w:t>
      </w:r>
    </w:p>
    <w:p w:rsidR="00E010D2" w:rsidRPr="00283CEC" w:rsidRDefault="00AA7AD1" w:rsidP="00357C93">
      <w:pPr>
        <w:pStyle w:val="bt"/>
      </w:pPr>
      <w:r w:rsidRPr="00283CEC">
        <w:t xml:space="preserve">The productive land resource and </w:t>
      </w:r>
      <w:r w:rsidR="008667D1" w:rsidRPr="00283CEC">
        <w:t xml:space="preserve">infrastructure </w:t>
      </w:r>
      <w:r w:rsidRPr="00283CEC">
        <w:t xml:space="preserve">such as the Macalister Irrigation District are important assets that position </w:t>
      </w:r>
      <w:r w:rsidR="00F8438E" w:rsidRPr="00283CEC">
        <w:t xml:space="preserve">the region </w:t>
      </w:r>
      <w:r w:rsidRPr="00283CEC">
        <w:t xml:space="preserve">to further develop its food production and processing opportunities. </w:t>
      </w:r>
      <w:r w:rsidR="00AD4ECE" w:rsidRPr="00283CEC" w:rsidDel="00C62554">
        <w:t xml:space="preserve">Work is currently underway </w:t>
      </w:r>
      <w:r w:rsidR="0066797A" w:rsidRPr="00283CEC">
        <w:t xml:space="preserve">on </w:t>
      </w:r>
      <w:r w:rsidR="00AD4ECE" w:rsidRPr="00283CEC" w:rsidDel="00C62554">
        <w:t xml:space="preserve">the </w:t>
      </w:r>
      <w:r w:rsidR="00804CAA" w:rsidRPr="00283CEC">
        <w:rPr>
          <w:rStyle w:val="Emphasis"/>
          <w:i w:val="0"/>
        </w:rPr>
        <w:t>Gippsland Food Plan</w:t>
      </w:r>
      <w:r w:rsidR="002438CC" w:rsidRPr="00283CEC">
        <w:rPr>
          <w:rStyle w:val="Emphasis"/>
          <w:i w:val="0"/>
        </w:rPr>
        <w:t>,</w:t>
      </w:r>
      <w:r w:rsidR="00F8438E" w:rsidRPr="00283CEC" w:rsidDel="00C62554">
        <w:t xml:space="preserve"> </w:t>
      </w:r>
      <w:r w:rsidR="00AD4ECE" w:rsidRPr="00283CEC" w:rsidDel="00C62554">
        <w:t xml:space="preserve">which will explore opportunities to better utilise the region’s food production capabilities and support </w:t>
      </w:r>
      <w:r w:rsidR="00F8438E" w:rsidRPr="00283CEC" w:rsidDel="00C62554">
        <w:t>high</w:t>
      </w:r>
      <w:r w:rsidR="00AD4ECE" w:rsidRPr="00283CEC" w:rsidDel="00C62554">
        <w:t>er</w:t>
      </w:r>
      <w:r w:rsidR="002438CC" w:rsidRPr="00283CEC">
        <w:t xml:space="preserve"> </w:t>
      </w:r>
      <w:r w:rsidR="00F8438E" w:rsidRPr="00283CEC" w:rsidDel="00C62554">
        <w:t xml:space="preserve">skilled </w:t>
      </w:r>
      <w:r w:rsidR="00A2102B" w:rsidRPr="00283CEC" w:rsidDel="00C62554">
        <w:t>jobs</w:t>
      </w:r>
      <w:r w:rsidR="00AD4ECE" w:rsidRPr="00283CEC" w:rsidDel="00C62554">
        <w:t xml:space="preserve">. </w:t>
      </w:r>
      <w:r w:rsidR="00A2102B" w:rsidRPr="00283CEC" w:rsidDel="00C62554">
        <w:t xml:space="preserve">Other opportunities </w:t>
      </w:r>
      <w:r w:rsidR="00577334" w:rsidRPr="00283CEC" w:rsidDel="00C62554">
        <w:t>exist in the potential use of fruit and vegetable by</w:t>
      </w:r>
      <w:r w:rsidR="00577334" w:rsidRPr="00283CEC">
        <w:t>-</w:t>
      </w:r>
      <w:r w:rsidR="00577334" w:rsidRPr="00283CEC" w:rsidDel="00C62554">
        <w:t xml:space="preserve">products </w:t>
      </w:r>
      <w:r w:rsidR="0066797A" w:rsidRPr="00283CEC">
        <w:t xml:space="preserve">to </w:t>
      </w:r>
      <w:r w:rsidR="00577334" w:rsidRPr="00283CEC" w:rsidDel="00C62554">
        <w:t>develop biofuels and bioenergy.</w:t>
      </w:r>
    </w:p>
    <w:p w:rsidR="00E01E11" w:rsidRPr="00283CEC" w:rsidRDefault="00535C0D" w:rsidP="00357C93">
      <w:pPr>
        <w:pStyle w:val="bt"/>
        <w:rPr>
          <w:rStyle w:val="Strong"/>
        </w:rPr>
      </w:pPr>
      <w:r w:rsidRPr="00283CEC">
        <w:rPr>
          <w:rStyle w:val="Heading4Char"/>
        </w:rPr>
        <w:t>Timber</w:t>
      </w:r>
      <w:r w:rsidRPr="00283CEC">
        <w:rPr>
          <w:rStyle w:val="Strong"/>
        </w:rPr>
        <w:t xml:space="preserve"> </w:t>
      </w:r>
      <w:r w:rsidRPr="00283CEC">
        <w:rPr>
          <w:rStyle w:val="Heading4Char"/>
        </w:rPr>
        <w:t>production</w:t>
      </w:r>
    </w:p>
    <w:p w:rsidR="007258C3" w:rsidRPr="00283CEC" w:rsidRDefault="0089741F" w:rsidP="002E6458">
      <w:pPr>
        <w:pStyle w:val="bt"/>
      </w:pPr>
      <w:r w:rsidRPr="00283CEC">
        <w:t xml:space="preserve">Gippsland’s timber resource is comprised of native forest and plantation estates. </w:t>
      </w:r>
      <w:r w:rsidR="00AA514A" w:rsidRPr="00283CEC">
        <w:t>Managed native forest is an important source for hardwood species used in manufacturing, building materials and quality paper production</w:t>
      </w:r>
      <w:r w:rsidR="00E0306B" w:rsidRPr="00283CEC">
        <w:t xml:space="preserve">. </w:t>
      </w:r>
      <w:r w:rsidR="00AA514A" w:rsidRPr="00283CEC">
        <w:t>Native timber harvesting, particularly in areas across east Gippsland, is significant</w:t>
      </w:r>
      <w:r w:rsidR="00CE231E" w:rsidRPr="00283CEC">
        <w:t xml:space="preserve"> </w:t>
      </w:r>
      <w:r w:rsidR="00AA514A" w:rsidRPr="00283CEC">
        <w:t>for local communities such as Orbost and Heyfield</w:t>
      </w:r>
      <w:r w:rsidR="00CE231E" w:rsidRPr="00283CEC">
        <w:t xml:space="preserve"> </w:t>
      </w:r>
      <w:r w:rsidR="00AA514A" w:rsidRPr="00283CEC">
        <w:t>in providing opportunities for employment and skills.</w:t>
      </w:r>
      <w:r w:rsidR="00247D48" w:rsidRPr="00283CEC">
        <w:t xml:space="preserve"> </w:t>
      </w:r>
      <w:r w:rsidR="00E0306B" w:rsidRPr="00283CEC">
        <w:t xml:space="preserve">Sustainable </w:t>
      </w:r>
      <w:r w:rsidR="0042275C" w:rsidRPr="00283CEC">
        <w:t xml:space="preserve">management </w:t>
      </w:r>
      <w:r w:rsidR="00E0306B" w:rsidRPr="00283CEC">
        <w:t xml:space="preserve">practices have guided lower harvesting levels recently </w:t>
      </w:r>
      <w:r w:rsidR="0042275C" w:rsidRPr="00283CEC">
        <w:t xml:space="preserve">to provide certainty for the native timber industry in the long term. </w:t>
      </w:r>
      <w:r w:rsidR="00917950" w:rsidRPr="00283CEC">
        <w:t xml:space="preserve">Plantation </w:t>
      </w:r>
      <w:r w:rsidR="00E010D2" w:rsidRPr="00283CEC">
        <w:t>timber on</w:t>
      </w:r>
      <w:r w:rsidRPr="00283CEC">
        <w:t xml:space="preserve"> leased </w:t>
      </w:r>
      <w:r w:rsidR="0023214C" w:rsidRPr="00283CEC">
        <w:t xml:space="preserve">public </w:t>
      </w:r>
      <w:r w:rsidRPr="00283CEC">
        <w:t>land or land operated under licence</w:t>
      </w:r>
      <w:r w:rsidR="001212AE" w:rsidRPr="00283CEC">
        <w:t xml:space="preserve"> by commercial forestry operators</w:t>
      </w:r>
      <w:r w:rsidR="00CE231E" w:rsidRPr="00283CEC">
        <w:t xml:space="preserve"> is also a major contributor to the region’s timber resource</w:t>
      </w:r>
      <w:r w:rsidR="001212AE" w:rsidRPr="00283CEC">
        <w:t xml:space="preserve">. </w:t>
      </w:r>
      <w:r w:rsidR="006A4034" w:rsidRPr="00283CEC">
        <w:t xml:space="preserve">Nearly </w:t>
      </w:r>
      <w:r w:rsidR="002438CC" w:rsidRPr="00283CEC">
        <w:t>one-</w:t>
      </w:r>
      <w:r w:rsidR="006A4034" w:rsidRPr="00283CEC">
        <w:t xml:space="preserve">quarter of </w:t>
      </w:r>
      <w:r w:rsidRPr="00283CEC">
        <w:t xml:space="preserve">Victoria’s plantation estate </w:t>
      </w:r>
      <w:r w:rsidR="001E0428" w:rsidRPr="00283CEC">
        <w:t xml:space="preserve">is located in Gippsland. </w:t>
      </w:r>
    </w:p>
    <w:p w:rsidR="00E86F13" w:rsidRPr="00283CEC" w:rsidRDefault="00AA514A" w:rsidP="002E6458">
      <w:pPr>
        <w:pStyle w:val="bt"/>
      </w:pPr>
      <w:r w:rsidRPr="00283CEC">
        <w:t>The combined output from plantations and timber from the public estate supports a significant timber, pulp and paper manufacturing sector that employs around 3400 people (nearly four per cent of the region’s workforce).</w:t>
      </w:r>
      <w:r w:rsidR="00236530" w:rsidRPr="00283CEC">
        <w:t xml:space="preserve"> </w:t>
      </w:r>
      <w:r w:rsidR="00C62554" w:rsidRPr="00283CEC">
        <w:t>Woodchip products from Gippsland are transported to Geelong</w:t>
      </w:r>
      <w:r w:rsidR="00825FF4" w:rsidRPr="00283CEC">
        <w:t xml:space="preserve"> and</w:t>
      </w:r>
      <w:r w:rsidR="00DC7300" w:rsidRPr="00283CEC">
        <w:t xml:space="preserve"> </w:t>
      </w:r>
      <w:r w:rsidR="00825FF4" w:rsidRPr="00283CEC">
        <w:t>the Port of Eden</w:t>
      </w:r>
      <w:r w:rsidR="00C62554" w:rsidRPr="00283CEC">
        <w:t xml:space="preserve"> for export. The industry is heavily reliant on good transport connections across Victoria and into N</w:t>
      </w:r>
      <w:r w:rsidR="002B0B54" w:rsidRPr="00283CEC">
        <w:t xml:space="preserve">ew </w:t>
      </w:r>
      <w:r w:rsidR="00C62554" w:rsidRPr="00283CEC">
        <w:t>S</w:t>
      </w:r>
      <w:r w:rsidR="002B0B54" w:rsidRPr="00283CEC">
        <w:t xml:space="preserve">outh </w:t>
      </w:r>
      <w:r w:rsidR="00C62554" w:rsidRPr="00283CEC">
        <w:t>W</w:t>
      </w:r>
      <w:r w:rsidR="002B0B54" w:rsidRPr="00283CEC">
        <w:t>ales</w:t>
      </w:r>
      <w:r w:rsidR="00C62554" w:rsidRPr="00283CEC">
        <w:t>.</w:t>
      </w:r>
    </w:p>
    <w:p w:rsidR="00FD23F9" w:rsidRPr="00283CEC" w:rsidRDefault="002F556D" w:rsidP="002E6458">
      <w:pPr>
        <w:pStyle w:val="bt"/>
      </w:pPr>
      <w:r w:rsidRPr="00283CEC">
        <w:t xml:space="preserve">The timber resource provides opportunities for </w:t>
      </w:r>
      <w:r w:rsidR="007258C3" w:rsidRPr="00283CEC">
        <w:t xml:space="preserve">diversification </w:t>
      </w:r>
      <w:r w:rsidRPr="00283CEC">
        <w:t>in</w:t>
      </w:r>
      <w:r w:rsidR="007258C3" w:rsidRPr="00283CEC">
        <w:t>to a broader range of wood products</w:t>
      </w:r>
      <w:r w:rsidRPr="00283CEC">
        <w:t xml:space="preserve">, and to </w:t>
      </w:r>
      <w:r w:rsidR="007258C3" w:rsidRPr="00283CEC">
        <w:t>more fu</w:t>
      </w:r>
      <w:r w:rsidRPr="00283CEC">
        <w:t xml:space="preserve">lly utilise timber residues in new processes such as renewable biomass energy. Further development of bioenergy technology could help to </w:t>
      </w:r>
      <w:r w:rsidR="00FD23F9" w:rsidRPr="00283CEC">
        <w:t xml:space="preserve">assist </w:t>
      </w:r>
      <w:r w:rsidRPr="00283CEC">
        <w:t xml:space="preserve">the region’s </w:t>
      </w:r>
      <w:r w:rsidR="00FD23F9" w:rsidRPr="00283CEC">
        <w:t>transition to a low carbon economy</w:t>
      </w:r>
      <w:r w:rsidRPr="00283CEC">
        <w:t>.</w:t>
      </w:r>
    </w:p>
    <w:p w:rsidR="00AA514A" w:rsidRPr="00283CEC" w:rsidRDefault="00490925" w:rsidP="00AA514A">
      <w:pPr>
        <w:pStyle w:val="bt"/>
      </w:pPr>
      <w:r w:rsidRPr="00283CEC">
        <w:t xml:space="preserve">Future timber industry development in the region may need to consider potential impacts on water supply, particularly given the potential increase in timber plantations as a result of </w:t>
      </w:r>
      <w:r w:rsidR="00D9712A" w:rsidRPr="00283CEC">
        <w:t xml:space="preserve">initiatives to mitigate greenhouse gas emissions. </w:t>
      </w:r>
      <w:r w:rsidR="00177480" w:rsidRPr="00283CEC">
        <w:t xml:space="preserve">Planning for any increase in plantation timber will need to consider any potential increase in natural hazards as a result of such activities. This is particularly relevant to any changes in landscape bushfire and flood risks that may result from increasing treed vegetation cover, especially where occurring in close proximity to settlements. </w:t>
      </w:r>
      <w:r w:rsidR="005C33DA" w:rsidRPr="00283CEC">
        <w:t>In the longer term, timber product</w:t>
      </w:r>
      <w:r w:rsidR="0066797A" w:rsidRPr="00283CEC">
        <w:t>s</w:t>
      </w:r>
      <w:r w:rsidR="005C33DA" w:rsidRPr="00283CEC">
        <w:t xml:space="preserve"> in the region may change in distribution or degrade due to climate change and increased frequency of </w:t>
      </w:r>
      <w:r w:rsidR="00FF3565" w:rsidRPr="00283CEC">
        <w:t>bushfire</w:t>
      </w:r>
      <w:r w:rsidR="005C33DA" w:rsidRPr="00283CEC">
        <w:t>.</w:t>
      </w:r>
    </w:p>
    <w:p w:rsidR="00E01E11" w:rsidRPr="00283CEC" w:rsidRDefault="00535C0D" w:rsidP="00CC3A69">
      <w:pPr>
        <w:pStyle w:val="Heading4"/>
      </w:pPr>
      <w:r w:rsidRPr="00283CEC">
        <w:t>Fisheries</w:t>
      </w:r>
    </w:p>
    <w:p w:rsidR="00D478DE" w:rsidRPr="00283CEC" w:rsidRDefault="009B2677" w:rsidP="002E6458">
      <w:pPr>
        <w:pStyle w:val="bt"/>
        <w:rPr>
          <w:szCs w:val="20"/>
        </w:rPr>
      </w:pPr>
      <w:r w:rsidRPr="00283CEC">
        <w:rPr>
          <w:szCs w:val="20"/>
        </w:rPr>
        <w:t>Gippsland has an important role as a centre for both commercial and recreational fishing based on freshwater fishing in its inland rivers and lakes, and saltwater fishing in its bays and ocean waters. With Victoria’s largest commercial fishing fleet based at Lakes Entrance</w:t>
      </w:r>
      <w:r w:rsidR="0066797A" w:rsidRPr="00283CEC">
        <w:rPr>
          <w:szCs w:val="20"/>
        </w:rPr>
        <w:t>,</w:t>
      </w:r>
      <w:r w:rsidRPr="00283CEC">
        <w:rPr>
          <w:szCs w:val="20"/>
        </w:rPr>
        <w:t xml:space="preserve"> the annual commercial catch is worth more than $20 million.</w:t>
      </w:r>
      <w:r w:rsidR="0036056A" w:rsidRPr="00283CEC">
        <w:rPr>
          <w:szCs w:val="20"/>
        </w:rPr>
        <w:t xml:space="preserve"> </w:t>
      </w:r>
      <w:r w:rsidRPr="00283CEC">
        <w:rPr>
          <w:szCs w:val="20"/>
        </w:rPr>
        <w:t xml:space="preserve">Key species include King George whiting, bream and gummy shark. The most economically important fishery is abalone based at Mallacoota. </w:t>
      </w:r>
    </w:p>
    <w:p w:rsidR="00344018" w:rsidRPr="00283CEC" w:rsidRDefault="009B2677" w:rsidP="002E6458">
      <w:pPr>
        <w:pStyle w:val="bt"/>
        <w:rPr>
          <w:szCs w:val="20"/>
        </w:rPr>
      </w:pPr>
      <w:r w:rsidRPr="00283CEC">
        <w:rPr>
          <w:szCs w:val="20"/>
        </w:rPr>
        <w:t>There are potential growth opportunities in commercial and recreational fisheries in Gippsland as a result of climate change. Fish habitat</w:t>
      </w:r>
      <w:r w:rsidR="00203234" w:rsidRPr="00283CEC">
        <w:rPr>
          <w:szCs w:val="20"/>
        </w:rPr>
        <w:t>,</w:t>
      </w:r>
      <w:r w:rsidRPr="00283CEC">
        <w:rPr>
          <w:szCs w:val="20"/>
        </w:rPr>
        <w:t xml:space="preserve"> ranges and </w:t>
      </w:r>
      <w:r w:rsidR="00203234" w:rsidRPr="00283CEC">
        <w:rPr>
          <w:szCs w:val="20"/>
        </w:rPr>
        <w:t xml:space="preserve">distributions </w:t>
      </w:r>
      <w:r w:rsidRPr="00283CEC">
        <w:rPr>
          <w:szCs w:val="20"/>
        </w:rPr>
        <w:t xml:space="preserve">may </w:t>
      </w:r>
      <w:r w:rsidR="00203234" w:rsidRPr="00283CEC">
        <w:rPr>
          <w:szCs w:val="20"/>
        </w:rPr>
        <w:t xml:space="preserve">change </w:t>
      </w:r>
      <w:r w:rsidRPr="00283CEC">
        <w:rPr>
          <w:szCs w:val="20"/>
        </w:rPr>
        <w:t>in some fish species</w:t>
      </w:r>
      <w:r w:rsidR="00203234" w:rsidRPr="00283CEC">
        <w:rPr>
          <w:szCs w:val="20"/>
        </w:rPr>
        <w:t xml:space="preserve"> which may create both commercial and recreational fishing opportunities in the future for a number of species such as </w:t>
      </w:r>
      <w:r w:rsidRPr="00283CEC">
        <w:rPr>
          <w:szCs w:val="20"/>
        </w:rPr>
        <w:t>yellow fin tuna and marlin.</w:t>
      </w:r>
    </w:p>
    <w:p w:rsidR="00C22278" w:rsidRPr="00283CEC" w:rsidRDefault="00C22278" w:rsidP="002E6458">
      <w:pPr>
        <w:pStyle w:val="bt"/>
        <w:rPr>
          <w:szCs w:val="20"/>
        </w:rPr>
      </w:pPr>
      <w:r w:rsidRPr="00283CEC">
        <w:rPr>
          <w:szCs w:val="20"/>
        </w:rPr>
        <w:t xml:space="preserve">Future planning should protect commercial fishing ports and their transport linkages to ensure their continued operation and </w:t>
      </w:r>
      <w:r w:rsidR="002438CC" w:rsidRPr="00283CEC">
        <w:rPr>
          <w:szCs w:val="20"/>
        </w:rPr>
        <w:t xml:space="preserve">to </w:t>
      </w:r>
      <w:r w:rsidRPr="00283CEC">
        <w:rPr>
          <w:szCs w:val="20"/>
        </w:rPr>
        <w:t>retain options for possible expansion. Efficient and reliable transport networks will provide greater opportunities to move fish and seafood products to markets in Melbourne and interstate.</w:t>
      </w:r>
    </w:p>
    <w:p w:rsidR="00E01E11" w:rsidRPr="00283CEC" w:rsidRDefault="00535C0D" w:rsidP="00CC3A69">
      <w:pPr>
        <w:pStyle w:val="Heading4"/>
      </w:pPr>
      <w:r w:rsidRPr="00283CEC">
        <w:t>Biomass and biofuel opport</w:t>
      </w:r>
      <w:r w:rsidR="003C7363" w:rsidRPr="00283CEC">
        <w:t>unities</w:t>
      </w:r>
    </w:p>
    <w:p w:rsidR="000D1724" w:rsidRDefault="00AD03F5" w:rsidP="002E6458">
      <w:pPr>
        <w:pStyle w:val="bt"/>
      </w:pPr>
      <w:r w:rsidRPr="00283CEC">
        <w:t xml:space="preserve">Agriculture and timber production are potential sources of raw material </w:t>
      </w:r>
      <w:r w:rsidR="00F30B94" w:rsidRPr="00283CEC">
        <w:t xml:space="preserve">for new </w:t>
      </w:r>
      <w:r w:rsidR="0046255E" w:rsidRPr="00283CEC">
        <w:t xml:space="preserve">investment in </w:t>
      </w:r>
      <w:r w:rsidRPr="00283CEC">
        <w:t>biomass and biofuel industries.</w:t>
      </w:r>
      <w:r w:rsidR="0046255E" w:rsidRPr="00283CEC">
        <w:t xml:space="preserve"> </w:t>
      </w:r>
      <w:r w:rsidR="00243AC1" w:rsidRPr="00283CEC">
        <w:t xml:space="preserve">Gippsland’s advantages in agriculture and timber production </w:t>
      </w:r>
      <w:r w:rsidR="00B34D1B" w:rsidRPr="00283CEC">
        <w:t xml:space="preserve">provide </w:t>
      </w:r>
      <w:r w:rsidR="00243AC1" w:rsidRPr="00283CEC">
        <w:t>an opportunity</w:t>
      </w:r>
      <w:r w:rsidR="00B34D1B" w:rsidRPr="00283CEC">
        <w:t xml:space="preserve"> for the region to be</w:t>
      </w:r>
      <w:r w:rsidR="0066797A" w:rsidRPr="00283CEC">
        <w:t>come</w:t>
      </w:r>
      <w:r w:rsidR="00B34D1B" w:rsidRPr="00283CEC">
        <w:t xml:space="preserve"> a leader in the development of </w:t>
      </w:r>
      <w:r w:rsidR="0046255E" w:rsidRPr="00283CEC">
        <w:t>biofuel</w:t>
      </w:r>
      <w:r w:rsidR="009925F5" w:rsidRPr="00283CEC">
        <w:t>s and bioenergy</w:t>
      </w:r>
      <w:r w:rsidR="0046255E" w:rsidRPr="00283CEC">
        <w:t xml:space="preserve"> </w:t>
      </w:r>
      <w:r w:rsidR="009925F5" w:rsidRPr="00283CEC">
        <w:t xml:space="preserve">to support economic diversification. </w:t>
      </w:r>
    </w:p>
    <w:p w:rsidR="00243AC1" w:rsidRPr="00283CEC" w:rsidRDefault="00AA514A" w:rsidP="002E6458">
      <w:pPr>
        <w:pStyle w:val="bt"/>
      </w:pPr>
      <w:r w:rsidRPr="00283CEC">
        <w:t xml:space="preserve">Gippsland Water operates a soil and organic recycling facility at </w:t>
      </w:r>
      <w:proofErr w:type="spellStart"/>
      <w:r w:rsidRPr="00283CEC">
        <w:t>Dutson</w:t>
      </w:r>
      <w:proofErr w:type="spellEnd"/>
      <w:r w:rsidRPr="00283CEC">
        <w:t xml:space="preserve"> Downs, which accepts and treats waste resulting in reduced material going to landfill. These processes and technology may support future efforts to better harness waste material for use in fuel or other energy production.</w:t>
      </w:r>
      <w:r w:rsidR="00CE20A1" w:rsidRPr="00283CEC">
        <w:t xml:space="preserve"> </w:t>
      </w:r>
      <w:r w:rsidR="00243AC1" w:rsidRPr="00283CEC">
        <w:t xml:space="preserve">The region should support </w:t>
      </w:r>
      <w:r w:rsidR="009925F5" w:rsidRPr="00283CEC">
        <w:t>business linkages between biofuel and bioenergy research and production facilities</w:t>
      </w:r>
      <w:r w:rsidR="0079278C" w:rsidRPr="00283CEC">
        <w:t>,</w:t>
      </w:r>
      <w:r w:rsidR="009925F5" w:rsidRPr="00283CEC">
        <w:t xml:space="preserve"> </w:t>
      </w:r>
      <w:r w:rsidR="00243AC1" w:rsidRPr="00283CEC">
        <w:t>and</w:t>
      </w:r>
      <w:r w:rsidR="0079278C" w:rsidRPr="00283CEC">
        <w:t xml:space="preserve"> the agriculture and forestry sector as suppliers of raw materials.</w:t>
      </w:r>
      <w:r w:rsidR="00243AC1" w:rsidRPr="00283CEC">
        <w:t xml:space="preserve"> </w:t>
      </w:r>
      <w:r w:rsidR="00B34D1B" w:rsidRPr="00283CEC">
        <w:t xml:space="preserve">For </w:t>
      </w:r>
      <w:r w:rsidR="0066797A" w:rsidRPr="00283CEC">
        <w:t xml:space="preserve">more </w:t>
      </w:r>
      <w:r w:rsidR="00B34D1B" w:rsidRPr="00283CEC">
        <w:t xml:space="preserve">information on biofuels refer to </w:t>
      </w:r>
      <w:r w:rsidR="00804CAA" w:rsidRPr="00283CEC">
        <w:rPr>
          <w:rStyle w:val="Emphasis"/>
          <w:i w:val="0"/>
        </w:rPr>
        <w:t>Fuelled for Growth</w:t>
      </w:r>
      <w:r w:rsidR="00B34D1B" w:rsidRPr="00283CEC">
        <w:t xml:space="preserve"> (Regional </w:t>
      </w:r>
      <w:r w:rsidR="00525A47" w:rsidRPr="00283CEC">
        <w:t>D</w:t>
      </w:r>
      <w:r w:rsidR="00B34D1B" w:rsidRPr="00283CEC">
        <w:t>evelopment Victoria).</w:t>
      </w:r>
    </w:p>
    <w:p w:rsidR="002E6458" w:rsidRPr="00283CEC" w:rsidRDefault="002E6458" w:rsidP="002E6458">
      <w:pPr>
        <w:pStyle w:val="bt"/>
        <w:rPr>
          <w:rStyle w:val="Strong"/>
        </w:rPr>
      </w:pPr>
      <w:r w:rsidRPr="00283CEC">
        <w:rPr>
          <w:rStyle w:val="Strong"/>
        </w:rPr>
        <w:t>Strategies for future land use</w:t>
      </w:r>
    </w:p>
    <w:p w:rsidR="002E6458" w:rsidRPr="00283CEC" w:rsidRDefault="002E6458" w:rsidP="00767431">
      <w:pPr>
        <w:pStyle w:val="btbullet"/>
      </w:pPr>
      <w:r w:rsidRPr="00283CEC">
        <w:t>Support the implementation of state policy by protecting the identified areas of strategic significance (agriculture and forestry) and irrigation assets to help grow Gippsland and the state as an important food bowl for Australia and Asia</w:t>
      </w:r>
    </w:p>
    <w:p w:rsidR="002E6458" w:rsidRPr="00283CEC" w:rsidRDefault="002E6458" w:rsidP="00767431">
      <w:pPr>
        <w:pStyle w:val="btbullet"/>
      </w:pPr>
      <w:r w:rsidRPr="00283CEC">
        <w:t xml:space="preserve">Ensure rural housing and subdivision is for an agricultural or forestry purpose, and critically assess other proposals for </w:t>
      </w:r>
      <w:r w:rsidR="00326247" w:rsidRPr="00283CEC">
        <w:t>non-</w:t>
      </w:r>
      <w:r w:rsidRPr="00283CEC">
        <w:t>agricultural uses within the areas of strategic significance (agriculture and forestry) for their comparative economic, social and environmental benefits</w:t>
      </w:r>
    </w:p>
    <w:p w:rsidR="002E6458" w:rsidRPr="00283CEC" w:rsidRDefault="00AA514A" w:rsidP="00767431">
      <w:pPr>
        <w:pStyle w:val="btbullet"/>
      </w:pPr>
      <w:r w:rsidRPr="00283CEC">
        <w:t>When considering development applications, recognise the importance that preservation and management of productive agricultural and forestry land make to the rural character of Gippsland</w:t>
      </w:r>
    </w:p>
    <w:p w:rsidR="002E6458" w:rsidRPr="00283CEC" w:rsidRDefault="002E6458" w:rsidP="00767431">
      <w:pPr>
        <w:pStyle w:val="btbullet"/>
      </w:pPr>
      <w:r w:rsidRPr="00283CEC">
        <w:t>Strengthen and improve decision</w:t>
      </w:r>
      <w:r w:rsidR="00326247" w:rsidRPr="00283CEC">
        <w:t xml:space="preserve"> </w:t>
      </w:r>
      <w:r w:rsidRPr="00283CEC">
        <w:t>making in identified areas of strategic significance (agriculture and forestry) by supporting councils to secure expert agribusiness assistance to research and assess planning applications for development, such as subdivision, and to build a common knowledge base and approach for subsequent assessments across Gippsland</w:t>
      </w:r>
    </w:p>
    <w:p w:rsidR="002E6458" w:rsidRPr="00283CEC" w:rsidRDefault="002E6458" w:rsidP="00767431">
      <w:pPr>
        <w:pStyle w:val="btbullet"/>
      </w:pPr>
      <w:r w:rsidRPr="00283CEC">
        <w:t>Encourage the development of suitable production and processing plants that add value to local agricultural, forestry and fisher</w:t>
      </w:r>
      <w:r w:rsidR="00EE0D28" w:rsidRPr="00283CEC">
        <w:t>y</w:t>
      </w:r>
      <w:r w:rsidRPr="00283CEC">
        <w:t xml:space="preserve"> products</w:t>
      </w:r>
    </w:p>
    <w:p w:rsidR="002E6458" w:rsidRPr="00283CEC" w:rsidRDefault="002E6458" w:rsidP="00767431">
      <w:pPr>
        <w:pStyle w:val="btbullet"/>
      </w:pPr>
      <w:r w:rsidRPr="00283CEC">
        <w:t>Support greater utilisation of agricultural and forestry residues, including for use in biofuel and bioenergy production</w:t>
      </w:r>
    </w:p>
    <w:p w:rsidR="002E6458" w:rsidRPr="00283CEC" w:rsidRDefault="002E6458" w:rsidP="00767431">
      <w:pPr>
        <w:pStyle w:val="btbullet"/>
      </w:pPr>
      <w:r w:rsidRPr="00283CEC">
        <w:t>Strengthen Gippsland’s fishing industry by maintaining ports and enabling development of fishing operations at Lakes Entrance, Mallacoota, Port Welshpool, San Remo, Port Franklin and Port Albert</w:t>
      </w:r>
    </w:p>
    <w:p w:rsidR="00582610" w:rsidRPr="00283CEC" w:rsidRDefault="00582610" w:rsidP="002E6458">
      <w:pPr>
        <w:pStyle w:val="Heading2"/>
        <w:rPr>
          <w:color w:val="auto"/>
        </w:rPr>
      </w:pPr>
      <w:bookmarkStart w:id="67" w:name="_Toc376791245"/>
      <w:r w:rsidRPr="00283CEC">
        <w:rPr>
          <w:color w:val="auto"/>
        </w:rPr>
        <w:t xml:space="preserve">Natural </w:t>
      </w:r>
      <w:r w:rsidR="00CF7653" w:rsidRPr="00283CEC">
        <w:rPr>
          <w:color w:val="auto"/>
        </w:rPr>
        <w:t>r</w:t>
      </w:r>
      <w:r w:rsidRPr="00283CEC">
        <w:rPr>
          <w:color w:val="auto"/>
        </w:rPr>
        <w:t>esources</w:t>
      </w:r>
      <w:bookmarkEnd w:id="67"/>
    </w:p>
    <w:p w:rsidR="00E01E11" w:rsidRPr="00283CEC" w:rsidRDefault="00535C0D" w:rsidP="00CC3A69">
      <w:pPr>
        <w:pStyle w:val="Heading4"/>
      </w:pPr>
      <w:r w:rsidRPr="00283CEC">
        <w:t>Coal</w:t>
      </w:r>
    </w:p>
    <w:p w:rsidR="000D1724" w:rsidRDefault="00B34D1B" w:rsidP="002E6458">
      <w:pPr>
        <w:pStyle w:val="bt"/>
      </w:pPr>
      <w:r w:rsidRPr="00283CEC">
        <w:t xml:space="preserve">Gippsland </w:t>
      </w:r>
      <w:r w:rsidR="00AE1A2B" w:rsidRPr="00283CEC">
        <w:t xml:space="preserve">has one of the world’s largest deposits of brown coal, estimated at 33 billion tonnes of potential economic resource including 13 billion tonnes </w:t>
      </w:r>
      <w:r w:rsidR="00326247" w:rsidRPr="00283CEC">
        <w:t xml:space="preserve">that </w:t>
      </w:r>
      <w:r w:rsidR="00AE1A2B" w:rsidRPr="00283CEC">
        <w:t>is</w:t>
      </w:r>
      <w:r w:rsidRPr="00283CEC">
        <w:t xml:space="preserve"> yet to be allocated to industry. </w:t>
      </w:r>
      <w:r w:rsidR="003E58B3" w:rsidRPr="00283CEC">
        <w:t>The coal r</w:t>
      </w:r>
      <w:r w:rsidR="00CC466C" w:rsidRPr="00283CEC">
        <w:t>esource is predominantly used for</w:t>
      </w:r>
      <w:r w:rsidR="003E58B3" w:rsidRPr="00283CEC">
        <w:t xml:space="preserve"> electricity generation at power plants</w:t>
      </w:r>
      <w:r w:rsidR="00CC466C" w:rsidRPr="00283CEC">
        <w:t xml:space="preserve"> located close to the coal source</w:t>
      </w:r>
      <w:r w:rsidRPr="00283CEC">
        <w:t xml:space="preserve"> in the Latrobe Valley</w:t>
      </w:r>
      <w:r w:rsidR="003E58B3" w:rsidRPr="00283CEC">
        <w:t xml:space="preserve"> – Hazelwood, Yallourn, Loy Yang A and Loy Yang B. </w:t>
      </w:r>
      <w:r w:rsidR="00271E3B" w:rsidRPr="00283CEC">
        <w:t xml:space="preserve">The brown coal energy </w:t>
      </w:r>
      <w:r w:rsidR="00CC466C" w:rsidRPr="00283CEC">
        <w:t>resource provides 90</w:t>
      </w:r>
      <w:r w:rsidR="00423A1C" w:rsidRPr="00283CEC">
        <w:t xml:space="preserve"> per cent</w:t>
      </w:r>
      <w:r w:rsidR="00CC466C" w:rsidRPr="00283CEC">
        <w:t xml:space="preserve"> of Victoria’s electricity via a transmission network to Melbourne and extending across the state.</w:t>
      </w:r>
      <w:r w:rsidRPr="00283CEC">
        <w:t xml:space="preserve"> </w:t>
      </w:r>
    </w:p>
    <w:p w:rsidR="007F4723" w:rsidRPr="00283CEC" w:rsidRDefault="00B34D1B" w:rsidP="002E6458">
      <w:pPr>
        <w:pStyle w:val="bt"/>
      </w:pPr>
      <w:r w:rsidRPr="00283CEC">
        <w:t xml:space="preserve">Gippsland’s </w:t>
      </w:r>
      <w:r w:rsidR="00085E20" w:rsidRPr="00283CEC">
        <w:t xml:space="preserve">electricity generation </w:t>
      </w:r>
      <w:r w:rsidR="008E7CC9" w:rsidRPr="00283CEC">
        <w:t xml:space="preserve">also has national strategic significance through </w:t>
      </w:r>
      <w:r w:rsidR="00525A47" w:rsidRPr="00283CEC">
        <w:t>its</w:t>
      </w:r>
      <w:r w:rsidR="00085E20" w:rsidRPr="00283CEC">
        <w:t xml:space="preserve"> connect</w:t>
      </w:r>
      <w:r w:rsidR="008E7CC9" w:rsidRPr="00283CEC">
        <w:t xml:space="preserve">ion </w:t>
      </w:r>
      <w:r w:rsidR="00085E20" w:rsidRPr="00283CEC">
        <w:t xml:space="preserve">to </w:t>
      </w:r>
      <w:r w:rsidR="008E7CC9" w:rsidRPr="00283CEC">
        <w:t xml:space="preserve">the national grid. </w:t>
      </w:r>
      <w:r w:rsidR="00271E3B" w:rsidRPr="00283CEC">
        <w:t xml:space="preserve">The introduction of </w:t>
      </w:r>
      <w:r w:rsidR="007852B9" w:rsidRPr="00283CEC">
        <w:t xml:space="preserve">initiatives to reduce greenhouse gas </w:t>
      </w:r>
      <w:r w:rsidR="00E010D2" w:rsidRPr="00283CEC">
        <w:t>emissions has</w:t>
      </w:r>
      <w:r w:rsidR="00271E3B" w:rsidRPr="00283CEC">
        <w:t xml:space="preserve"> im</w:t>
      </w:r>
      <w:r w:rsidR="006F19A3" w:rsidRPr="00283CEC">
        <w:t>plications for energy generated</w:t>
      </w:r>
      <w:r w:rsidR="00271E3B" w:rsidRPr="00283CEC">
        <w:t xml:space="preserve"> from brown coal due to its high carbon emissions</w:t>
      </w:r>
      <w:r w:rsidR="008E7CC9" w:rsidRPr="00283CEC">
        <w:t>. Over time the cost of energy produced from high carbon-emitting fuels such as coal will increase, reducing its competitiveness compared to low emissions</w:t>
      </w:r>
      <w:r w:rsidR="00A02317" w:rsidRPr="00283CEC">
        <w:t xml:space="preserve"> energy </w:t>
      </w:r>
      <w:r w:rsidR="00872FFA" w:rsidRPr="00283CEC">
        <w:t>and renewable energy</w:t>
      </w:r>
      <w:r w:rsidR="00A02317" w:rsidRPr="00283CEC">
        <w:t xml:space="preserve"> </w:t>
      </w:r>
      <w:r w:rsidR="00872FFA" w:rsidRPr="00283CEC">
        <w:t xml:space="preserve">such as </w:t>
      </w:r>
      <w:r w:rsidR="00A02317" w:rsidRPr="00283CEC">
        <w:t>hydro pow</w:t>
      </w:r>
      <w:r w:rsidR="002E6458" w:rsidRPr="00283CEC">
        <w:t>er, geothermal, wind and solar.</w:t>
      </w:r>
    </w:p>
    <w:p w:rsidR="00C41C30" w:rsidRPr="00283CEC" w:rsidRDefault="006D7229" w:rsidP="002E6458">
      <w:pPr>
        <w:pStyle w:val="bt"/>
      </w:pPr>
      <w:r w:rsidRPr="00283CEC">
        <w:t>H</w:t>
      </w:r>
      <w:r w:rsidR="00271E3B" w:rsidRPr="00283CEC">
        <w:t>owever</w:t>
      </w:r>
      <w:r w:rsidR="0066797A" w:rsidRPr="00283CEC">
        <w:t>,</w:t>
      </w:r>
      <w:r w:rsidR="00271E3B" w:rsidRPr="00283CEC">
        <w:t xml:space="preserve"> there are opportunities for this resource to play an important ongoing role in the region’s future through research into reduced emissions technology and alternative uses of brown coal.</w:t>
      </w:r>
      <w:r w:rsidR="00703E94" w:rsidRPr="00283CEC">
        <w:t xml:space="preserve"> </w:t>
      </w:r>
      <w:r w:rsidR="00DE10BA" w:rsidRPr="00283CEC">
        <w:t>Through Clean Coal Victoria t</w:t>
      </w:r>
      <w:r w:rsidR="00F44D24" w:rsidRPr="00283CEC">
        <w:t>here is an ongoing coordinated approach across all le</w:t>
      </w:r>
      <w:r w:rsidR="00C41C30" w:rsidRPr="00283CEC">
        <w:t>vels of government to realise new opportunities for the region’s coal resource</w:t>
      </w:r>
      <w:r w:rsidR="00DE10BA" w:rsidRPr="00283CEC">
        <w:t xml:space="preserve">. </w:t>
      </w:r>
      <w:r w:rsidR="00C41C30" w:rsidRPr="00283CEC">
        <w:t>As this work continues</w:t>
      </w:r>
      <w:r w:rsidR="00FD06ED" w:rsidRPr="00283CEC">
        <w:t>,</w:t>
      </w:r>
      <w:r w:rsidR="00C41C30" w:rsidRPr="00283CEC">
        <w:t xml:space="preserve"> </w:t>
      </w:r>
      <w:r w:rsidR="00223381" w:rsidRPr="00283CEC">
        <w:t xml:space="preserve">Victoria will rely on </w:t>
      </w:r>
      <w:r w:rsidR="00C41C30" w:rsidRPr="00283CEC">
        <w:t xml:space="preserve">Gippsland’s </w:t>
      </w:r>
      <w:r w:rsidR="00223381" w:rsidRPr="00283CEC">
        <w:t xml:space="preserve">brown coal resource for energy generation in </w:t>
      </w:r>
      <w:r w:rsidR="0066797A" w:rsidRPr="00283CEC">
        <w:t xml:space="preserve">the </w:t>
      </w:r>
      <w:r w:rsidR="00223381" w:rsidRPr="00283CEC">
        <w:t>short</w:t>
      </w:r>
      <w:r w:rsidR="000D1724">
        <w:t>-</w:t>
      </w:r>
      <w:r w:rsidR="00223381" w:rsidRPr="00283CEC">
        <w:t xml:space="preserve"> and medium</w:t>
      </w:r>
      <w:r w:rsidR="000D1724">
        <w:t>-</w:t>
      </w:r>
      <w:r w:rsidR="00223381" w:rsidRPr="00283CEC">
        <w:t xml:space="preserve">term. </w:t>
      </w:r>
      <w:r w:rsidR="00C41C30" w:rsidRPr="00283CEC">
        <w:t>I</w:t>
      </w:r>
      <w:r w:rsidR="00703E94" w:rsidRPr="00283CEC">
        <w:t xml:space="preserve">t is critically important to </w:t>
      </w:r>
      <w:r w:rsidR="00C41C30" w:rsidRPr="00283CEC">
        <w:t xml:space="preserve">retain </w:t>
      </w:r>
      <w:r w:rsidR="00703E94" w:rsidRPr="00283CEC">
        <w:t>access to the region’s coal reserves so that</w:t>
      </w:r>
      <w:r w:rsidR="00C41C30" w:rsidRPr="00283CEC">
        <w:t xml:space="preserve"> opportunities that emerge in the </w:t>
      </w:r>
      <w:r w:rsidR="00703E94" w:rsidRPr="00283CEC">
        <w:t>futur</w:t>
      </w:r>
      <w:r w:rsidR="00223381" w:rsidRPr="00283CEC">
        <w:t>e</w:t>
      </w:r>
      <w:r w:rsidR="00C41C30" w:rsidRPr="00283CEC">
        <w:t xml:space="preserve"> can be fully</w:t>
      </w:r>
      <w:r w:rsidR="00C62554" w:rsidRPr="00283CEC">
        <w:t xml:space="preserve"> realised.</w:t>
      </w:r>
    </w:p>
    <w:p w:rsidR="000D1724" w:rsidRDefault="00703E94" w:rsidP="002E6458">
      <w:pPr>
        <w:pStyle w:val="bt"/>
      </w:pPr>
      <w:r w:rsidRPr="00283CEC">
        <w:t xml:space="preserve">The need for transition and diversification from brown coal power generation </w:t>
      </w:r>
      <w:r w:rsidR="00DF4C61" w:rsidRPr="00283CEC">
        <w:t xml:space="preserve">has </w:t>
      </w:r>
      <w:r w:rsidRPr="00283CEC">
        <w:t xml:space="preserve">been </w:t>
      </w:r>
      <w:r w:rsidR="00DF4C61" w:rsidRPr="00283CEC">
        <w:t xml:space="preserve">acknowledged </w:t>
      </w:r>
      <w:r w:rsidRPr="00283CEC">
        <w:t xml:space="preserve">through the </w:t>
      </w:r>
      <w:r w:rsidR="00B84D71" w:rsidRPr="00283CEC">
        <w:rPr>
          <w:rStyle w:val="Emphasis"/>
          <w:i w:val="0"/>
        </w:rPr>
        <w:t xml:space="preserve">Gippsland Regional Plan </w:t>
      </w:r>
      <w:r w:rsidRPr="00283CEC">
        <w:t xml:space="preserve">and the </w:t>
      </w:r>
      <w:r w:rsidR="00B84D71" w:rsidRPr="00283CEC">
        <w:rPr>
          <w:rStyle w:val="Emphasis"/>
          <w:i w:val="0"/>
        </w:rPr>
        <w:t>Latrobe Valley Industry and Employment Roadmap</w:t>
      </w:r>
      <w:r w:rsidRPr="00283CEC">
        <w:t xml:space="preserve">. </w:t>
      </w:r>
      <w:r w:rsidR="00AA514A" w:rsidRPr="00283CEC">
        <w:t>Future opportunities include the development of coal-to-products industries such as processing brown coal as a potential source of gas, diesel and fertiliser for both domestic and export markets.</w:t>
      </w:r>
      <w:r w:rsidR="006F19A3" w:rsidRPr="00283CEC">
        <w:t xml:space="preserve"> </w:t>
      </w:r>
      <w:r w:rsidR="00DF4C61" w:rsidRPr="00283CEC">
        <w:t>Ongoing research and development in</w:t>
      </w:r>
      <w:r w:rsidR="0066797A" w:rsidRPr="00283CEC">
        <w:t>to</w:t>
      </w:r>
      <w:r w:rsidR="00DF4C61" w:rsidRPr="00283CEC">
        <w:t xml:space="preserve"> carbon capture and storage technology may present a long-term opportunity for the region to realise the potential of its brown coal resource within a low</w:t>
      </w:r>
      <w:r w:rsidR="00EE0D28" w:rsidRPr="00283CEC">
        <w:t>-</w:t>
      </w:r>
      <w:r w:rsidR="00DF4C61" w:rsidRPr="00283CEC">
        <w:t xml:space="preserve">carbon future. </w:t>
      </w:r>
    </w:p>
    <w:p w:rsidR="008667D1" w:rsidRPr="00283CEC" w:rsidRDefault="00DE10BA" w:rsidP="002E6458">
      <w:pPr>
        <w:pStyle w:val="bt"/>
      </w:pPr>
      <w:r w:rsidRPr="00283CEC">
        <w:t>B</w:t>
      </w:r>
      <w:r w:rsidR="00CC4DC6" w:rsidRPr="00283CEC">
        <w:t xml:space="preserve">oth the Australian and </w:t>
      </w:r>
      <w:r w:rsidR="0066797A" w:rsidRPr="00283CEC">
        <w:t xml:space="preserve">Victorian </w:t>
      </w:r>
      <w:r w:rsidR="00CC4DC6" w:rsidRPr="00283CEC">
        <w:t xml:space="preserve">governments are supporting the </w:t>
      </w:r>
      <w:proofErr w:type="spellStart"/>
      <w:r w:rsidR="00CC4DC6" w:rsidRPr="00283CEC">
        <w:t>CarbonNet</w:t>
      </w:r>
      <w:proofErr w:type="spellEnd"/>
      <w:r w:rsidR="00CC4DC6" w:rsidRPr="00283CEC">
        <w:t xml:space="preserve"> project to investigate the potential</w:t>
      </w:r>
      <w:r w:rsidRPr="00283CEC">
        <w:t xml:space="preserve"> for c</w:t>
      </w:r>
      <w:r w:rsidR="00CC4DC6" w:rsidRPr="00283CEC">
        <w:t xml:space="preserve">arbon </w:t>
      </w:r>
      <w:r w:rsidRPr="00283CEC">
        <w:t>c</w:t>
      </w:r>
      <w:r w:rsidR="00CC4DC6" w:rsidRPr="00283CEC">
        <w:t xml:space="preserve">apture and </w:t>
      </w:r>
      <w:r w:rsidRPr="00283CEC">
        <w:t>s</w:t>
      </w:r>
      <w:r w:rsidR="00CC4DC6" w:rsidRPr="00283CEC">
        <w:t xml:space="preserve">torage in the </w:t>
      </w:r>
      <w:r w:rsidR="00FB4652" w:rsidRPr="00283CEC">
        <w:t>Gippsland Basin</w:t>
      </w:r>
      <w:r w:rsidR="00FD06ED" w:rsidRPr="00283CEC">
        <w:t>,</w:t>
      </w:r>
      <w:r w:rsidR="00FB4652" w:rsidRPr="00283CEC">
        <w:t xml:space="preserve"> </w:t>
      </w:r>
      <w:r w:rsidR="00CC4DC6" w:rsidRPr="00283CEC">
        <w:t>which is recognised as having the greatest potential for a project of this kind in Australia.</w:t>
      </w:r>
      <w:r w:rsidR="00FB4652" w:rsidRPr="00283CEC">
        <w:t xml:space="preserve"> This process could present the region with a new high</w:t>
      </w:r>
      <w:r w:rsidR="00FD06ED" w:rsidRPr="00283CEC">
        <w:t xml:space="preserve"> </w:t>
      </w:r>
      <w:r w:rsidR="00FB4652" w:rsidRPr="00283CEC">
        <w:t xml:space="preserve">skills industry </w:t>
      </w:r>
      <w:r w:rsidR="00ED6440" w:rsidRPr="00283CEC">
        <w:t xml:space="preserve">and </w:t>
      </w:r>
      <w:r w:rsidR="00FB4652" w:rsidRPr="00283CEC">
        <w:t>position Gippsland as a hu</w:t>
      </w:r>
      <w:r w:rsidR="00E121C9" w:rsidRPr="00283CEC">
        <w:t>b for low-emissions technology in the longer term.</w:t>
      </w:r>
      <w:r w:rsidR="00ED6440" w:rsidRPr="00283CEC">
        <w:t xml:space="preserve"> </w:t>
      </w:r>
    </w:p>
    <w:p w:rsidR="00E01E11" w:rsidRPr="00283CEC" w:rsidRDefault="00535C0D" w:rsidP="00CC3A69">
      <w:pPr>
        <w:pStyle w:val="Heading4"/>
      </w:pPr>
      <w:r w:rsidRPr="00283CEC">
        <w:t>Oil and gas</w:t>
      </w:r>
    </w:p>
    <w:p w:rsidR="00390058" w:rsidRPr="00283CEC" w:rsidRDefault="00390058" w:rsidP="002E6458">
      <w:pPr>
        <w:pStyle w:val="bt"/>
      </w:pPr>
      <w:r w:rsidRPr="00283CEC">
        <w:t>Gippsland produces 97</w:t>
      </w:r>
      <w:r w:rsidR="007A2C22" w:rsidRPr="00283CEC">
        <w:t xml:space="preserve"> per cent </w:t>
      </w:r>
      <w:r w:rsidRPr="00283CEC">
        <w:t xml:space="preserve">of Victoria’s natural gas and about </w:t>
      </w:r>
      <w:r w:rsidR="006D3398" w:rsidRPr="00283CEC">
        <w:t>14</w:t>
      </w:r>
      <w:r w:rsidR="007A2C22" w:rsidRPr="00283CEC">
        <w:t xml:space="preserve"> per cent</w:t>
      </w:r>
      <w:r w:rsidRPr="00283CEC">
        <w:t xml:space="preserve"> of Australia’s crude oil via the Gippsland Basin in Bass Strait. Oil and gas </w:t>
      </w:r>
      <w:r w:rsidR="00AE3F6E" w:rsidRPr="00283CEC">
        <w:t xml:space="preserve">are two </w:t>
      </w:r>
      <w:r w:rsidRPr="00283CEC">
        <w:t>of the region’s most important natural resources and important driver</w:t>
      </w:r>
      <w:r w:rsidR="00AE3F6E" w:rsidRPr="00283CEC">
        <w:t>s</w:t>
      </w:r>
      <w:r w:rsidRPr="00283CEC">
        <w:t xml:space="preserve"> of economic growth for both Gippsland and </w:t>
      </w:r>
      <w:r w:rsidR="00AE3F6E" w:rsidRPr="00283CEC">
        <w:t>Victoria</w:t>
      </w:r>
      <w:r w:rsidRPr="00283CEC">
        <w:t xml:space="preserve">. The demand for </w:t>
      </w:r>
      <w:r w:rsidR="00474E95" w:rsidRPr="00283CEC">
        <w:t xml:space="preserve">these </w:t>
      </w:r>
      <w:r w:rsidRPr="00283CEC">
        <w:t>resources is growing</w:t>
      </w:r>
      <w:r w:rsidR="00AE3F6E" w:rsidRPr="00283CEC">
        <w:t>,</w:t>
      </w:r>
      <w:r w:rsidRPr="00283CEC">
        <w:t xml:space="preserve"> with </w:t>
      </w:r>
      <w:r w:rsidR="00AE3F6E" w:rsidRPr="00283CEC">
        <w:t xml:space="preserve">Victoria’s </w:t>
      </w:r>
      <w:r w:rsidRPr="00283CEC">
        <w:t>demand for gas expected to double by 2030. However, production of both oil and gas has now peaked and it is estimated that only about 15</w:t>
      </w:r>
      <w:r w:rsidR="007A2C22" w:rsidRPr="00283CEC">
        <w:t xml:space="preserve"> per cent</w:t>
      </w:r>
      <w:r w:rsidRPr="00283CEC">
        <w:t xml:space="preserve"> of </w:t>
      </w:r>
      <w:r w:rsidR="00060F2A" w:rsidRPr="00283CEC">
        <w:t xml:space="preserve">known </w:t>
      </w:r>
      <w:r w:rsidRPr="00283CEC">
        <w:t>crude oil reserves and about 40</w:t>
      </w:r>
      <w:r w:rsidR="007A2C22" w:rsidRPr="00283CEC">
        <w:t xml:space="preserve"> per cent</w:t>
      </w:r>
      <w:r w:rsidRPr="00283CEC">
        <w:t xml:space="preserve"> of </w:t>
      </w:r>
      <w:r w:rsidR="00060F2A" w:rsidRPr="00283CEC">
        <w:t xml:space="preserve">known </w:t>
      </w:r>
      <w:r w:rsidRPr="00283CEC">
        <w:t>gas reserves still remain for production. The main challenge for the industry is to extend production from existing and new fields.</w:t>
      </w:r>
      <w:r w:rsidR="006E5B7F" w:rsidRPr="00283CEC">
        <w:t xml:space="preserve"> New oil fields may prove to be commercial and may extend the life of the oil industry although these are likely to be further offshore than existing reserves.</w:t>
      </w:r>
    </w:p>
    <w:p w:rsidR="002E6458" w:rsidRPr="00283CEC" w:rsidRDefault="006E5B7F" w:rsidP="002E6458">
      <w:pPr>
        <w:pStyle w:val="bt"/>
      </w:pPr>
      <w:r w:rsidRPr="00283CEC">
        <w:t>A number of onshore exploration licences have been approved in Gippsland that include minerals such as coal seam gas, sometimes referred to as coal bed methane</w:t>
      </w:r>
      <w:r w:rsidR="007A2C22" w:rsidRPr="00283CEC">
        <w:t>,</w:t>
      </w:r>
      <w:r w:rsidRPr="00283CEC">
        <w:t xml:space="preserve"> as well as other oil and gas resources. Exploration is at an early stage and as yet the potential for commercial extraction is not known. </w:t>
      </w:r>
      <w:r w:rsidR="00AA514A" w:rsidRPr="00283CEC">
        <w:t>Locations in the region for potential exploration, retrieval and transfer of gas resources include Bass Gas at Nyora, Barry Beach marine terminal, the Port Anthony marine terminal and associated supply functions at Longford.</w:t>
      </w:r>
      <w:r w:rsidRPr="00283CEC">
        <w:t xml:space="preserve"> It will be important to ensure that new earth resources industries such as coal seam gas, or onshore oil and gas</w:t>
      </w:r>
      <w:r w:rsidR="00FD06ED" w:rsidRPr="00283CEC">
        <w:t>,</w:t>
      </w:r>
      <w:r w:rsidRPr="00283CEC">
        <w:t xml:space="preserve"> are developed in a way that is environmentally sustainable and compatible with existing a</w:t>
      </w:r>
      <w:r w:rsidR="002E6458" w:rsidRPr="00283CEC">
        <w:t>n</w:t>
      </w:r>
      <w:r w:rsidRPr="00283CEC">
        <w:t xml:space="preserve">d developing industries. </w:t>
      </w:r>
    </w:p>
    <w:p w:rsidR="00BB3128" w:rsidRPr="00283CEC" w:rsidRDefault="00BB3128" w:rsidP="002E6458">
      <w:pPr>
        <w:pStyle w:val="bt"/>
      </w:pPr>
      <w:r w:rsidRPr="00283CEC">
        <w:t xml:space="preserve">At a national level, the Standing Council on Energy and Resources has endorsed a National Harmonised Regulatory Framework for Natural Gas from Coal Seams (May 2013). The Victorian Government has endorsed the outcomes of the </w:t>
      </w:r>
      <w:r w:rsidR="00EE0D28" w:rsidRPr="00283CEC">
        <w:t>n</w:t>
      </w:r>
      <w:r w:rsidRPr="00283CEC">
        <w:t xml:space="preserve">ational </w:t>
      </w:r>
      <w:r w:rsidR="00EE0D28" w:rsidRPr="00283CEC">
        <w:t>f</w:t>
      </w:r>
      <w:r w:rsidRPr="00283CEC">
        <w:t>ramework and will ensure that state legislation is consistent with its findings. While the primary purpose of the framework is to be a guidance document to governments, it will benefit communities, farmers, other land users and industry by providing increased levels of consistency, certainty and transparency in the management of natural gas from coal seams in Australia.</w:t>
      </w:r>
    </w:p>
    <w:p w:rsidR="00E01E11" w:rsidRPr="00283CEC" w:rsidRDefault="00C37339" w:rsidP="00CC3A69">
      <w:pPr>
        <w:pStyle w:val="Heading4"/>
      </w:pPr>
      <w:r w:rsidRPr="00283CEC">
        <w:t>Sand, s</w:t>
      </w:r>
      <w:r w:rsidR="00535C0D" w:rsidRPr="00283CEC">
        <w:t>tone and mineral extraction</w:t>
      </w:r>
    </w:p>
    <w:p w:rsidR="0091061C" w:rsidRPr="00283CEC" w:rsidRDefault="0091061C" w:rsidP="002E6458">
      <w:pPr>
        <w:pStyle w:val="bt"/>
        <w:rPr>
          <w:rFonts w:cs="Calibri"/>
        </w:rPr>
      </w:pPr>
      <w:r w:rsidRPr="00283CEC">
        <w:rPr>
          <w:rFonts w:cs="Calibri"/>
        </w:rPr>
        <w:t xml:space="preserve">Extractive industries for sand and rock are necessary to support Victoria’s construction industry. Continuing high growth rates are projected for Melbourne and regional Victoria, and there are consequent pressures to identify and protect sand and hard rock resources </w:t>
      </w:r>
      <w:r w:rsidR="00CC4DC6" w:rsidRPr="00283CEC">
        <w:rPr>
          <w:rFonts w:cs="Calibri"/>
        </w:rPr>
        <w:t>with good access to these markets.</w:t>
      </w:r>
    </w:p>
    <w:p w:rsidR="0091061C" w:rsidRPr="00283CEC" w:rsidRDefault="0091061C" w:rsidP="002E6458">
      <w:pPr>
        <w:pStyle w:val="bt"/>
        <w:rPr>
          <w:rFonts w:cs="Calibri"/>
        </w:rPr>
      </w:pPr>
      <w:r w:rsidRPr="00283CEC">
        <w:rPr>
          <w:rFonts w:cs="Calibri"/>
        </w:rPr>
        <w:t>Gippsland is a major provider of sand to the construction industry</w:t>
      </w:r>
      <w:r w:rsidR="007A2C22" w:rsidRPr="00283CEC">
        <w:rPr>
          <w:rFonts w:cs="Calibri"/>
        </w:rPr>
        <w:t>,</w:t>
      </w:r>
      <w:r w:rsidRPr="00283CEC">
        <w:rPr>
          <w:rFonts w:cs="Calibri"/>
        </w:rPr>
        <w:t xml:space="preserve"> with important resources in the Grantville-Nyora area </w:t>
      </w:r>
      <w:r w:rsidR="007A2C22" w:rsidRPr="00283CEC">
        <w:rPr>
          <w:rFonts w:cs="Calibri"/>
        </w:rPr>
        <w:t xml:space="preserve">that </w:t>
      </w:r>
      <w:r w:rsidR="009415E4" w:rsidRPr="00283CEC">
        <w:rPr>
          <w:rFonts w:cs="Calibri"/>
        </w:rPr>
        <w:t xml:space="preserve">supply </w:t>
      </w:r>
      <w:r w:rsidRPr="00283CEC">
        <w:rPr>
          <w:rFonts w:cs="Calibri"/>
        </w:rPr>
        <w:t xml:space="preserve">metropolitan Melbourne. Industry sources anticipate a shortfall of supply within </w:t>
      </w:r>
      <w:r w:rsidR="005C11C1" w:rsidRPr="00283CEC">
        <w:rPr>
          <w:rFonts w:cs="Calibri"/>
        </w:rPr>
        <w:t xml:space="preserve">10 </w:t>
      </w:r>
      <w:r w:rsidRPr="00283CEC">
        <w:rPr>
          <w:rFonts w:cs="Calibri"/>
        </w:rPr>
        <w:t xml:space="preserve">years due to diminishing </w:t>
      </w:r>
      <w:r w:rsidR="009415E4" w:rsidRPr="00283CEC">
        <w:rPr>
          <w:rFonts w:cs="Calibri"/>
        </w:rPr>
        <w:t xml:space="preserve">resources </w:t>
      </w:r>
      <w:r w:rsidRPr="00283CEC">
        <w:rPr>
          <w:rFonts w:cs="Calibri"/>
        </w:rPr>
        <w:t>and increased demand</w:t>
      </w:r>
      <w:r w:rsidR="005C11C1" w:rsidRPr="00283CEC">
        <w:rPr>
          <w:rFonts w:cs="Calibri"/>
        </w:rPr>
        <w:t>. N</w:t>
      </w:r>
      <w:r w:rsidRPr="00283CEC">
        <w:rPr>
          <w:rFonts w:cs="Calibri"/>
        </w:rPr>
        <w:t xml:space="preserve">ew areas will need to be identified and </w:t>
      </w:r>
      <w:r w:rsidR="00383BFD" w:rsidRPr="00283CEC">
        <w:rPr>
          <w:rFonts w:cs="Calibri"/>
        </w:rPr>
        <w:t>protected through planning measures</w:t>
      </w:r>
      <w:r w:rsidRPr="00283CEC">
        <w:rPr>
          <w:rFonts w:cs="Calibri"/>
        </w:rPr>
        <w:t xml:space="preserve">. Sand resources at Trafalgar have been identified as a resource of </w:t>
      </w:r>
      <w:r w:rsidR="007A2C22" w:rsidRPr="00283CEC">
        <w:rPr>
          <w:rFonts w:cs="Calibri"/>
        </w:rPr>
        <w:t>s</w:t>
      </w:r>
      <w:r w:rsidRPr="00283CEC">
        <w:rPr>
          <w:rFonts w:cs="Calibri"/>
        </w:rPr>
        <w:t>tate significance and would be a suitable medium</w:t>
      </w:r>
      <w:r w:rsidR="00FD06ED" w:rsidRPr="00283CEC">
        <w:rPr>
          <w:rFonts w:cs="Calibri"/>
        </w:rPr>
        <w:t>-</w:t>
      </w:r>
      <w:r w:rsidR="00F138AE" w:rsidRPr="00283CEC">
        <w:rPr>
          <w:rFonts w:cs="Calibri"/>
        </w:rPr>
        <w:t xml:space="preserve"> to </w:t>
      </w:r>
      <w:r w:rsidRPr="00283CEC">
        <w:rPr>
          <w:rFonts w:cs="Calibri"/>
        </w:rPr>
        <w:t>long</w:t>
      </w:r>
      <w:r w:rsidR="00F138AE" w:rsidRPr="00283CEC">
        <w:rPr>
          <w:rFonts w:cs="Calibri"/>
        </w:rPr>
        <w:t>-</w:t>
      </w:r>
      <w:r w:rsidRPr="00283CEC">
        <w:rPr>
          <w:rFonts w:cs="Calibri"/>
        </w:rPr>
        <w:t xml:space="preserve">term </w:t>
      </w:r>
      <w:r w:rsidR="00F138AE" w:rsidRPr="00283CEC">
        <w:rPr>
          <w:rFonts w:cs="Calibri"/>
        </w:rPr>
        <w:t xml:space="preserve">addition to </w:t>
      </w:r>
      <w:r w:rsidRPr="00283CEC">
        <w:rPr>
          <w:rFonts w:cs="Calibri"/>
        </w:rPr>
        <w:t>the Grantville-Nyora supplies.</w:t>
      </w:r>
    </w:p>
    <w:p w:rsidR="0091061C" w:rsidRPr="00283CEC" w:rsidRDefault="00383BFD" w:rsidP="002E6458">
      <w:pPr>
        <w:pStyle w:val="bt"/>
        <w:rPr>
          <w:rFonts w:cs="Calibri"/>
        </w:rPr>
      </w:pPr>
      <w:r w:rsidRPr="00283CEC">
        <w:rPr>
          <w:rFonts w:cs="Calibri"/>
        </w:rPr>
        <w:t xml:space="preserve">Hard rock resources </w:t>
      </w:r>
      <w:r w:rsidR="0091061C" w:rsidRPr="00283CEC">
        <w:rPr>
          <w:rFonts w:cs="Calibri"/>
        </w:rPr>
        <w:t>fo</w:t>
      </w:r>
      <w:r w:rsidRPr="00283CEC">
        <w:rPr>
          <w:rFonts w:cs="Calibri"/>
        </w:rPr>
        <w:t xml:space="preserve">r crushed rock and aggregates </w:t>
      </w:r>
      <w:r w:rsidR="0091061C" w:rsidRPr="00283CEC">
        <w:rPr>
          <w:rFonts w:cs="Calibri"/>
        </w:rPr>
        <w:t>are also important</w:t>
      </w:r>
      <w:r w:rsidR="005C11C1" w:rsidRPr="00283CEC">
        <w:rPr>
          <w:rFonts w:cs="Calibri"/>
        </w:rPr>
        <w:t>,</w:t>
      </w:r>
      <w:r w:rsidR="0091061C" w:rsidRPr="00283CEC">
        <w:rPr>
          <w:rFonts w:cs="Calibri"/>
        </w:rPr>
        <w:t xml:space="preserve"> </w:t>
      </w:r>
      <w:r w:rsidR="009A5035" w:rsidRPr="00283CEC">
        <w:rPr>
          <w:rFonts w:cs="Calibri"/>
        </w:rPr>
        <w:t xml:space="preserve">particularly </w:t>
      </w:r>
      <w:r w:rsidR="0091061C" w:rsidRPr="00283CEC">
        <w:rPr>
          <w:rFonts w:cs="Calibri"/>
        </w:rPr>
        <w:t>for road and drainage construction and</w:t>
      </w:r>
      <w:r w:rsidR="005C11C1" w:rsidRPr="00283CEC">
        <w:rPr>
          <w:rFonts w:cs="Calibri"/>
        </w:rPr>
        <w:t>,</w:t>
      </w:r>
      <w:r w:rsidR="0091061C" w:rsidRPr="00283CEC">
        <w:rPr>
          <w:rFonts w:cs="Calibri"/>
        </w:rPr>
        <w:t xml:space="preserve"> like sand supplies, </w:t>
      </w:r>
      <w:r w:rsidR="009A5035" w:rsidRPr="00283CEC">
        <w:rPr>
          <w:rFonts w:cs="Calibri"/>
        </w:rPr>
        <w:t xml:space="preserve">are best </w:t>
      </w:r>
      <w:r w:rsidR="0091061C" w:rsidRPr="00283CEC">
        <w:rPr>
          <w:rFonts w:cs="Calibri"/>
        </w:rPr>
        <w:t>located convenient to the market. Resources are well distributed across Gippsland with sufficient supplies for many decades.</w:t>
      </w:r>
      <w:r w:rsidR="00C37339" w:rsidRPr="00283CEC">
        <w:rPr>
          <w:rFonts w:cs="Calibri"/>
        </w:rPr>
        <w:t xml:space="preserve"> </w:t>
      </w:r>
      <w:r w:rsidR="00AA514A" w:rsidRPr="00283CEC">
        <w:rPr>
          <w:rFonts w:cs="Calibri"/>
        </w:rPr>
        <w:t>Maintaining access to locally accessible construction resources helps to limit transport and related costs and retain competitive advantages for Gippsland industries.</w:t>
      </w:r>
    </w:p>
    <w:p w:rsidR="00177480" w:rsidRPr="00283CEC" w:rsidRDefault="00AA514A" w:rsidP="00177480">
      <w:pPr>
        <w:pStyle w:val="bt"/>
        <w:rPr>
          <w:rFonts w:cs="Calibri"/>
        </w:rPr>
      </w:pPr>
      <w:r w:rsidRPr="00283CEC">
        <w:rPr>
          <w:rFonts w:cs="Calibri"/>
        </w:rPr>
        <w:t>Extractive industry interest areas occur within the region, which contain areas of known future interest to the extractive minerals industry (for example sand and stone).</w:t>
      </w:r>
      <w:r w:rsidR="00177480" w:rsidRPr="00283CEC">
        <w:rPr>
          <w:rFonts w:cs="Calibri"/>
        </w:rPr>
        <w:t xml:space="preserve"> Areas are based on suitable geological occurrence and also take into account existing local government planning schemes. They are intended to provide a guide to local government in developing future planning policy. </w:t>
      </w:r>
      <w:r w:rsidRPr="00283CEC">
        <w:rPr>
          <w:rFonts w:cs="Calibri"/>
        </w:rPr>
        <w:t>In response to</w:t>
      </w:r>
      <w:r w:rsidR="00177480" w:rsidRPr="00283CEC">
        <w:rPr>
          <w:rFonts w:cs="Calibri"/>
        </w:rPr>
        <w:t xml:space="preserve"> </w:t>
      </w:r>
      <w:r w:rsidR="005413BB" w:rsidRPr="00283CEC">
        <w:rPr>
          <w:rFonts w:cs="Calibri"/>
        </w:rPr>
        <w:t>the Economic Development and Infrastructure</w:t>
      </w:r>
      <w:r w:rsidR="00177480" w:rsidRPr="00283CEC">
        <w:rPr>
          <w:rFonts w:cs="Calibri"/>
        </w:rPr>
        <w:t xml:space="preserve"> </w:t>
      </w:r>
      <w:r w:rsidRPr="00283CEC">
        <w:rPr>
          <w:rFonts w:cs="Calibri"/>
        </w:rPr>
        <w:t>Committee</w:t>
      </w:r>
      <w:r w:rsidR="005413BB" w:rsidRPr="00283CEC">
        <w:rPr>
          <w:rFonts w:cs="Calibri"/>
        </w:rPr>
        <w:t>’</w:t>
      </w:r>
      <w:r w:rsidR="00163886" w:rsidRPr="00283CEC">
        <w:rPr>
          <w:rFonts w:cs="Calibri"/>
        </w:rPr>
        <w:t>s</w:t>
      </w:r>
      <w:r w:rsidRPr="00283CEC">
        <w:rPr>
          <w:rFonts w:cs="Calibri"/>
          <w:i/>
        </w:rPr>
        <w:t xml:space="preserve"> Inquiry into greenfields mineral exploration and project development in Victoria</w:t>
      </w:r>
      <w:r w:rsidR="00177480" w:rsidRPr="00283CEC">
        <w:rPr>
          <w:rFonts w:cs="Calibri"/>
        </w:rPr>
        <w:t xml:space="preserve">, </w:t>
      </w:r>
      <w:r w:rsidRPr="00283CEC">
        <w:rPr>
          <w:rFonts w:cs="Calibri"/>
        </w:rPr>
        <w:t>the Victorian Government has committed to various activities that will undertake further data gathering and planning to better protect the state’s extractive resources for future development. The outcomes of these activities may have implications for future planning provisions.</w:t>
      </w:r>
      <w:r w:rsidR="000D1724">
        <w:rPr>
          <w:rFonts w:cs="Calibri"/>
        </w:rPr>
        <w:t xml:space="preserve"> Extractive industry interest areas located in the region are show in </w:t>
      </w:r>
      <w:r w:rsidR="00980040">
        <w:rPr>
          <w:rFonts w:cs="Calibri"/>
        </w:rPr>
        <w:t>Figure 31</w:t>
      </w:r>
      <w:r w:rsidR="000D1724">
        <w:rPr>
          <w:rFonts w:cs="Calibri"/>
        </w:rPr>
        <w:t xml:space="preserve"> of the Gippsland Regional Growth Plan Background Report.</w:t>
      </w:r>
    </w:p>
    <w:p w:rsidR="00AA514A" w:rsidRPr="00283CEC" w:rsidRDefault="0091061C" w:rsidP="00AA514A">
      <w:pPr>
        <w:pStyle w:val="bt"/>
      </w:pPr>
      <w:r w:rsidRPr="00283CEC">
        <w:rPr>
          <w:rFonts w:cs="Calibri"/>
        </w:rPr>
        <w:t>There may also be economic opportunities for a local mining industry in Gippsland. There has been a</w:t>
      </w:r>
      <w:r w:rsidR="000F42E7" w:rsidRPr="00283CEC">
        <w:rPr>
          <w:rFonts w:cs="Calibri"/>
        </w:rPr>
        <w:t xml:space="preserve">n active industry in the past, </w:t>
      </w:r>
      <w:r w:rsidRPr="00283CEC">
        <w:rPr>
          <w:rFonts w:cs="Calibri"/>
        </w:rPr>
        <w:t>most notably with goldmining at Walhalla but also with copper and tin mining</w:t>
      </w:r>
      <w:r w:rsidR="000F42E7" w:rsidRPr="00283CEC">
        <w:rPr>
          <w:rFonts w:cs="Calibri"/>
        </w:rPr>
        <w:t xml:space="preserve">, </w:t>
      </w:r>
      <w:r w:rsidRPr="00283CEC">
        <w:rPr>
          <w:rFonts w:cs="Calibri"/>
        </w:rPr>
        <w:t xml:space="preserve">and there are also recognised deposits of lead, iron, zinc, silver and platinum, particularly in East Gippsland. These </w:t>
      </w:r>
      <w:r w:rsidR="00F138AE" w:rsidRPr="00283CEC">
        <w:rPr>
          <w:rFonts w:cs="Calibri"/>
        </w:rPr>
        <w:t>resources</w:t>
      </w:r>
      <w:r w:rsidRPr="00283CEC">
        <w:rPr>
          <w:rFonts w:cs="Calibri"/>
        </w:rPr>
        <w:t xml:space="preserve"> </w:t>
      </w:r>
      <w:r w:rsidR="00C37339" w:rsidRPr="00283CEC">
        <w:rPr>
          <w:rFonts w:cs="Calibri"/>
        </w:rPr>
        <w:t xml:space="preserve">and other minerals </w:t>
      </w:r>
      <w:r w:rsidRPr="00283CEC">
        <w:rPr>
          <w:rFonts w:cs="Calibri"/>
        </w:rPr>
        <w:t xml:space="preserve">have the potential to be commercially productive subject to variables such as world prices, the value of the Australian dollar and demand from </w:t>
      </w:r>
      <w:r w:rsidR="00CC4DC6" w:rsidRPr="00283CEC">
        <w:rPr>
          <w:rFonts w:cs="Calibri"/>
        </w:rPr>
        <w:t xml:space="preserve">major markets such as </w:t>
      </w:r>
      <w:r w:rsidRPr="00283CEC">
        <w:rPr>
          <w:rFonts w:cs="Calibri"/>
        </w:rPr>
        <w:t>China. There is currently exploration activity for minerals sands such as rutile and zircon.</w:t>
      </w:r>
    </w:p>
    <w:p w:rsidR="00E01E11" w:rsidRPr="00283CEC" w:rsidRDefault="00535C0D" w:rsidP="00CC3A69">
      <w:pPr>
        <w:pStyle w:val="Heading4"/>
      </w:pPr>
      <w:r w:rsidRPr="00283CEC">
        <w:t>Renewable energy</w:t>
      </w:r>
    </w:p>
    <w:p w:rsidR="0091061C" w:rsidRPr="00283CEC" w:rsidRDefault="00AA514A" w:rsidP="002E6458">
      <w:pPr>
        <w:pStyle w:val="bt"/>
        <w:rPr>
          <w:rFonts w:cs="Calibri"/>
          <w:bCs/>
        </w:rPr>
      </w:pPr>
      <w:r w:rsidRPr="00283CEC">
        <w:rPr>
          <w:rFonts w:cs="Calibri"/>
          <w:bCs/>
        </w:rPr>
        <w:t>While Gippsland’s energy in the immediate term is closely linked to its brown coal deposits, there are opportunities to develop renewable energy resources as part of a long-term strategy to maintain Gippsland as Victoria’s energy hub</w:t>
      </w:r>
      <w:r w:rsidR="00633C1A" w:rsidRPr="00283CEC">
        <w:rPr>
          <w:rFonts w:cs="Calibri"/>
          <w:bCs/>
        </w:rPr>
        <w:t xml:space="preserve"> (see</w:t>
      </w:r>
      <w:r w:rsidR="001C35A8">
        <w:rPr>
          <w:rFonts w:cs="Calibri"/>
          <w:bCs/>
        </w:rPr>
        <w:t xml:space="preserve"> </w:t>
      </w:r>
      <w:r w:rsidR="00AD704A">
        <w:rPr>
          <w:rFonts w:cs="Calibri"/>
          <w:bCs/>
        </w:rPr>
        <w:t>Map 7</w:t>
      </w:r>
      <w:r w:rsidR="001C35A8">
        <w:rPr>
          <w:rFonts w:cs="Calibri"/>
          <w:bCs/>
        </w:rPr>
        <w:t>: Future directions for renewable energy</w:t>
      </w:r>
      <w:r w:rsidR="00633C1A" w:rsidRPr="00283CEC">
        <w:rPr>
          <w:rFonts w:cs="Calibri"/>
          <w:bCs/>
        </w:rPr>
        <w:t>)</w:t>
      </w:r>
      <w:r w:rsidR="0091061C" w:rsidRPr="00283CEC">
        <w:rPr>
          <w:rFonts w:cs="Calibri"/>
          <w:bCs/>
        </w:rPr>
        <w:t xml:space="preserve">. </w:t>
      </w:r>
      <w:r w:rsidRPr="00283CEC">
        <w:rPr>
          <w:rFonts w:cs="Calibri"/>
          <w:bCs/>
        </w:rPr>
        <w:t>Potential renewable energy resources in the region include geothermal, wind, hydro-electric, wave and tidal generated energy. Geothermal and wind energy are likely to offer the best prospects in the short</w:t>
      </w:r>
      <w:r w:rsidR="000D1724">
        <w:rPr>
          <w:rFonts w:cs="Calibri"/>
          <w:bCs/>
        </w:rPr>
        <w:t>-</w:t>
      </w:r>
      <w:r w:rsidRPr="00283CEC">
        <w:rPr>
          <w:rFonts w:cs="Calibri"/>
          <w:bCs/>
        </w:rPr>
        <w:t xml:space="preserve"> to medium</w:t>
      </w:r>
      <w:r w:rsidR="000D1724">
        <w:rPr>
          <w:rFonts w:cs="Calibri"/>
          <w:bCs/>
        </w:rPr>
        <w:t>-</w:t>
      </w:r>
      <w:r w:rsidRPr="00283CEC">
        <w:rPr>
          <w:rFonts w:cs="Calibri"/>
          <w:bCs/>
        </w:rPr>
        <w:t>term.</w:t>
      </w:r>
      <w:r w:rsidR="00E010D2" w:rsidRPr="00283CEC">
        <w:rPr>
          <w:rFonts w:cs="Calibri"/>
          <w:bCs/>
        </w:rPr>
        <w:t xml:space="preserve"> There</w:t>
      </w:r>
      <w:r w:rsidR="0091061C" w:rsidRPr="00283CEC">
        <w:rPr>
          <w:rFonts w:cs="Calibri"/>
          <w:bCs/>
        </w:rPr>
        <w:t xml:space="preserve"> are two wind</w:t>
      </w:r>
      <w:r w:rsidR="0099145C" w:rsidRPr="00283CEC">
        <w:rPr>
          <w:rFonts w:cs="Calibri"/>
          <w:bCs/>
        </w:rPr>
        <w:t xml:space="preserve"> energy facilities</w:t>
      </w:r>
      <w:r w:rsidR="0091061C" w:rsidRPr="00283CEC">
        <w:rPr>
          <w:rFonts w:cs="Calibri"/>
          <w:bCs/>
        </w:rPr>
        <w:t xml:space="preserve"> operating at Toora and Wonthaggi and a third, much </w:t>
      </w:r>
      <w:r w:rsidR="005C11C1" w:rsidRPr="00283CEC">
        <w:rPr>
          <w:rFonts w:cs="Calibri"/>
          <w:bCs/>
        </w:rPr>
        <w:t xml:space="preserve">larger </w:t>
      </w:r>
      <w:r w:rsidR="0099145C" w:rsidRPr="00283CEC">
        <w:rPr>
          <w:rFonts w:cs="Calibri"/>
          <w:bCs/>
        </w:rPr>
        <w:t>facility</w:t>
      </w:r>
      <w:r w:rsidR="007A2C22" w:rsidRPr="00283CEC">
        <w:rPr>
          <w:rFonts w:cs="Calibri"/>
          <w:bCs/>
        </w:rPr>
        <w:t>,</w:t>
      </w:r>
      <w:r w:rsidR="0091061C" w:rsidRPr="00283CEC">
        <w:rPr>
          <w:rFonts w:cs="Calibri"/>
          <w:bCs/>
        </w:rPr>
        <w:t xml:space="preserve"> is currently under construction at Bald Hills. There are likely to be opportunities to further increase production of wind energy although wind</w:t>
      </w:r>
      <w:r w:rsidR="00392AE6" w:rsidRPr="00283CEC">
        <w:rPr>
          <w:rFonts w:cs="Calibri"/>
          <w:bCs/>
        </w:rPr>
        <w:t xml:space="preserve"> turbines and associated infrastructure</w:t>
      </w:r>
      <w:r w:rsidR="0091061C" w:rsidRPr="00283CEC">
        <w:rPr>
          <w:rFonts w:cs="Calibri"/>
          <w:bCs/>
        </w:rPr>
        <w:t xml:space="preserve"> will </w:t>
      </w:r>
      <w:r w:rsidR="00392AE6" w:rsidRPr="00283CEC">
        <w:rPr>
          <w:rFonts w:cs="Calibri"/>
          <w:bCs/>
        </w:rPr>
        <w:t>need</w:t>
      </w:r>
      <w:r w:rsidR="0091061C" w:rsidRPr="00283CEC">
        <w:rPr>
          <w:rFonts w:cs="Calibri"/>
          <w:bCs/>
        </w:rPr>
        <w:t xml:space="preserve"> to be carefully located to avoid impacts on </w:t>
      </w:r>
      <w:r w:rsidR="00392AE6" w:rsidRPr="00283CEC">
        <w:rPr>
          <w:rFonts w:cs="Calibri"/>
          <w:bCs/>
        </w:rPr>
        <w:t>landscape</w:t>
      </w:r>
      <w:r w:rsidR="0091061C" w:rsidRPr="00283CEC">
        <w:rPr>
          <w:rFonts w:cs="Calibri"/>
          <w:bCs/>
        </w:rPr>
        <w:t xml:space="preserve"> and housing.</w:t>
      </w:r>
    </w:p>
    <w:p w:rsidR="0091061C" w:rsidRPr="00283CEC" w:rsidRDefault="00966FEB" w:rsidP="002E6458">
      <w:pPr>
        <w:pStyle w:val="bt"/>
        <w:rPr>
          <w:rFonts w:cs="Calibri"/>
          <w:bCs/>
        </w:rPr>
      </w:pPr>
      <w:r w:rsidRPr="00283CEC">
        <w:rPr>
          <w:rFonts w:cs="Calibri"/>
          <w:bCs/>
        </w:rPr>
        <w:t xml:space="preserve">Geothermal energy involves utilising heat generated from deep underground and </w:t>
      </w:r>
      <w:r w:rsidR="00FD06ED" w:rsidRPr="00283CEC">
        <w:rPr>
          <w:rFonts w:cs="Calibri"/>
          <w:bCs/>
        </w:rPr>
        <w:t xml:space="preserve">converting it </w:t>
      </w:r>
      <w:r w:rsidRPr="00283CEC">
        <w:rPr>
          <w:rFonts w:cs="Calibri"/>
          <w:bCs/>
        </w:rPr>
        <w:t>to electricity. Some initial investigation of g</w:t>
      </w:r>
      <w:r w:rsidR="00301205" w:rsidRPr="00283CEC">
        <w:rPr>
          <w:rFonts w:cs="Calibri"/>
          <w:bCs/>
        </w:rPr>
        <w:t>eothermal energy</w:t>
      </w:r>
      <w:r w:rsidRPr="00283CEC">
        <w:rPr>
          <w:rFonts w:cs="Calibri"/>
          <w:bCs/>
        </w:rPr>
        <w:t xml:space="preserve"> </w:t>
      </w:r>
      <w:r w:rsidR="00F4323D" w:rsidRPr="00283CEC">
        <w:rPr>
          <w:rFonts w:cs="Calibri"/>
          <w:bCs/>
        </w:rPr>
        <w:t xml:space="preserve">in Gippsland </w:t>
      </w:r>
      <w:r w:rsidRPr="00283CEC">
        <w:rPr>
          <w:rFonts w:cs="Calibri"/>
          <w:bCs/>
        </w:rPr>
        <w:t xml:space="preserve">has </w:t>
      </w:r>
      <w:r w:rsidR="00F4323D" w:rsidRPr="00283CEC">
        <w:rPr>
          <w:rFonts w:cs="Calibri"/>
          <w:bCs/>
        </w:rPr>
        <w:t xml:space="preserve">been supported by </w:t>
      </w:r>
      <w:r w:rsidR="00FD06ED" w:rsidRPr="00283CEC">
        <w:rPr>
          <w:rFonts w:cs="Calibri"/>
          <w:bCs/>
        </w:rPr>
        <w:t xml:space="preserve">State Government </w:t>
      </w:r>
      <w:r w:rsidR="00F4323D" w:rsidRPr="00283CEC">
        <w:rPr>
          <w:rFonts w:cs="Calibri"/>
          <w:bCs/>
        </w:rPr>
        <w:t xml:space="preserve">through </w:t>
      </w:r>
      <w:r w:rsidRPr="00283CEC">
        <w:rPr>
          <w:rFonts w:cs="Calibri"/>
          <w:bCs/>
        </w:rPr>
        <w:t>the Latrobe Valley Shallow Geothermal project</w:t>
      </w:r>
      <w:r w:rsidR="002A785F" w:rsidRPr="00283CEC">
        <w:rPr>
          <w:rFonts w:cs="Calibri"/>
          <w:bCs/>
        </w:rPr>
        <w:t xml:space="preserve"> </w:t>
      </w:r>
      <w:r w:rsidR="00F4323D" w:rsidRPr="00283CEC">
        <w:rPr>
          <w:rFonts w:cs="Calibri"/>
          <w:bCs/>
        </w:rPr>
        <w:t xml:space="preserve">as an opportunity to build on technology and business innovation in the energy sector. In the future geothermal energy resources may be integrated with existing transmission infrastructure to offer a </w:t>
      </w:r>
      <w:r w:rsidR="002A785F" w:rsidRPr="00283CEC">
        <w:rPr>
          <w:rFonts w:cs="Calibri"/>
          <w:bCs/>
        </w:rPr>
        <w:t xml:space="preserve">sustainable, </w:t>
      </w:r>
      <w:r w:rsidR="00F4323D" w:rsidRPr="00283CEC">
        <w:rPr>
          <w:rFonts w:cs="Calibri"/>
          <w:bCs/>
        </w:rPr>
        <w:t>long-term energy commodity</w:t>
      </w:r>
      <w:r w:rsidR="002A785F" w:rsidRPr="00283CEC">
        <w:rPr>
          <w:rFonts w:cs="Calibri"/>
          <w:bCs/>
        </w:rPr>
        <w:t xml:space="preserve"> for export </w:t>
      </w:r>
      <w:r w:rsidR="00FD06ED" w:rsidRPr="00283CEC">
        <w:rPr>
          <w:rFonts w:cs="Calibri"/>
          <w:bCs/>
        </w:rPr>
        <w:t xml:space="preserve">across </w:t>
      </w:r>
      <w:r w:rsidR="002A785F" w:rsidRPr="00283CEC">
        <w:rPr>
          <w:rFonts w:cs="Calibri"/>
          <w:bCs/>
        </w:rPr>
        <w:t>Victoria and interstate.</w:t>
      </w:r>
      <w:r w:rsidR="00301205" w:rsidRPr="00283CEC">
        <w:rPr>
          <w:rFonts w:cs="Calibri"/>
          <w:bCs/>
        </w:rPr>
        <w:t xml:space="preserve"> </w:t>
      </w:r>
    </w:p>
    <w:p w:rsidR="002B35A0" w:rsidRPr="00283CEC" w:rsidRDefault="00E864AA" w:rsidP="002E6458">
      <w:pPr>
        <w:pStyle w:val="bt"/>
        <w:rPr>
          <w:rFonts w:cs="Calibri"/>
          <w:bCs/>
        </w:rPr>
      </w:pPr>
      <w:r w:rsidRPr="00283CEC">
        <w:rPr>
          <w:rFonts w:cs="Calibri"/>
          <w:bCs/>
        </w:rPr>
        <w:t xml:space="preserve">Coastline </w:t>
      </w:r>
      <w:r w:rsidR="00B17709" w:rsidRPr="00283CEC">
        <w:rPr>
          <w:rFonts w:cs="Calibri"/>
          <w:bCs/>
        </w:rPr>
        <w:t>and ocean currents</w:t>
      </w:r>
      <w:r w:rsidRPr="00283CEC">
        <w:rPr>
          <w:rFonts w:cs="Calibri"/>
          <w:bCs/>
        </w:rPr>
        <w:t xml:space="preserve"> </w:t>
      </w:r>
      <w:r w:rsidR="00B17709" w:rsidRPr="00283CEC">
        <w:rPr>
          <w:rFonts w:cs="Calibri"/>
          <w:bCs/>
        </w:rPr>
        <w:t>particularl</w:t>
      </w:r>
      <w:r w:rsidRPr="00283CEC">
        <w:rPr>
          <w:rFonts w:cs="Calibri"/>
          <w:bCs/>
        </w:rPr>
        <w:t>y around Wester</w:t>
      </w:r>
      <w:r w:rsidR="00DE42C5" w:rsidRPr="00283CEC">
        <w:rPr>
          <w:rFonts w:cs="Calibri"/>
          <w:bCs/>
        </w:rPr>
        <w:t>nport and Phillip Island provide</w:t>
      </w:r>
      <w:r w:rsidRPr="00283CEC">
        <w:rPr>
          <w:rFonts w:cs="Calibri"/>
          <w:bCs/>
        </w:rPr>
        <w:t xml:space="preserve"> </w:t>
      </w:r>
      <w:r w:rsidR="00AB0206" w:rsidRPr="00283CEC">
        <w:rPr>
          <w:rFonts w:cs="Calibri"/>
          <w:bCs/>
        </w:rPr>
        <w:t xml:space="preserve">favourable </w:t>
      </w:r>
      <w:r w:rsidRPr="00283CEC">
        <w:rPr>
          <w:rFonts w:cs="Calibri"/>
          <w:bCs/>
        </w:rPr>
        <w:t xml:space="preserve">conditions to </w:t>
      </w:r>
      <w:r w:rsidR="00B17709" w:rsidRPr="00283CEC">
        <w:rPr>
          <w:rFonts w:cs="Calibri"/>
          <w:bCs/>
        </w:rPr>
        <w:t>generating</w:t>
      </w:r>
      <w:r w:rsidRPr="00283CEC">
        <w:rPr>
          <w:rFonts w:cs="Calibri"/>
          <w:bCs/>
        </w:rPr>
        <w:t xml:space="preserve"> tidal energy</w:t>
      </w:r>
      <w:r w:rsidR="00B17709" w:rsidRPr="00283CEC">
        <w:rPr>
          <w:rFonts w:cs="Calibri"/>
          <w:bCs/>
        </w:rPr>
        <w:t>. This form of energy can be captured with the use of tidal turbines or tidal barrage systems. A 150 kilowatt demonstration tidal device has been operating at Phillip Island. Wave energy captured using floating buoys, platforms or submerged deep water devices can generate electricity from the motion of the ocean’s waves. Gippsland’s extensive coastline provides an opportunity for r</w:t>
      </w:r>
      <w:r w:rsidRPr="00283CEC">
        <w:rPr>
          <w:rFonts w:cs="Calibri"/>
          <w:bCs/>
        </w:rPr>
        <w:t xml:space="preserve">esearch and testing of </w:t>
      </w:r>
      <w:r w:rsidR="004805ED" w:rsidRPr="00283CEC">
        <w:rPr>
          <w:rFonts w:cs="Calibri"/>
          <w:bCs/>
        </w:rPr>
        <w:t xml:space="preserve">wave energy </w:t>
      </w:r>
      <w:r w:rsidRPr="00283CEC">
        <w:rPr>
          <w:rFonts w:cs="Calibri"/>
          <w:bCs/>
        </w:rPr>
        <w:t>potential</w:t>
      </w:r>
      <w:r w:rsidR="004805ED" w:rsidRPr="00283CEC">
        <w:rPr>
          <w:rFonts w:cs="Calibri"/>
          <w:bCs/>
        </w:rPr>
        <w:t xml:space="preserve"> for the future.</w:t>
      </w:r>
      <w:r w:rsidRPr="00283CEC">
        <w:rPr>
          <w:rFonts w:cs="Calibri"/>
          <w:bCs/>
        </w:rPr>
        <w:t xml:space="preserve"> </w:t>
      </w:r>
    </w:p>
    <w:p w:rsidR="004F4F2D" w:rsidRDefault="0091061C" w:rsidP="004F4F2D">
      <w:pPr>
        <w:pStyle w:val="bt"/>
        <w:rPr>
          <w:rFonts w:cs="Calibri"/>
          <w:bCs/>
        </w:rPr>
      </w:pPr>
      <w:r w:rsidRPr="00283CEC">
        <w:rPr>
          <w:rFonts w:cs="Calibri"/>
          <w:bCs/>
        </w:rPr>
        <w:t>In addition, there may be opportunities for energy produced from agricultural or forestry products</w:t>
      </w:r>
      <w:r w:rsidR="007A2C22" w:rsidRPr="00283CEC">
        <w:rPr>
          <w:rFonts w:cs="Calibri"/>
          <w:bCs/>
        </w:rPr>
        <w:t xml:space="preserve">, such as </w:t>
      </w:r>
      <w:r w:rsidRPr="00283CEC">
        <w:rPr>
          <w:rFonts w:cs="Calibri"/>
          <w:bCs/>
        </w:rPr>
        <w:t>bioenergy</w:t>
      </w:r>
      <w:r w:rsidR="007A2C22" w:rsidRPr="00283CEC">
        <w:rPr>
          <w:rFonts w:cs="Calibri"/>
          <w:bCs/>
        </w:rPr>
        <w:t>,</w:t>
      </w:r>
      <w:r w:rsidRPr="00283CEC">
        <w:rPr>
          <w:rFonts w:cs="Calibri"/>
          <w:bCs/>
        </w:rPr>
        <w:t xml:space="preserve"> which are discussed </w:t>
      </w:r>
      <w:r w:rsidR="00D15DC5" w:rsidRPr="00283CEC">
        <w:rPr>
          <w:rFonts w:cs="Calibri"/>
          <w:bCs/>
        </w:rPr>
        <w:t xml:space="preserve">in </w:t>
      </w:r>
      <w:r w:rsidR="00AB0206" w:rsidRPr="00283CEC">
        <w:rPr>
          <w:rFonts w:cs="Calibri"/>
          <w:bCs/>
        </w:rPr>
        <w:t xml:space="preserve">Section </w:t>
      </w:r>
      <w:r w:rsidRPr="00283CEC">
        <w:rPr>
          <w:rFonts w:cs="Calibri"/>
          <w:bCs/>
        </w:rPr>
        <w:t>11.2</w:t>
      </w:r>
      <w:r w:rsidR="00D15DC5" w:rsidRPr="00283CEC">
        <w:rPr>
          <w:rFonts w:cs="Calibri"/>
          <w:bCs/>
        </w:rPr>
        <w:t xml:space="preserve"> Agriculture</w:t>
      </w:r>
      <w:r w:rsidRPr="00283CEC">
        <w:rPr>
          <w:rFonts w:cs="Calibri"/>
          <w:bCs/>
        </w:rPr>
        <w:t>.</w:t>
      </w:r>
      <w:bookmarkStart w:id="68" w:name="_Ref374360094"/>
      <w:bookmarkStart w:id="69" w:name="_Ref373931053"/>
      <w:bookmarkStart w:id="70" w:name="_Toc374361107"/>
    </w:p>
    <w:p w:rsidR="00AA1FB6" w:rsidRPr="004F4F2D" w:rsidRDefault="00AA1FB6" w:rsidP="004F4F2D">
      <w:pPr>
        <w:pStyle w:val="bt"/>
      </w:pPr>
      <w:r w:rsidRPr="004F4F2D">
        <w:t>Map</w:t>
      </w:r>
      <w:bookmarkEnd w:id="68"/>
      <w:r w:rsidR="00AD704A">
        <w:t xml:space="preserve"> 7</w:t>
      </w:r>
      <w:r w:rsidR="004F4F2D">
        <w:t xml:space="preserve"> is located here in the document and it shows -</w:t>
      </w:r>
      <w:r w:rsidR="00B46805" w:rsidRPr="004F4F2D">
        <w:t xml:space="preserve"> </w:t>
      </w:r>
      <w:r w:rsidRPr="004F4F2D">
        <w:t xml:space="preserve">Future directions </w:t>
      </w:r>
      <w:r w:rsidR="00207C1A" w:rsidRPr="004F4F2D">
        <w:t>for renewable</w:t>
      </w:r>
      <w:r w:rsidRPr="004F4F2D">
        <w:t xml:space="preserve"> energy</w:t>
      </w:r>
      <w:bookmarkEnd w:id="69"/>
      <w:bookmarkEnd w:id="70"/>
    </w:p>
    <w:p w:rsidR="002E6458" w:rsidRPr="00283CEC" w:rsidRDefault="002E6458" w:rsidP="002E6458">
      <w:pPr>
        <w:pStyle w:val="bt"/>
        <w:rPr>
          <w:rStyle w:val="Strong"/>
        </w:rPr>
      </w:pPr>
      <w:r w:rsidRPr="00283CEC">
        <w:rPr>
          <w:rStyle w:val="Strong"/>
        </w:rPr>
        <w:t>Strategies for future land use</w:t>
      </w:r>
    </w:p>
    <w:p w:rsidR="002E6458" w:rsidRPr="00283CEC" w:rsidRDefault="00D44833" w:rsidP="00767431">
      <w:pPr>
        <w:pStyle w:val="btbullet"/>
      </w:pPr>
      <w:r w:rsidRPr="00283CEC">
        <w:t xml:space="preserve">Prepare a strategic energy plan </w:t>
      </w:r>
      <w:r w:rsidR="00E010D2" w:rsidRPr="00283CEC">
        <w:t>that identifies</w:t>
      </w:r>
      <w:r w:rsidR="001666CF" w:rsidRPr="00283CEC">
        <w:t xml:space="preserve"> and protects </w:t>
      </w:r>
      <w:r w:rsidRPr="00283CEC">
        <w:t>the region’s</w:t>
      </w:r>
      <w:r w:rsidR="001666CF" w:rsidRPr="00283CEC">
        <w:t xml:space="preserve"> </w:t>
      </w:r>
      <w:r w:rsidR="006A3358" w:rsidRPr="00283CEC">
        <w:t xml:space="preserve">established </w:t>
      </w:r>
      <w:r w:rsidRPr="00283CEC">
        <w:t>and emerging energy resources in order to maintain Gippsland as Victoria’s energy hub</w:t>
      </w:r>
      <w:r w:rsidR="001666CF" w:rsidRPr="00283CEC">
        <w:t xml:space="preserve">. The plan will </w:t>
      </w:r>
      <w:r w:rsidR="002E6458" w:rsidRPr="00283CEC">
        <w:t xml:space="preserve">support appropriate initiatives that involve renewable energy or reduce or mitigate carbon emissions (including geothermal, </w:t>
      </w:r>
      <w:r w:rsidR="00971D14" w:rsidRPr="00283CEC">
        <w:t>hydro</w:t>
      </w:r>
      <w:r w:rsidR="004213F2" w:rsidRPr="00283CEC">
        <w:t>-electric</w:t>
      </w:r>
      <w:r w:rsidR="00971D14" w:rsidRPr="00283CEC">
        <w:t xml:space="preserve">, tidal, wind, organic waste, </w:t>
      </w:r>
      <w:r w:rsidR="002E6458" w:rsidRPr="00283CEC">
        <w:t>clean coal processing and carbon capture and storage), support infrastructure investment, and minimise environmental, cultural heritage and social impacts</w:t>
      </w:r>
    </w:p>
    <w:p w:rsidR="00BE57BC" w:rsidRPr="00283CEC" w:rsidRDefault="002E6458" w:rsidP="00767431">
      <w:pPr>
        <w:pStyle w:val="btbullet"/>
      </w:pPr>
      <w:r w:rsidRPr="00283CEC">
        <w:t>Investigate development and infrastructure provision that assists continuing production from the region’s oil and gas fields and technologies to maximise extraction</w:t>
      </w:r>
    </w:p>
    <w:p w:rsidR="00C84D41" w:rsidRPr="00283CEC" w:rsidRDefault="00AA514A" w:rsidP="00767431">
      <w:pPr>
        <w:pStyle w:val="btbullet"/>
      </w:pPr>
      <w:r w:rsidRPr="00283CEC">
        <w:t>Support the development of mineral and other earth resources where proposals meet the requirements of the relevant environmental and regulatory processes</w:t>
      </w:r>
    </w:p>
    <w:p w:rsidR="00E63AE8" w:rsidRPr="00283CEC" w:rsidRDefault="00AA514A" w:rsidP="00767431">
      <w:pPr>
        <w:pStyle w:val="btbullet"/>
      </w:pPr>
      <w:r w:rsidRPr="00283CEC">
        <w:t xml:space="preserve">Prepare a new </w:t>
      </w:r>
      <w:r w:rsidRPr="00283CEC">
        <w:rPr>
          <w:rStyle w:val="Emphasis"/>
          <w:i w:val="0"/>
        </w:rPr>
        <w:t>Gippsland Coalfields Planning and Investment Framework</w:t>
      </w:r>
      <w:r w:rsidRPr="00283CEC">
        <w:t xml:space="preserve"> to provide policy and planning guidelines to support the implementation of work currently underway by Clean Coal Victoria, including development of the Victorian Brown Coal Roadmap and Strategy. The framework would identify important coal resource and environmental assets and assist to implement amenity and infrastructure buffers. It is intended that the framework would replace reference documents currently listed in the State Planning Policy Framework</w:t>
      </w:r>
    </w:p>
    <w:p w:rsidR="002E6458" w:rsidRPr="00283CEC" w:rsidRDefault="002E6458" w:rsidP="00767431">
      <w:pPr>
        <w:pStyle w:val="btbullet"/>
      </w:pPr>
      <w:r w:rsidRPr="00283CEC">
        <w:t xml:space="preserve">Review the </w:t>
      </w:r>
      <w:r w:rsidRPr="00283CEC">
        <w:rPr>
          <w:rStyle w:val="Emphasis"/>
          <w:i w:val="0"/>
        </w:rPr>
        <w:t xml:space="preserve">Regional Sand Extraction Strategy – Lang </w:t>
      </w:r>
      <w:proofErr w:type="spellStart"/>
      <w:r w:rsidRPr="00283CEC">
        <w:rPr>
          <w:rStyle w:val="Emphasis"/>
          <w:i w:val="0"/>
        </w:rPr>
        <w:t>Lang</w:t>
      </w:r>
      <w:proofErr w:type="spellEnd"/>
      <w:r w:rsidRPr="00283CEC">
        <w:rPr>
          <w:rStyle w:val="Emphasis"/>
          <w:i w:val="0"/>
        </w:rPr>
        <w:t xml:space="preserve"> to Grantville 1996</w:t>
      </w:r>
      <w:r w:rsidRPr="00283CEC">
        <w:t xml:space="preserve"> and associated planning scheme provisions with a view to protecting important regional sand resources and supporting the construction sector</w:t>
      </w:r>
    </w:p>
    <w:p w:rsidR="004867FE" w:rsidRPr="00283CEC" w:rsidRDefault="00AA514A" w:rsidP="00767431">
      <w:pPr>
        <w:pStyle w:val="btbullet"/>
      </w:pPr>
      <w:r w:rsidRPr="00283CEC">
        <w:t>Identify, manage and facilitate access to natural resources where appropriate, including sand and stone, minerals, timber and renewable energy potential</w:t>
      </w:r>
    </w:p>
    <w:p w:rsidR="004C47F5" w:rsidRPr="00283CEC" w:rsidRDefault="004C47F5" w:rsidP="00895D2F">
      <w:pPr>
        <w:pStyle w:val="Heading11"/>
      </w:pPr>
      <w:bookmarkStart w:id="71" w:name="_Toc355953847"/>
      <w:bookmarkStart w:id="72" w:name="_Toc336871224"/>
      <w:bookmarkStart w:id="73" w:name="_Toc376791246"/>
      <w:bookmarkEnd w:id="71"/>
      <w:r w:rsidRPr="00283CEC">
        <w:t xml:space="preserve">Environment and </w:t>
      </w:r>
      <w:bookmarkEnd w:id="72"/>
      <w:r w:rsidR="005C11C1" w:rsidRPr="00283CEC">
        <w:t>h</w:t>
      </w:r>
      <w:r w:rsidR="00706461" w:rsidRPr="00283CEC">
        <w:t>eritage</w:t>
      </w:r>
      <w:bookmarkEnd w:id="73"/>
      <w:r w:rsidR="008F0268" w:rsidRPr="00283CEC">
        <w:t xml:space="preserve"> </w:t>
      </w:r>
    </w:p>
    <w:p w:rsidR="002E6458" w:rsidRPr="00283CEC" w:rsidRDefault="002E6458" w:rsidP="002E6458">
      <w:pPr>
        <w:pStyle w:val="bt"/>
        <w:rPr>
          <w:rStyle w:val="Strong"/>
        </w:rPr>
      </w:pPr>
      <w:r w:rsidRPr="00283CEC">
        <w:rPr>
          <w:rStyle w:val="Strong"/>
        </w:rPr>
        <w:t>Future directions</w:t>
      </w:r>
    </w:p>
    <w:p w:rsidR="002E6458" w:rsidRPr="00283CEC" w:rsidRDefault="002E6458" w:rsidP="00767431">
      <w:pPr>
        <w:pStyle w:val="btbullet"/>
      </w:pPr>
      <w:r w:rsidRPr="00283CEC">
        <w:t>Manage risks to Gippsland’s communities and economy from natural hazards</w:t>
      </w:r>
    </w:p>
    <w:p w:rsidR="002E6458" w:rsidRPr="00283CEC" w:rsidRDefault="002E6458" w:rsidP="00767431">
      <w:pPr>
        <w:pStyle w:val="btbullet"/>
      </w:pPr>
      <w:r w:rsidRPr="00283CEC">
        <w:t>Manage Gippsland’s environmental and heritage assets to achieve the best outcomes for the region’s environment, economy and community</w:t>
      </w:r>
    </w:p>
    <w:p w:rsidR="002E6458" w:rsidRPr="00283CEC" w:rsidRDefault="002E6458" w:rsidP="00767431">
      <w:pPr>
        <w:pStyle w:val="btbullet"/>
      </w:pPr>
      <w:r w:rsidRPr="00283CEC">
        <w:t xml:space="preserve">Plan for potential impacts and opportunities arising from climate change and </w:t>
      </w:r>
      <w:r w:rsidR="005F29B2" w:rsidRPr="00283CEC">
        <w:t>initiatives that support national and global action to reduce greenhouse gas emissions</w:t>
      </w:r>
    </w:p>
    <w:p w:rsidR="003468E1" w:rsidRPr="00283CEC" w:rsidRDefault="003468E1" w:rsidP="002E6458">
      <w:pPr>
        <w:pStyle w:val="bt"/>
      </w:pPr>
      <w:r w:rsidRPr="00283CEC">
        <w:t>The Gippsland region has rich and diverse environmental and</w:t>
      </w:r>
      <w:r w:rsidR="00A54382" w:rsidRPr="00283CEC">
        <w:t xml:space="preserve"> cultural</w:t>
      </w:r>
      <w:r w:rsidRPr="00283CEC">
        <w:t xml:space="preserve"> heritage assets.</w:t>
      </w:r>
      <w:r w:rsidR="006D3398" w:rsidRPr="00283CEC">
        <w:t xml:space="preserve"> The</w:t>
      </w:r>
      <w:r w:rsidRPr="00283CEC">
        <w:t xml:space="preserve"> </w:t>
      </w:r>
      <w:r w:rsidR="00804CAA" w:rsidRPr="00283CEC">
        <w:rPr>
          <w:rStyle w:val="Emphasis"/>
          <w:i w:val="0"/>
        </w:rPr>
        <w:t>Gippsland Regional Plan</w:t>
      </w:r>
      <w:r w:rsidR="00804CAA" w:rsidRPr="00283CEC">
        <w:t xml:space="preserve"> </w:t>
      </w:r>
      <w:r w:rsidRPr="00283CEC">
        <w:t xml:space="preserve">recognises </w:t>
      </w:r>
      <w:r w:rsidR="00E2226F" w:rsidRPr="00283CEC">
        <w:t xml:space="preserve">that the </w:t>
      </w:r>
      <w:r w:rsidRPr="00283CEC">
        <w:t xml:space="preserve">diversity of landscapes </w:t>
      </w:r>
      <w:r w:rsidR="00E2226F" w:rsidRPr="00283CEC">
        <w:t xml:space="preserve">in Gippsland </w:t>
      </w:r>
      <w:r w:rsidRPr="00283CEC">
        <w:t>underpins its prosperity and liv</w:t>
      </w:r>
      <w:r w:rsidR="00FB210B" w:rsidRPr="00283CEC">
        <w:t xml:space="preserve">eability and </w:t>
      </w:r>
      <w:r w:rsidR="00E2226F" w:rsidRPr="00283CEC">
        <w:t xml:space="preserve">acknowledges </w:t>
      </w:r>
      <w:r w:rsidR="00FB210B" w:rsidRPr="00283CEC">
        <w:t xml:space="preserve">these environmental </w:t>
      </w:r>
      <w:r w:rsidRPr="00283CEC">
        <w:t xml:space="preserve">assets are central to the region’s sustainability. Priorities in the </w:t>
      </w:r>
      <w:r w:rsidR="00FF4BF6" w:rsidRPr="00283CEC">
        <w:rPr>
          <w:rStyle w:val="Emphasis"/>
          <w:i w:val="0"/>
        </w:rPr>
        <w:t>Gippsland Regional Plan</w:t>
      </w:r>
      <w:r w:rsidR="00FF4BF6" w:rsidRPr="00283CEC">
        <w:rPr>
          <w:szCs w:val="20"/>
        </w:rPr>
        <w:t xml:space="preserve"> </w:t>
      </w:r>
      <w:r w:rsidRPr="00283CEC">
        <w:t xml:space="preserve">aim to capitalise on these </w:t>
      </w:r>
      <w:r w:rsidR="00FB210B" w:rsidRPr="00283CEC">
        <w:t>environmental</w:t>
      </w:r>
      <w:r w:rsidRPr="00283CEC">
        <w:t xml:space="preserve"> assets, particularly:</w:t>
      </w:r>
    </w:p>
    <w:p w:rsidR="003468E1" w:rsidRPr="00283CEC" w:rsidRDefault="00E2226F" w:rsidP="00767431">
      <w:pPr>
        <w:pStyle w:val="btbullet"/>
      </w:pPr>
      <w:r w:rsidRPr="00283CEC">
        <w:t>t</w:t>
      </w:r>
      <w:r w:rsidR="003468E1" w:rsidRPr="00283CEC">
        <w:t>he Gippsland Lakes as a significant attractor, and the need to improve the ecological health of the</w:t>
      </w:r>
      <w:r w:rsidR="00383770" w:rsidRPr="00283CEC">
        <w:t xml:space="preserve"> lakes system</w:t>
      </w:r>
    </w:p>
    <w:p w:rsidR="00383770" w:rsidRPr="00283CEC" w:rsidRDefault="00E2226F" w:rsidP="00767431">
      <w:pPr>
        <w:pStyle w:val="btbullet"/>
      </w:pPr>
      <w:proofErr w:type="gramStart"/>
      <w:r w:rsidRPr="00283CEC">
        <w:t>n</w:t>
      </w:r>
      <w:r w:rsidR="00383770" w:rsidRPr="00283CEC">
        <w:t>ational</w:t>
      </w:r>
      <w:proofErr w:type="gramEnd"/>
      <w:r w:rsidR="00383770" w:rsidRPr="00283CEC">
        <w:t xml:space="preserve"> </w:t>
      </w:r>
      <w:r w:rsidRPr="00283CEC">
        <w:t>p</w:t>
      </w:r>
      <w:r w:rsidR="00383770" w:rsidRPr="00283CEC">
        <w:t>arks and coastal parks</w:t>
      </w:r>
      <w:r w:rsidRPr="00283CEC">
        <w:t xml:space="preserve"> such as Wilsons Promontory</w:t>
      </w:r>
      <w:r w:rsidR="00383770" w:rsidRPr="00283CEC">
        <w:t>, and opportunities to leverage investment in nature-based tourism</w:t>
      </w:r>
      <w:r w:rsidR="00490925" w:rsidRPr="00283CEC">
        <w:t>.</w:t>
      </w:r>
    </w:p>
    <w:p w:rsidR="00B94822" w:rsidRPr="00283CEC" w:rsidRDefault="00E2226F" w:rsidP="002E6458">
      <w:pPr>
        <w:pStyle w:val="bt"/>
      </w:pPr>
      <w:r w:rsidRPr="00283CEC">
        <w:t>E</w:t>
      </w:r>
      <w:r w:rsidR="003468E1" w:rsidRPr="00283CEC">
        <w:t xml:space="preserve">ffective management of </w:t>
      </w:r>
      <w:r w:rsidRPr="00283CEC">
        <w:t xml:space="preserve">Gippsland’s </w:t>
      </w:r>
      <w:r w:rsidR="00FB210B" w:rsidRPr="00283CEC">
        <w:t>environmental</w:t>
      </w:r>
      <w:r w:rsidR="003468E1" w:rsidRPr="00283CEC">
        <w:t xml:space="preserve"> and </w:t>
      </w:r>
      <w:r w:rsidR="00A54382" w:rsidRPr="00283CEC">
        <w:t xml:space="preserve">cultural </w:t>
      </w:r>
      <w:r w:rsidR="003468E1" w:rsidRPr="00283CEC">
        <w:t xml:space="preserve">heritage assets </w:t>
      </w:r>
      <w:r w:rsidRPr="00283CEC">
        <w:t xml:space="preserve">will </w:t>
      </w:r>
      <w:r w:rsidR="003B2B5F" w:rsidRPr="00283CEC">
        <w:t xml:space="preserve">help </w:t>
      </w:r>
      <w:r w:rsidR="003468E1" w:rsidRPr="00283CEC">
        <w:t xml:space="preserve">maintain its capacity to provide primary production </w:t>
      </w:r>
      <w:r w:rsidR="00383770" w:rsidRPr="00283CEC">
        <w:t>output</w:t>
      </w:r>
      <w:r w:rsidR="003468E1" w:rsidRPr="00283CEC">
        <w:t>, facilitate transition to a low</w:t>
      </w:r>
      <w:r w:rsidRPr="00283CEC">
        <w:t>-</w:t>
      </w:r>
      <w:r w:rsidR="003468E1" w:rsidRPr="00283CEC">
        <w:t>carbon economy, and protect critical water and tourism assets.</w:t>
      </w:r>
      <w:r w:rsidR="00B72077" w:rsidRPr="00283CEC">
        <w:t xml:space="preserve"> The </w:t>
      </w:r>
      <w:r w:rsidR="00FF4BF6" w:rsidRPr="00283CEC">
        <w:t>s</w:t>
      </w:r>
      <w:r w:rsidR="00B72077" w:rsidRPr="00283CEC">
        <w:t xml:space="preserve">trategic </w:t>
      </w:r>
      <w:r w:rsidR="00FF4BF6" w:rsidRPr="00283CEC">
        <w:t>t</w:t>
      </w:r>
      <w:r w:rsidR="00B72077" w:rsidRPr="00283CEC">
        <w:t xml:space="preserve">ourism </w:t>
      </w:r>
      <w:r w:rsidR="00FF4BF6" w:rsidRPr="00283CEC">
        <w:t>i</w:t>
      </w:r>
      <w:r w:rsidR="00B72077" w:rsidRPr="00283CEC">
        <w:t xml:space="preserve">nvestment </w:t>
      </w:r>
      <w:r w:rsidR="00FF4BF6" w:rsidRPr="00283CEC">
        <w:t>a</w:t>
      </w:r>
      <w:r w:rsidR="00B72077" w:rsidRPr="00283CEC">
        <w:t xml:space="preserve">reas </w:t>
      </w:r>
      <w:r w:rsidRPr="00283CEC">
        <w:t xml:space="preserve">mentioned in </w:t>
      </w:r>
      <w:r w:rsidR="00D478DE" w:rsidRPr="00283CEC">
        <w:t xml:space="preserve">Section </w:t>
      </w:r>
      <w:r w:rsidR="007A7665" w:rsidRPr="00283CEC">
        <w:t xml:space="preserve">11.1 of </w:t>
      </w:r>
      <w:r w:rsidRPr="00283CEC">
        <w:t xml:space="preserve">this </w:t>
      </w:r>
      <w:r w:rsidR="00FF4BF6" w:rsidRPr="00283CEC">
        <w:t>p</w:t>
      </w:r>
      <w:r w:rsidRPr="00283CEC">
        <w:t xml:space="preserve">lan will </w:t>
      </w:r>
      <w:r w:rsidR="003B2B5F" w:rsidRPr="00283CEC">
        <w:t xml:space="preserve">also </w:t>
      </w:r>
      <w:r w:rsidRPr="00283CEC">
        <w:t xml:space="preserve">help </w:t>
      </w:r>
      <w:r w:rsidR="00B72077" w:rsidRPr="00283CEC">
        <w:t>support</w:t>
      </w:r>
      <w:r w:rsidR="003B2B5F" w:rsidRPr="00283CEC">
        <w:t xml:space="preserve"> these activities</w:t>
      </w:r>
      <w:r w:rsidR="00B72077" w:rsidRPr="00283CEC">
        <w:t>.</w:t>
      </w:r>
    </w:p>
    <w:p w:rsidR="00FB210B" w:rsidRPr="00283CEC" w:rsidRDefault="00BB037C" w:rsidP="002E6458">
      <w:pPr>
        <w:pStyle w:val="bt"/>
      </w:pPr>
      <w:r w:rsidRPr="00283CEC">
        <w:t xml:space="preserve">There are four </w:t>
      </w:r>
      <w:r w:rsidR="00FF4BF6" w:rsidRPr="00283CEC">
        <w:t>c</w:t>
      </w:r>
      <w:r w:rsidRPr="00283CEC">
        <w:t xml:space="preserve">atchment </w:t>
      </w:r>
      <w:r w:rsidR="00FF4BF6" w:rsidRPr="00283CEC">
        <w:t>m</w:t>
      </w:r>
      <w:r w:rsidRPr="00283CEC">
        <w:t xml:space="preserve">anagement </w:t>
      </w:r>
      <w:r w:rsidR="00FF4BF6" w:rsidRPr="00283CEC">
        <w:t>a</w:t>
      </w:r>
      <w:r w:rsidRPr="00283CEC">
        <w:t xml:space="preserve">uthorities that </w:t>
      </w:r>
      <w:r w:rsidR="003B2B5F" w:rsidRPr="00283CEC">
        <w:t>cover</w:t>
      </w:r>
      <w:r w:rsidRPr="00283CEC">
        <w:t xml:space="preserve"> the Gippsland region: </w:t>
      </w:r>
      <w:r w:rsidR="00494BC9" w:rsidRPr="00283CEC">
        <w:t>East Gippsland</w:t>
      </w:r>
      <w:r w:rsidR="00AB0206" w:rsidRPr="00283CEC">
        <w:t xml:space="preserve">; </w:t>
      </w:r>
      <w:r w:rsidR="00494BC9" w:rsidRPr="00283CEC">
        <w:t>West Gippsland</w:t>
      </w:r>
      <w:r w:rsidR="00AB0206" w:rsidRPr="00283CEC">
        <w:t xml:space="preserve">; </w:t>
      </w:r>
      <w:r w:rsidRPr="00283CEC">
        <w:t>Por</w:t>
      </w:r>
      <w:r w:rsidR="00494BC9" w:rsidRPr="00283CEC">
        <w:t>t Phillip and Western Port</w:t>
      </w:r>
      <w:r w:rsidR="00AB0206" w:rsidRPr="00283CEC">
        <w:t xml:space="preserve">; </w:t>
      </w:r>
      <w:r w:rsidR="00505A11" w:rsidRPr="00283CEC">
        <w:t xml:space="preserve">and </w:t>
      </w:r>
      <w:r w:rsidR="00494BC9" w:rsidRPr="00283CEC">
        <w:t>North East</w:t>
      </w:r>
      <w:r w:rsidR="00505A11" w:rsidRPr="00283CEC">
        <w:t xml:space="preserve">. </w:t>
      </w:r>
      <w:r w:rsidRPr="00283CEC">
        <w:t>The</w:t>
      </w:r>
      <w:r w:rsidR="003B2B5F" w:rsidRPr="00283CEC">
        <w:t>se</w:t>
      </w:r>
      <w:r w:rsidRPr="00283CEC">
        <w:t xml:space="preserve"> </w:t>
      </w:r>
      <w:r w:rsidR="00FF57A8" w:rsidRPr="00283CEC">
        <w:t xml:space="preserve">catchment management authorities </w:t>
      </w:r>
      <w:r w:rsidRPr="00283CEC">
        <w:t>invest</w:t>
      </w:r>
      <w:r w:rsidR="003B2B5F" w:rsidRPr="00283CEC">
        <w:t xml:space="preserve"> in</w:t>
      </w:r>
      <w:r w:rsidRPr="00283CEC">
        <w:t xml:space="preserve"> the protection and enhancement of the environment throughout the region, along with public land managers</w:t>
      </w:r>
      <w:r w:rsidR="00B97A1B" w:rsidRPr="00283CEC">
        <w:t xml:space="preserve"> and bodies such as</w:t>
      </w:r>
      <w:r w:rsidR="00AB0206" w:rsidRPr="00283CEC">
        <w:t xml:space="preserve"> the</w:t>
      </w:r>
      <w:r w:rsidR="00B97A1B" w:rsidRPr="00283CEC">
        <w:t xml:space="preserve"> Gippsland Coastal Board</w:t>
      </w:r>
      <w:r w:rsidRPr="00283CEC">
        <w:t xml:space="preserve">. Regional </w:t>
      </w:r>
      <w:r w:rsidR="00FF4BF6" w:rsidRPr="00283CEC">
        <w:t>c</w:t>
      </w:r>
      <w:r w:rsidRPr="00283CEC">
        <w:t xml:space="preserve">atchment </w:t>
      </w:r>
      <w:r w:rsidR="00FF4BF6" w:rsidRPr="00283CEC">
        <w:t>s</w:t>
      </w:r>
      <w:r w:rsidRPr="00283CEC">
        <w:t xml:space="preserve">trategies are the primary integrated regional strategies for achieving improved environmental outcomes in the region. Regionally significant environmental assets </w:t>
      </w:r>
      <w:r w:rsidR="00FB210B" w:rsidRPr="00283CEC">
        <w:t xml:space="preserve">identified in this </w:t>
      </w:r>
      <w:r w:rsidR="00FF4BF6" w:rsidRPr="00283CEC">
        <w:t>p</w:t>
      </w:r>
      <w:r w:rsidR="00FB210B" w:rsidRPr="00283CEC">
        <w:t xml:space="preserve">lan align with those identified in the </w:t>
      </w:r>
      <w:r w:rsidR="00FF4BF6" w:rsidRPr="00283CEC">
        <w:t>regional catchment strategies</w:t>
      </w:r>
      <w:r w:rsidR="00FB210B" w:rsidRPr="00283CEC">
        <w:t xml:space="preserve">. </w:t>
      </w:r>
      <w:r w:rsidR="00AA514A" w:rsidRPr="00283CEC">
        <w:t>This plan complements catchment management authority initiatives by encouraging appropriate land use planning mechanisms that recognise and respond to regionally significant environmental assets.</w:t>
      </w:r>
    </w:p>
    <w:p w:rsidR="00D30191" w:rsidRPr="00283CEC" w:rsidRDefault="00AA514A" w:rsidP="002E6458">
      <w:pPr>
        <w:pStyle w:val="bt"/>
      </w:pPr>
      <w:r w:rsidRPr="00283CEC">
        <w:t xml:space="preserve">The Gippsland Coastal Board manages strategic coastal and marine planning issues for the Gippsland coast between San Remo and the New South Wales border. The Gippsland Coastal Board has developed coastal action plans to manage key issues and areas along its coast. The three coastal management authorities also undertake activities to investigate and protect the marine assets adjacent to their regions. </w:t>
      </w:r>
    </w:p>
    <w:p w:rsidR="002226F3" w:rsidRPr="00283CEC" w:rsidRDefault="002226F3" w:rsidP="002E6458">
      <w:pPr>
        <w:pStyle w:val="bt"/>
      </w:pPr>
      <w:r w:rsidRPr="00283CEC">
        <w:t>Registered Aboriginal Parties will have an important role in planning place-based activity and development, and there are benefits to engaging with the relevant Aboriginal</w:t>
      </w:r>
      <w:r w:rsidR="007A7665" w:rsidRPr="00283CEC">
        <w:rPr>
          <w:rStyle w:val="FootnoteReference"/>
        </w:rPr>
        <w:footnoteReference w:id="2"/>
      </w:r>
      <w:r w:rsidRPr="00283CEC">
        <w:t xml:space="preserve"> community organisations early in strategic planning processes. Currently the </w:t>
      </w:r>
      <w:proofErr w:type="spellStart"/>
      <w:r w:rsidRPr="00283CEC">
        <w:t>Gunaikurnai</w:t>
      </w:r>
      <w:proofErr w:type="spellEnd"/>
      <w:r w:rsidRPr="00283CEC">
        <w:t xml:space="preserve"> Land and Waters Aboriginal Corporation, </w:t>
      </w:r>
      <w:proofErr w:type="spellStart"/>
      <w:r w:rsidRPr="00283CEC">
        <w:t>Wurundjeri</w:t>
      </w:r>
      <w:proofErr w:type="spellEnd"/>
      <w:r w:rsidRPr="00283CEC">
        <w:t xml:space="preserve"> Tribe Land and Compensation Cultural Heritage Council and the </w:t>
      </w:r>
      <w:proofErr w:type="spellStart"/>
      <w:r w:rsidRPr="00283CEC">
        <w:t>Ta</w:t>
      </w:r>
      <w:r w:rsidR="007A7665" w:rsidRPr="00283CEC">
        <w:t>u</w:t>
      </w:r>
      <w:r w:rsidRPr="00283CEC">
        <w:t>ngurung</w:t>
      </w:r>
      <w:proofErr w:type="spellEnd"/>
      <w:r w:rsidRPr="00283CEC">
        <w:t xml:space="preserve"> Clans Aboriginal Corporation have legislated responsibilities relating to the management of Aboriginal cultural heritage places in the Gippsland </w:t>
      </w:r>
      <w:r w:rsidR="00FF4BF6" w:rsidRPr="00283CEC">
        <w:t>r</w:t>
      </w:r>
      <w:r w:rsidRPr="00283CEC">
        <w:t xml:space="preserve">egion. This arrangement recognises the key role that Aboriginal people have in the protection and management of significant Aboriginal cultural heritage places. Native title is also held </w:t>
      </w:r>
      <w:r w:rsidR="00EE0D28" w:rsidRPr="00283CEC">
        <w:t xml:space="preserve">by the </w:t>
      </w:r>
      <w:proofErr w:type="spellStart"/>
      <w:r w:rsidR="00EE0D28" w:rsidRPr="00283CEC">
        <w:t>Gunaikurani</w:t>
      </w:r>
      <w:proofErr w:type="spellEnd"/>
      <w:r w:rsidR="00EE0D28" w:rsidRPr="00283CEC">
        <w:t xml:space="preserve"> People </w:t>
      </w:r>
      <w:r w:rsidRPr="00283CEC">
        <w:t xml:space="preserve">over </w:t>
      </w:r>
      <w:r w:rsidR="0023396D" w:rsidRPr="00283CEC">
        <w:t xml:space="preserve">Crown </w:t>
      </w:r>
      <w:r w:rsidRPr="00283CEC">
        <w:t>land in a significant portion of the region.</w:t>
      </w:r>
    </w:p>
    <w:p w:rsidR="00505A11" w:rsidRPr="00283CEC" w:rsidRDefault="00FB210B" w:rsidP="002E6458">
      <w:pPr>
        <w:pStyle w:val="bt"/>
      </w:pPr>
      <w:r w:rsidRPr="00283CEC">
        <w:t>Key areas where potential growth or land use change may intersect with environmental and</w:t>
      </w:r>
      <w:r w:rsidR="00A54382" w:rsidRPr="00283CEC">
        <w:t xml:space="preserve"> cultural</w:t>
      </w:r>
      <w:r w:rsidRPr="00283CEC">
        <w:t xml:space="preserve"> heritage assets have been identified. Natural hazards have been mapped and form part of the considerations for urban growth. This </w:t>
      </w:r>
      <w:r w:rsidR="00FF4BF6" w:rsidRPr="00283CEC">
        <w:t>p</w:t>
      </w:r>
      <w:r w:rsidRPr="00283CEC">
        <w:t>lan provides direction on these issues.</w:t>
      </w:r>
    </w:p>
    <w:p w:rsidR="00DB3528" w:rsidRPr="00283CEC" w:rsidRDefault="004E68C2" w:rsidP="002E6458">
      <w:pPr>
        <w:pStyle w:val="bt"/>
        <w:rPr>
          <w:rFonts w:cs="Calibri"/>
          <w:szCs w:val="20"/>
        </w:rPr>
      </w:pPr>
      <w:r w:rsidRPr="00283CEC">
        <w:t>T</w:t>
      </w:r>
      <w:r w:rsidR="00F22D0E" w:rsidRPr="00283CEC">
        <w:t xml:space="preserve">he </w:t>
      </w:r>
      <w:r w:rsidRPr="00283CEC">
        <w:t xml:space="preserve">region will </w:t>
      </w:r>
      <w:r w:rsidR="00F22D0E" w:rsidRPr="00283CEC">
        <w:t xml:space="preserve">draw on environment and </w:t>
      </w:r>
      <w:r w:rsidR="00A54382" w:rsidRPr="00283CEC">
        <w:t xml:space="preserve">cultural </w:t>
      </w:r>
      <w:r w:rsidR="00F22D0E" w:rsidRPr="00283CEC">
        <w:t>heritage assets by enabling appropriate tourism, settlement and economic diversification opportunities, while protecting and maintainin</w:t>
      </w:r>
      <w:r w:rsidRPr="00283CEC">
        <w:t xml:space="preserve">g environmental </w:t>
      </w:r>
      <w:r w:rsidR="00C3725B" w:rsidRPr="00283CEC">
        <w:t xml:space="preserve">and cultural heritage </w:t>
      </w:r>
      <w:r w:rsidRPr="00283CEC">
        <w:t>assets. This will be achieved by directing settlement growth and development to minimise impacts on high value environment</w:t>
      </w:r>
      <w:r w:rsidR="00FF4BF6" w:rsidRPr="00283CEC">
        <w:t>s</w:t>
      </w:r>
      <w:r w:rsidRPr="00283CEC">
        <w:t xml:space="preserve"> and</w:t>
      </w:r>
      <w:r w:rsidR="008C1B27" w:rsidRPr="00283CEC">
        <w:t xml:space="preserve"> cultural</w:t>
      </w:r>
      <w:r w:rsidRPr="00283CEC">
        <w:t xml:space="preserve"> heritage assets, and to avoid areas subject to high</w:t>
      </w:r>
      <w:r w:rsidR="00B64000" w:rsidRPr="00283CEC">
        <w:t xml:space="preserve"> risk from</w:t>
      </w:r>
      <w:r w:rsidRPr="00283CEC">
        <w:t xml:space="preserve"> natural hazards by utilising appropriate land use planning mechanisms to complement other natural resource management objectives and activities.</w:t>
      </w:r>
    </w:p>
    <w:p w:rsidR="00C416B8" w:rsidRPr="00FD3393" w:rsidRDefault="008137CF" w:rsidP="002E6458">
      <w:pPr>
        <w:pStyle w:val="bt"/>
      </w:pPr>
      <w:r w:rsidRPr="00283CEC">
        <w:rPr>
          <w:rFonts w:cs="Calibri"/>
          <w:szCs w:val="20"/>
        </w:rPr>
        <w:t>T</w:t>
      </w:r>
      <w:r w:rsidR="00C416B8" w:rsidRPr="00283CEC">
        <w:rPr>
          <w:rFonts w:cs="Calibri"/>
          <w:szCs w:val="20"/>
        </w:rPr>
        <w:t>here are many areas that require detailed planning consideration before progressing with urban growth proposals. These planning considerati</w:t>
      </w:r>
      <w:r w:rsidR="00D60804" w:rsidRPr="00283CEC">
        <w:rPr>
          <w:rFonts w:cs="Calibri"/>
          <w:szCs w:val="20"/>
        </w:rPr>
        <w:t xml:space="preserve">ons are illustrated on </w:t>
      </w:r>
      <w:r w:rsidR="00AD704A">
        <w:rPr>
          <w:rFonts w:cs="Calibri"/>
          <w:szCs w:val="20"/>
        </w:rPr>
        <w:t>Map 8</w:t>
      </w:r>
      <w:r w:rsidR="00FF2EF6">
        <w:rPr>
          <w:rFonts w:cs="Calibri"/>
          <w:szCs w:val="20"/>
        </w:rPr>
        <w:t xml:space="preserve"> </w:t>
      </w:r>
      <w:r w:rsidR="00490925" w:rsidRPr="00283CEC">
        <w:rPr>
          <w:rFonts w:cs="Calibri"/>
          <w:szCs w:val="20"/>
        </w:rPr>
        <w:t>and</w:t>
      </w:r>
      <w:r w:rsidR="00C416B8" w:rsidRPr="00283CEC">
        <w:rPr>
          <w:rFonts w:cs="Calibri"/>
          <w:szCs w:val="20"/>
        </w:rPr>
        <w:t xml:space="preserve"> explored </w:t>
      </w:r>
      <w:r w:rsidR="00AB28FC" w:rsidRPr="00283CEC">
        <w:rPr>
          <w:rFonts w:cs="Calibri"/>
          <w:szCs w:val="20"/>
        </w:rPr>
        <w:t xml:space="preserve">further </w:t>
      </w:r>
      <w:r w:rsidR="00490925" w:rsidRPr="00283CEC">
        <w:rPr>
          <w:rFonts w:cs="Calibri"/>
          <w:szCs w:val="20"/>
        </w:rPr>
        <w:t xml:space="preserve">in </w:t>
      </w:r>
      <w:r w:rsidR="0023396D" w:rsidRPr="00283CEC">
        <w:rPr>
          <w:rFonts w:cs="Calibri"/>
          <w:szCs w:val="20"/>
        </w:rPr>
        <w:t xml:space="preserve">Section </w:t>
      </w:r>
      <w:r w:rsidR="00C416B8" w:rsidRPr="00283CEC">
        <w:rPr>
          <w:rFonts w:cs="Calibri"/>
          <w:szCs w:val="20"/>
        </w:rPr>
        <w:t>12.</w:t>
      </w:r>
      <w:r w:rsidR="00AB28FC" w:rsidRPr="00283CEC">
        <w:rPr>
          <w:rFonts w:cs="Calibri"/>
          <w:szCs w:val="20"/>
        </w:rPr>
        <w:t>1</w:t>
      </w:r>
      <w:r w:rsidR="00D15DC5" w:rsidRPr="00283CEC">
        <w:rPr>
          <w:rFonts w:cs="Calibri"/>
          <w:szCs w:val="20"/>
        </w:rPr>
        <w:t xml:space="preserve"> </w:t>
      </w:r>
      <w:r w:rsidR="00C416B8" w:rsidRPr="00283CEC">
        <w:rPr>
          <w:rFonts w:cs="Calibri"/>
          <w:szCs w:val="20"/>
        </w:rPr>
        <w:t>Environment</w:t>
      </w:r>
      <w:r w:rsidR="00C3725B" w:rsidRPr="00283CEC">
        <w:rPr>
          <w:rFonts w:cs="Calibri"/>
          <w:szCs w:val="20"/>
        </w:rPr>
        <w:t xml:space="preserve"> and heritage</w:t>
      </w:r>
      <w:r w:rsidR="00C416B8" w:rsidRPr="00283CEC">
        <w:rPr>
          <w:rFonts w:cs="Calibri"/>
          <w:szCs w:val="20"/>
        </w:rPr>
        <w:t xml:space="preserve"> </w:t>
      </w:r>
      <w:r w:rsidR="00AD2216" w:rsidRPr="00283CEC">
        <w:rPr>
          <w:rFonts w:cs="Calibri"/>
          <w:szCs w:val="20"/>
        </w:rPr>
        <w:t>a</w:t>
      </w:r>
      <w:r w:rsidR="00AB28FC" w:rsidRPr="00283CEC">
        <w:rPr>
          <w:rFonts w:cs="Calibri"/>
          <w:szCs w:val="20"/>
        </w:rPr>
        <w:t>ssets</w:t>
      </w:r>
      <w:r w:rsidR="0023396D" w:rsidRPr="00283CEC">
        <w:rPr>
          <w:rFonts w:cs="Calibri"/>
          <w:szCs w:val="20"/>
        </w:rPr>
        <w:t>,</w:t>
      </w:r>
      <w:r w:rsidR="00AB28FC" w:rsidRPr="00283CEC">
        <w:rPr>
          <w:rFonts w:cs="Calibri"/>
          <w:szCs w:val="20"/>
        </w:rPr>
        <w:t xml:space="preserve"> and in </w:t>
      </w:r>
      <w:r w:rsidR="0023396D" w:rsidRPr="00283CEC">
        <w:rPr>
          <w:rFonts w:cs="Calibri"/>
          <w:szCs w:val="20"/>
        </w:rPr>
        <w:t xml:space="preserve">Section </w:t>
      </w:r>
      <w:r w:rsidR="00AB28FC" w:rsidRPr="00283CEC">
        <w:rPr>
          <w:rFonts w:cs="Calibri"/>
          <w:szCs w:val="20"/>
        </w:rPr>
        <w:t>12.2</w:t>
      </w:r>
      <w:r w:rsidR="00D15DC5" w:rsidRPr="00283CEC">
        <w:rPr>
          <w:rFonts w:cs="Calibri"/>
          <w:szCs w:val="20"/>
        </w:rPr>
        <w:t xml:space="preserve"> </w:t>
      </w:r>
      <w:r w:rsidR="00AB28FC" w:rsidRPr="00283CEC">
        <w:rPr>
          <w:rFonts w:cs="Calibri"/>
          <w:szCs w:val="20"/>
        </w:rPr>
        <w:t xml:space="preserve">Natural </w:t>
      </w:r>
      <w:r w:rsidR="00AD2216" w:rsidRPr="00283CEC">
        <w:rPr>
          <w:rFonts w:cs="Calibri"/>
          <w:szCs w:val="20"/>
        </w:rPr>
        <w:t>h</w:t>
      </w:r>
      <w:r w:rsidR="00AB28FC" w:rsidRPr="00283CEC">
        <w:rPr>
          <w:rFonts w:cs="Calibri"/>
          <w:szCs w:val="20"/>
        </w:rPr>
        <w:t xml:space="preserve">azards and </w:t>
      </w:r>
      <w:r w:rsidR="00AD2216" w:rsidRPr="00283CEC">
        <w:rPr>
          <w:rFonts w:cs="Calibri"/>
          <w:szCs w:val="20"/>
        </w:rPr>
        <w:t>r</w:t>
      </w:r>
      <w:r w:rsidR="00AB28FC" w:rsidRPr="00283CEC">
        <w:rPr>
          <w:rFonts w:cs="Calibri"/>
          <w:szCs w:val="20"/>
        </w:rPr>
        <w:t>isks</w:t>
      </w:r>
      <w:r w:rsidR="00C416B8" w:rsidRPr="00283CEC">
        <w:rPr>
          <w:rFonts w:cs="Calibri"/>
          <w:szCs w:val="20"/>
        </w:rPr>
        <w:t>.</w:t>
      </w:r>
    </w:p>
    <w:p w:rsidR="00C416B8" w:rsidRPr="00283CEC" w:rsidRDefault="00AB28FC" w:rsidP="002E6458">
      <w:pPr>
        <w:pStyle w:val="Heading2"/>
        <w:rPr>
          <w:color w:val="auto"/>
          <w:szCs w:val="20"/>
        </w:rPr>
      </w:pPr>
      <w:bookmarkStart w:id="74" w:name="_Toc376791247"/>
      <w:r w:rsidRPr="00283CEC">
        <w:rPr>
          <w:color w:val="auto"/>
        </w:rPr>
        <w:t>Environment and heritage</w:t>
      </w:r>
      <w:r w:rsidR="00C416B8" w:rsidRPr="00283CEC">
        <w:rPr>
          <w:color w:val="auto"/>
        </w:rPr>
        <w:t xml:space="preserve"> assets</w:t>
      </w:r>
      <w:bookmarkEnd w:id="74"/>
    </w:p>
    <w:p w:rsidR="001445D6" w:rsidRPr="00283CEC" w:rsidRDefault="00C416B8" w:rsidP="002E6458">
      <w:pPr>
        <w:pStyle w:val="bt"/>
      </w:pPr>
      <w:r w:rsidRPr="00283CEC">
        <w:t xml:space="preserve">Environment </w:t>
      </w:r>
      <w:r w:rsidR="001843C8" w:rsidRPr="00283CEC">
        <w:t xml:space="preserve">and cultural heritage </w:t>
      </w:r>
      <w:r w:rsidRPr="00283CEC">
        <w:t xml:space="preserve">assets are essential to the region’s continued growth, providing foundations and attractors for many industries and people. </w:t>
      </w:r>
      <w:r w:rsidR="00AD2216" w:rsidRPr="00283CEC">
        <w:t>P</w:t>
      </w:r>
      <w:r w:rsidRPr="00283CEC">
        <w:t xml:space="preserve">rotection and enhancement </w:t>
      </w:r>
      <w:r w:rsidR="00AD2216" w:rsidRPr="00283CEC">
        <w:t xml:space="preserve">of these assets </w:t>
      </w:r>
      <w:r w:rsidRPr="00283CEC">
        <w:t xml:space="preserve">present many opportunities within the </w:t>
      </w:r>
      <w:r w:rsidR="00AD2216" w:rsidRPr="00283CEC">
        <w:t xml:space="preserve">Gippsland </w:t>
      </w:r>
      <w:r w:rsidRPr="00283CEC">
        <w:t>region and should not be seen as an obstacle to growth</w:t>
      </w:r>
      <w:r w:rsidR="00490925" w:rsidRPr="00283CEC">
        <w:t xml:space="preserve">, but rather as </w:t>
      </w:r>
      <w:r w:rsidR="00923C4F" w:rsidRPr="00283CEC">
        <w:t xml:space="preserve">part of the </w:t>
      </w:r>
      <w:r w:rsidR="00490925" w:rsidRPr="00283CEC">
        <w:t>sustainable development of the region</w:t>
      </w:r>
      <w:r w:rsidRPr="00283CEC">
        <w:t>.</w:t>
      </w:r>
    </w:p>
    <w:p w:rsidR="00BE57BC" w:rsidRPr="00283CEC" w:rsidRDefault="001D3C17" w:rsidP="002E6458">
      <w:pPr>
        <w:pStyle w:val="bt"/>
      </w:pPr>
      <w:r w:rsidRPr="00283CEC">
        <w:t xml:space="preserve">The region’s wilderness areas and </w:t>
      </w:r>
      <w:r w:rsidR="00AD2216" w:rsidRPr="00283CEC">
        <w:t>n</w:t>
      </w:r>
      <w:r w:rsidRPr="00283CEC">
        <w:t xml:space="preserve">ational </w:t>
      </w:r>
      <w:r w:rsidR="00AD2216" w:rsidRPr="00283CEC">
        <w:t>p</w:t>
      </w:r>
      <w:r w:rsidRPr="00283CEC">
        <w:t xml:space="preserve">arks also have inherent value as places </w:t>
      </w:r>
      <w:r w:rsidR="00923C4F" w:rsidRPr="00283CEC">
        <w:t xml:space="preserve">where people can </w:t>
      </w:r>
      <w:r w:rsidRPr="00283CEC">
        <w:t>connect to the natural world, appreciat</w:t>
      </w:r>
      <w:r w:rsidR="00923C4F" w:rsidRPr="00283CEC">
        <w:t xml:space="preserve">e the </w:t>
      </w:r>
      <w:r w:rsidRPr="00283CEC">
        <w:t>landscape</w:t>
      </w:r>
      <w:r w:rsidR="00923C4F" w:rsidRPr="00283CEC">
        <w:t xml:space="preserve">, and </w:t>
      </w:r>
      <w:r w:rsidRPr="00283CEC">
        <w:t xml:space="preserve">observe and interact with </w:t>
      </w:r>
      <w:r w:rsidR="00923C4F" w:rsidRPr="00283CEC">
        <w:t xml:space="preserve">native </w:t>
      </w:r>
      <w:r w:rsidRPr="00283CEC">
        <w:t>wildlife. They provide unique experience</w:t>
      </w:r>
      <w:r w:rsidR="00923C4F" w:rsidRPr="00283CEC">
        <w:t>s</w:t>
      </w:r>
      <w:r w:rsidRPr="00283CEC">
        <w:t xml:space="preserve"> that cannot be replicated or replaced in the built environment. Protection of these places and their environmental </w:t>
      </w:r>
      <w:r w:rsidR="001843C8" w:rsidRPr="00283CEC">
        <w:t xml:space="preserve">and cultural heritage </w:t>
      </w:r>
      <w:r w:rsidRPr="00283CEC">
        <w:t>assets acknowledges their value</w:t>
      </w:r>
      <w:r w:rsidR="00B4714B" w:rsidRPr="00283CEC">
        <w:t xml:space="preserve"> and ensure</w:t>
      </w:r>
      <w:r w:rsidR="00923C4F" w:rsidRPr="00283CEC">
        <w:t>s</w:t>
      </w:r>
      <w:r w:rsidR="00B4714B" w:rsidRPr="00283CEC">
        <w:t xml:space="preserve"> they remain intact for </w:t>
      </w:r>
      <w:r w:rsidR="005D244F" w:rsidRPr="00283CEC">
        <w:t xml:space="preserve">the flora and fauna they include, and for </w:t>
      </w:r>
      <w:r w:rsidR="00923C4F" w:rsidRPr="00283CEC">
        <w:t xml:space="preserve">the benefit of </w:t>
      </w:r>
      <w:r w:rsidR="00B4714B" w:rsidRPr="00283CEC">
        <w:t>future generations.</w:t>
      </w:r>
      <w:r w:rsidRPr="00283CEC">
        <w:t xml:space="preserve">  </w:t>
      </w:r>
    </w:p>
    <w:p w:rsidR="00B94822" w:rsidRPr="00283CEC" w:rsidRDefault="008508AC" w:rsidP="00CC3A69">
      <w:pPr>
        <w:pStyle w:val="Heading4"/>
      </w:pPr>
      <w:r w:rsidRPr="00283CEC">
        <w:t>Cultural heritage</w:t>
      </w:r>
    </w:p>
    <w:p w:rsidR="00A54382" w:rsidRPr="00283CEC" w:rsidRDefault="00A54382" w:rsidP="002E6458">
      <w:pPr>
        <w:pStyle w:val="bt"/>
      </w:pPr>
      <w:r w:rsidRPr="00283CEC">
        <w:t xml:space="preserve">Gippsland has a rich and unique cultural heritage linked to gold and coal mining, to its maritime history and </w:t>
      </w:r>
      <w:r w:rsidR="0023396D" w:rsidRPr="00283CEC">
        <w:br/>
      </w:r>
      <w:r w:rsidRPr="00283CEC">
        <w:t xml:space="preserve">to its enduring connection to Aboriginal peoples. Many important Aboriginal </w:t>
      </w:r>
      <w:r w:rsidR="009415E4" w:rsidRPr="00283CEC">
        <w:t xml:space="preserve">cultural heritage </w:t>
      </w:r>
      <w:r w:rsidRPr="00283CEC">
        <w:t xml:space="preserve">and historic heritage </w:t>
      </w:r>
      <w:r w:rsidR="00D676FB" w:rsidRPr="00283CEC">
        <w:t>places</w:t>
      </w:r>
      <w:r w:rsidRPr="00283CEC">
        <w:t xml:space="preserve"> are located within some of </w:t>
      </w:r>
      <w:r w:rsidR="00FF57A8" w:rsidRPr="00283CEC">
        <w:t>Victoria</w:t>
      </w:r>
      <w:r w:rsidRPr="00283CEC">
        <w:t xml:space="preserve">’s </w:t>
      </w:r>
      <w:r w:rsidR="005C0F0F" w:rsidRPr="00283CEC">
        <w:t xml:space="preserve">best </w:t>
      </w:r>
      <w:r w:rsidRPr="00283CEC">
        <w:t xml:space="preserve">known </w:t>
      </w:r>
      <w:r w:rsidR="00FF57A8" w:rsidRPr="00283CEC">
        <w:t>s</w:t>
      </w:r>
      <w:r w:rsidRPr="00283CEC">
        <w:t xml:space="preserve">tate and </w:t>
      </w:r>
      <w:r w:rsidR="00FF57A8" w:rsidRPr="00283CEC">
        <w:t>n</w:t>
      </w:r>
      <w:r w:rsidRPr="00283CEC">
        <w:t xml:space="preserve">ational </w:t>
      </w:r>
      <w:r w:rsidR="00FF57A8" w:rsidRPr="00283CEC">
        <w:t>p</w:t>
      </w:r>
      <w:r w:rsidRPr="00283CEC">
        <w:t xml:space="preserve">arks, including Wilsons Promontory and Cape </w:t>
      </w:r>
      <w:proofErr w:type="spellStart"/>
      <w:r w:rsidRPr="00283CEC">
        <w:t>Conran</w:t>
      </w:r>
      <w:proofErr w:type="spellEnd"/>
      <w:r w:rsidRPr="00283CEC">
        <w:t xml:space="preserve">. Existing Aboriginal cultural heritage experiences in the region include the </w:t>
      </w:r>
      <w:proofErr w:type="spellStart"/>
      <w:r w:rsidRPr="00283CEC">
        <w:t>Bataluk</w:t>
      </w:r>
      <w:proofErr w:type="spellEnd"/>
      <w:r w:rsidRPr="00283CEC">
        <w:t xml:space="preserve"> Cultural Trail. Much of the region’s historic heritage is related to mining. Historic mining sites such as Walhalla, Omeo, </w:t>
      </w:r>
      <w:proofErr w:type="spellStart"/>
      <w:r w:rsidRPr="00283CEC">
        <w:t>Toombon</w:t>
      </w:r>
      <w:proofErr w:type="spellEnd"/>
      <w:r w:rsidRPr="00283CEC">
        <w:t xml:space="preserve"> goldmining precinct and the State Coal Mine in Wonthaggi form part of many tourist driving routes.  </w:t>
      </w:r>
    </w:p>
    <w:p w:rsidR="00A54382" w:rsidRPr="00283CEC" w:rsidRDefault="00A54382" w:rsidP="002E6458">
      <w:pPr>
        <w:pStyle w:val="bt"/>
      </w:pPr>
      <w:r w:rsidRPr="00283CEC">
        <w:t xml:space="preserve">In planning for growth and future land use change, cultural heritage is considered to be a community, economic and social asset. The region’s historic origins and cultural heritage assets are important to contemporary communities and are an integral element in creating a sense of place.  </w:t>
      </w:r>
    </w:p>
    <w:p w:rsidR="00A54382" w:rsidRPr="00283CEC" w:rsidRDefault="00A54382" w:rsidP="002E6458">
      <w:pPr>
        <w:pStyle w:val="bt"/>
      </w:pPr>
      <w:r w:rsidRPr="00283CEC">
        <w:t xml:space="preserve">Many tourists seek heritage tourism experiences. Aboriginal </w:t>
      </w:r>
      <w:r w:rsidR="009415E4" w:rsidRPr="00283CEC">
        <w:t xml:space="preserve">cultural heritage </w:t>
      </w:r>
      <w:r w:rsidRPr="00283CEC">
        <w:t xml:space="preserve">and historic heritage attractions and services contribute to the regional economy and employment. Building a comprehensive sense of place around </w:t>
      </w:r>
      <w:r w:rsidR="008C1B27" w:rsidRPr="00283CEC">
        <w:t xml:space="preserve">cultural </w:t>
      </w:r>
      <w:r w:rsidRPr="00283CEC">
        <w:t>heritage assets is important in developing resilient and sustainable communities.</w:t>
      </w:r>
    </w:p>
    <w:p w:rsidR="00B94822" w:rsidRPr="00283CEC" w:rsidRDefault="008508AC" w:rsidP="00CC3A69">
      <w:pPr>
        <w:pStyle w:val="Heading4"/>
      </w:pPr>
      <w:r w:rsidRPr="00283CEC">
        <w:t>Terrestrial habitat</w:t>
      </w:r>
    </w:p>
    <w:p w:rsidR="00B94822" w:rsidRPr="00283CEC" w:rsidRDefault="00FF57A8" w:rsidP="002E6458">
      <w:pPr>
        <w:pStyle w:val="bt"/>
      </w:pPr>
      <w:r w:rsidRPr="00283CEC">
        <w:t xml:space="preserve">Gippsland </w:t>
      </w:r>
      <w:r w:rsidR="00B94822" w:rsidRPr="00283CEC">
        <w:t xml:space="preserve">is well known for its significant forest </w:t>
      </w:r>
      <w:r w:rsidR="00DD3A65" w:rsidRPr="00283CEC">
        <w:t xml:space="preserve">and woodland areas </w:t>
      </w:r>
      <w:r w:rsidR="00B94822" w:rsidRPr="00283CEC">
        <w:t xml:space="preserve">on both public and private land. </w:t>
      </w:r>
      <w:r w:rsidR="00AB28FC" w:rsidRPr="00283CEC">
        <w:t>Terrestrial habitat</w:t>
      </w:r>
      <w:r w:rsidRPr="00283CEC">
        <w:t>,</w:t>
      </w:r>
      <w:r w:rsidR="00AB28FC" w:rsidRPr="00283CEC">
        <w:t xml:space="preserve"> and the </w:t>
      </w:r>
      <w:r w:rsidR="0093262A" w:rsidRPr="00283CEC">
        <w:t xml:space="preserve">plants and </w:t>
      </w:r>
      <w:r w:rsidR="00E010D2" w:rsidRPr="00283CEC">
        <w:t>animals supported</w:t>
      </w:r>
      <w:r w:rsidRPr="00283CEC">
        <w:t xml:space="preserve"> by it,</w:t>
      </w:r>
      <w:r w:rsidR="00AB28FC" w:rsidRPr="00283CEC">
        <w:t xml:space="preserve"> is </w:t>
      </w:r>
      <w:r w:rsidR="00B94822" w:rsidRPr="00283CEC">
        <w:t xml:space="preserve">a key consideration for land use planning as </w:t>
      </w:r>
      <w:r w:rsidR="00490925" w:rsidRPr="00283CEC">
        <w:t xml:space="preserve">it is </w:t>
      </w:r>
      <w:r w:rsidR="00876C68" w:rsidRPr="00283CEC">
        <w:t xml:space="preserve">vital </w:t>
      </w:r>
      <w:r w:rsidR="00B94822" w:rsidRPr="00283CEC">
        <w:t xml:space="preserve">to </w:t>
      </w:r>
      <w:r w:rsidR="00490925" w:rsidRPr="00283CEC">
        <w:t xml:space="preserve">the region’s </w:t>
      </w:r>
      <w:r w:rsidR="00B94822" w:rsidRPr="00283CEC">
        <w:t>productive future.</w:t>
      </w:r>
      <w:r w:rsidR="00485E96" w:rsidRPr="00283CEC">
        <w:t xml:space="preserve"> Areas such as rangeland and alpine environments provide numerous environmental values, including tourism attractors for the region.</w:t>
      </w:r>
    </w:p>
    <w:p w:rsidR="00E65415" w:rsidRPr="00283CEC" w:rsidRDefault="00876C68" w:rsidP="002E6458">
      <w:pPr>
        <w:pStyle w:val="bt"/>
      </w:pPr>
      <w:r w:rsidRPr="00283CEC">
        <w:t>C</w:t>
      </w:r>
      <w:r w:rsidR="00FF57A8" w:rsidRPr="00283CEC">
        <w:t xml:space="preserve">atchment management authority </w:t>
      </w:r>
      <w:r w:rsidR="008D0B69" w:rsidRPr="00283CEC">
        <w:t>initiatives</w:t>
      </w:r>
      <w:r w:rsidRPr="00283CEC">
        <w:t xml:space="preserve"> include improving the quality </w:t>
      </w:r>
      <w:r w:rsidR="00490925" w:rsidRPr="00283CEC">
        <w:t xml:space="preserve">and extent </w:t>
      </w:r>
      <w:r w:rsidRPr="00283CEC">
        <w:t xml:space="preserve">of remnant vegetation, especially significant areas as identified in </w:t>
      </w:r>
      <w:r w:rsidR="00FF57A8" w:rsidRPr="00283CEC">
        <w:t>regional catchment strategies</w:t>
      </w:r>
      <w:r w:rsidRPr="00283CEC">
        <w:t xml:space="preserve">. </w:t>
      </w:r>
      <w:r w:rsidR="00B94822" w:rsidRPr="00283CEC">
        <w:t>There are economic opportunities for landholders in the region involving the management of ecosystem services</w:t>
      </w:r>
      <w:r w:rsidR="00490925" w:rsidRPr="00283CEC">
        <w:rPr>
          <w:rStyle w:val="FootnoteReference"/>
          <w:rFonts w:cs="Calibri"/>
          <w:szCs w:val="20"/>
        </w:rPr>
        <w:footnoteReference w:id="3"/>
      </w:r>
      <w:r w:rsidR="00B94822" w:rsidRPr="00283CEC">
        <w:t xml:space="preserve"> and on</w:t>
      </w:r>
      <w:r w:rsidR="008D0B69" w:rsidRPr="00283CEC">
        <w:t>-</w:t>
      </w:r>
      <w:r w:rsidR="00B94822" w:rsidRPr="00283CEC">
        <w:t xml:space="preserve">farm carbon sequestration. Improved coordination between land use planning and natural resource management is encouraged </w:t>
      </w:r>
      <w:r w:rsidR="008D0B69" w:rsidRPr="00283CEC">
        <w:t xml:space="preserve">in this </w:t>
      </w:r>
      <w:r w:rsidR="000F7A1A" w:rsidRPr="00283CEC">
        <w:t>p</w:t>
      </w:r>
      <w:r w:rsidRPr="00283CEC">
        <w:t xml:space="preserve">lan </w:t>
      </w:r>
      <w:r w:rsidR="00B94822" w:rsidRPr="00283CEC">
        <w:t xml:space="preserve">to achieve multiple benefits from </w:t>
      </w:r>
      <w:r w:rsidR="008D0B69" w:rsidRPr="00283CEC">
        <w:t xml:space="preserve">these </w:t>
      </w:r>
      <w:r w:rsidR="00B94822" w:rsidRPr="00283CEC">
        <w:t>activities.</w:t>
      </w:r>
      <w:r w:rsidR="00177480" w:rsidRPr="00283CEC">
        <w:t xml:space="preserve"> Regional natural resource management planning and land use planning will need to consider any potential increase in natural hazards as a result of such activities. This is particularly relevant to any changes in landscape fire and flood risks that may result from increasing treed vegetation cover, especially where occurring in close proximity to settlements.</w:t>
      </w:r>
    </w:p>
    <w:p w:rsidR="00B94822" w:rsidRPr="00283CEC" w:rsidRDefault="008508AC" w:rsidP="00CC3A69">
      <w:pPr>
        <w:pStyle w:val="Heading4"/>
      </w:pPr>
      <w:r w:rsidRPr="00283CEC">
        <w:t>Waterways, coastal, estuary and marine assets</w:t>
      </w:r>
    </w:p>
    <w:p w:rsidR="00B94822" w:rsidRPr="00283CEC" w:rsidRDefault="00957445" w:rsidP="002E6458">
      <w:pPr>
        <w:pStyle w:val="bt"/>
      </w:pPr>
      <w:r w:rsidRPr="00283CEC">
        <w:t xml:space="preserve">The Gippsland region spans the Great Dividing Range and contains all or part of </w:t>
      </w:r>
      <w:r w:rsidR="008D0B69" w:rsidRPr="00283CEC">
        <w:t>13</w:t>
      </w:r>
      <w:r w:rsidR="00E355A7" w:rsidRPr="00283CEC">
        <w:t xml:space="preserve"> significant river catchments</w:t>
      </w:r>
      <w:r w:rsidRPr="00283CEC">
        <w:t xml:space="preserve"> incorporating </w:t>
      </w:r>
      <w:r w:rsidR="007A7665" w:rsidRPr="00283CEC">
        <w:t>nine</w:t>
      </w:r>
      <w:r w:rsidRPr="00283CEC">
        <w:t xml:space="preserve"> </w:t>
      </w:r>
      <w:r w:rsidR="00216315" w:rsidRPr="00283CEC">
        <w:t>h</w:t>
      </w:r>
      <w:r w:rsidRPr="00283CEC">
        <w:t xml:space="preserve">eritage </w:t>
      </w:r>
      <w:r w:rsidR="00216315" w:rsidRPr="00283CEC">
        <w:t>r</w:t>
      </w:r>
      <w:r w:rsidRPr="00283CEC">
        <w:t>ivers</w:t>
      </w:r>
      <w:r w:rsidR="007A7665" w:rsidRPr="00283CEC">
        <w:rPr>
          <w:rStyle w:val="FootnoteReference"/>
          <w:rFonts w:cs="Calibri"/>
          <w:szCs w:val="20"/>
        </w:rPr>
        <w:footnoteReference w:id="4"/>
      </w:r>
      <w:r w:rsidR="00900637" w:rsidRPr="00283CEC">
        <w:t xml:space="preserve"> </w:t>
      </w:r>
      <w:r w:rsidRPr="00283CEC">
        <w:t>and numerous nationally and internationally significant wetlands</w:t>
      </w:r>
      <w:r w:rsidR="00E355A7" w:rsidRPr="00283CEC">
        <w:t xml:space="preserve">. </w:t>
      </w:r>
      <w:r w:rsidRPr="00283CEC">
        <w:t>Many rivers provide water supplies within and external to the region. The region’s coastal environments</w:t>
      </w:r>
      <w:r w:rsidR="00B43832" w:rsidRPr="00283CEC">
        <w:t xml:space="preserve">, including </w:t>
      </w:r>
      <w:r w:rsidR="00216315" w:rsidRPr="00283CEC">
        <w:t>n</w:t>
      </w:r>
      <w:r w:rsidR="00B43832" w:rsidRPr="00283CEC">
        <w:t xml:space="preserve">ational </w:t>
      </w:r>
      <w:r w:rsidR="00216315" w:rsidRPr="00283CEC">
        <w:t>p</w:t>
      </w:r>
      <w:r w:rsidR="00B43832" w:rsidRPr="00283CEC">
        <w:t>arks</w:t>
      </w:r>
      <w:r w:rsidRPr="00283CEC">
        <w:t xml:space="preserve"> and the Gippsland Lakes</w:t>
      </w:r>
      <w:r w:rsidR="00B43832" w:rsidRPr="00283CEC">
        <w:t>,</w:t>
      </w:r>
      <w:r w:rsidRPr="00283CEC">
        <w:t xml:space="preserve"> contribute significantly to the economic, cultural, environmental and recreational life of residents and visitors. These areas attract significant peak populations </w:t>
      </w:r>
      <w:r w:rsidR="008D0B69" w:rsidRPr="00283CEC">
        <w:t xml:space="preserve">during </w:t>
      </w:r>
      <w:r w:rsidRPr="00283CEC">
        <w:t>holiday periods</w:t>
      </w:r>
      <w:r w:rsidR="008D0B69" w:rsidRPr="00283CEC">
        <w:t xml:space="preserve">, and are </w:t>
      </w:r>
      <w:r w:rsidR="00B94822" w:rsidRPr="00283CEC">
        <w:t xml:space="preserve">critical for supporting </w:t>
      </w:r>
      <w:r w:rsidR="00876C68" w:rsidRPr="00283CEC">
        <w:t xml:space="preserve">agriculture and forestry, </w:t>
      </w:r>
      <w:r w:rsidRPr="00283CEC">
        <w:t>commercial and recreational fisheries</w:t>
      </w:r>
      <w:r w:rsidR="00876C68" w:rsidRPr="00283CEC">
        <w:t xml:space="preserve"> and </w:t>
      </w:r>
      <w:r w:rsidR="00A10AC0" w:rsidRPr="00283CEC">
        <w:t>tourism.</w:t>
      </w:r>
    </w:p>
    <w:p w:rsidR="00B94822" w:rsidRPr="00283CEC" w:rsidRDefault="00B94822" w:rsidP="002E6458">
      <w:pPr>
        <w:pStyle w:val="bt"/>
      </w:pPr>
      <w:r w:rsidRPr="00283CEC">
        <w:t xml:space="preserve">Many </w:t>
      </w:r>
      <w:r w:rsidR="00957445" w:rsidRPr="00283CEC">
        <w:t>waterways,</w:t>
      </w:r>
      <w:r w:rsidRPr="00283CEC">
        <w:t xml:space="preserve"> coast</w:t>
      </w:r>
      <w:r w:rsidR="00957445" w:rsidRPr="00283CEC">
        <w:t>al, estuary</w:t>
      </w:r>
      <w:r w:rsidRPr="00283CEC">
        <w:t xml:space="preserve"> and marine </w:t>
      </w:r>
      <w:r w:rsidR="00957445" w:rsidRPr="00283CEC">
        <w:t xml:space="preserve">assets </w:t>
      </w:r>
      <w:r w:rsidRPr="00283CEC">
        <w:t xml:space="preserve">are under significant pressure for development given the opportunities they present for the region’s economic and population growth. Growth around </w:t>
      </w:r>
      <w:r w:rsidR="00957445" w:rsidRPr="00283CEC">
        <w:t>waterway</w:t>
      </w:r>
      <w:r w:rsidR="006C475D" w:rsidRPr="00283CEC">
        <w:t>s</w:t>
      </w:r>
      <w:r w:rsidR="00957445" w:rsidRPr="00283CEC">
        <w:t xml:space="preserve">, </w:t>
      </w:r>
      <w:r w:rsidRPr="00283CEC">
        <w:t xml:space="preserve">coastal, estuary and marine assets will be carefully managed to protect these </w:t>
      </w:r>
      <w:r w:rsidR="00D676FB" w:rsidRPr="00283CEC">
        <w:t xml:space="preserve">assets </w:t>
      </w:r>
      <w:r w:rsidRPr="00283CEC">
        <w:t xml:space="preserve">while achieving regional growth benefits. This includes careful planning for tourism, industry and settlement growth </w:t>
      </w:r>
      <w:r w:rsidR="00745FB4" w:rsidRPr="00283CEC">
        <w:t xml:space="preserve">to take account </w:t>
      </w:r>
      <w:r w:rsidR="00957445" w:rsidRPr="00283CEC">
        <w:t>of</w:t>
      </w:r>
      <w:r w:rsidRPr="00283CEC">
        <w:t xml:space="preserve"> these environmental assets and </w:t>
      </w:r>
      <w:r w:rsidR="00216315" w:rsidRPr="00283CEC">
        <w:t xml:space="preserve">their </w:t>
      </w:r>
      <w:r w:rsidR="00957445" w:rsidRPr="00283CEC">
        <w:t>associated</w:t>
      </w:r>
      <w:r w:rsidR="001843C8" w:rsidRPr="00283CEC">
        <w:t xml:space="preserve"> cultural heritage assets and</w:t>
      </w:r>
      <w:r w:rsidR="00957445" w:rsidRPr="00283CEC">
        <w:t xml:space="preserve"> </w:t>
      </w:r>
      <w:r w:rsidRPr="00283CEC">
        <w:t>natural hazards, particularly around the Gippsland Lakes</w:t>
      </w:r>
      <w:r w:rsidR="006C775A" w:rsidRPr="00283CEC">
        <w:t xml:space="preserve"> and Bunurong Coast</w:t>
      </w:r>
      <w:r w:rsidRPr="00283CEC">
        <w:t xml:space="preserve">. </w:t>
      </w:r>
      <w:r w:rsidR="00957445" w:rsidRPr="00283CEC">
        <w:t>Suitable planning tools</w:t>
      </w:r>
      <w:r w:rsidR="001B05E9" w:rsidRPr="00283CEC">
        <w:t xml:space="preserve"> such as overlays</w:t>
      </w:r>
      <w:r w:rsidR="00957445" w:rsidRPr="00283CEC">
        <w:t xml:space="preserve"> will be consistently developed across the region to manage threats to these assets, and protect the value they return to the region’s economy and community.</w:t>
      </w:r>
    </w:p>
    <w:p w:rsidR="00B94822" w:rsidRPr="00283CEC" w:rsidRDefault="00216315" w:rsidP="002E6458">
      <w:pPr>
        <w:pStyle w:val="bt"/>
        <w:rPr>
          <w:rFonts w:cs="Calibri"/>
          <w:szCs w:val="20"/>
        </w:rPr>
      </w:pPr>
      <w:r w:rsidRPr="00283CEC">
        <w:rPr>
          <w:rFonts w:cs="Calibri"/>
          <w:szCs w:val="20"/>
        </w:rPr>
        <w:t>This p</w:t>
      </w:r>
      <w:r w:rsidR="00032632" w:rsidRPr="00283CEC">
        <w:rPr>
          <w:rFonts w:cs="Calibri"/>
          <w:szCs w:val="20"/>
        </w:rPr>
        <w:t xml:space="preserve">lan </w:t>
      </w:r>
      <w:r w:rsidR="00B94822" w:rsidRPr="00283CEC">
        <w:rPr>
          <w:rFonts w:cs="Calibri"/>
          <w:szCs w:val="20"/>
        </w:rPr>
        <w:t xml:space="preserve">highlights high level planning considerations that will apply to more detailed planning proposed for the Gippsland Lakes </w:t>
      </w:r>
      <w:r w:rsidR="000D1724">
        <w:rPr>
          <w:rFonts w:cs="Calibri"/>
          <w:szCs w:val="20"/>
        </w:rPr>
        <w:t>S</w:t>
      </w:r>
      <w:r w:rsidR="000D1724" w:rsidRPr="00283CEC">
        <w:rPr>
          <w:rFonts w:cs="Calibri"/>
          <w:szCs w:val="20"/>
        </w:rPr>
        <w:t xml:space="preserve">ustainable </w:t>
      </w:r>
      <w:r w:rsidR="000D1724">
        <w:rPr>
          <w:rFonts w:cs="Calibri"/>
          <w:szCs w:val="20"/>
        </w:rPr>
        <w:t>D</w:t>
      </w:r>
      <w:r w:rsidR="000D1724" w:rsidRPr="00283CEC">
        <w:rPr>
          <w:rFonts w:cs="Calibri"/>
          <w:szCs w:val="20"/>
        </w:rPr>
        <w:t xml:space="preserve">evelopment </w:t>
      </w:r>
      <w:r w:rsidR="000D1724">
        <w:rPr>
          <w:rFonts w:cs="Calibri"/>
          <w:szCs w:val="20"/>
        </w:rPr>
        <w:t>P</w:t>
      </w:r>
      <w:r w:rsidR="000D1724" w:rsidRPr="00283CEC">
        <w:rPr>
          <w:rFonts w:cs="Calibri"/>
          <w:szCs w:val="20"/>
        </w:rPr>
        <w:t>lan</w:t>
      </w:r>
      <w:r w:rsidR="00E429E7" w:rsidRPr="00283CEC">
        <w:rPr>
          <w:rFonts w:cs="Calibri"/>
          <w:szCs w:val="20"/>
        </w:rPr>
        <w:t xml:space="preserve">, </w:t>
      </w:r>
      <w:r w:rsidR="00957445" w:rsidRPr="00283CEC">
        <w:rPr>
          <w:rFonts w:cs="Calibri"/>
          <w:szCs w:val="20"/>
        </w:rPr>
        <w:t xml:space="preserve">an initiative in the </w:t>
      </w:r>
      <w:r w:rsidR="009B2677" w:rsidRPr="00283CEC">
        <w:rPr>
          <w:rStyle w:val="Emphasis"/>
          <w:i w:val="0"/>
        </w:rPr>
        <w:t>Gippsland Lakes Environment Strategy</w:t>
      </w:r>
      <w:r w:rsidR="00B94822" w:rsidRPr="00283CEC">
        <w:rPr>
          <w:rFonts w:cs="Calibri"/>
          <w:szCs w:val="20"/>
        </w:rPr>
        <w:t>.</w:t>
      </w:r>
      <w:r w:rsidR="00B729DD" w:rsidRPr="00283CEC">
        <w:rPr>
          <w:rFonts w:cs="Calibri"/>
          <w:szCs w:val="20"/>
        </w:rPr>
        <w:t xml:space="preserve"> </w:t>
      </w:r>
      <w:r w:rsidR="00B94822" w:rsidRPr="00283CEC">
        <w:rPr>
          <w:rFonts w:cs="Calibri"/>
          <w:szCs w:val="20"/>
        </w:rPr>
        <w:t>The Gippsland Lakes also require ongoing catchment management activities to protect and improve water quality</w:t>
      </w:r>
      <w:r w:rsidR="00957445" w:rsidRPr="00283CEC">
        <w:rPr>
          <w:rFonts w:cs="Calibri"/>
          <w:szCs w:val="20"/>
        </w:rPr>
        <w:t xml:space="preserve">, which </w:t>
      </w:r>
      <w:r w:rsidR="009415E4" w:rsidRPr="00283CEC">
        <w:rPr>
          <w:rFonts w:cs="Calibri"/>
          <w:szCs w:val="20"/>
        </w:rPr>
        <w:t xml:space="preserve">needs to </w:t>
      </w:r>
      <w:r w:rsidR="00745FB4" w:rsidRPr="00283CEC">
        <w:rPr>
          <w:rFonts w:cs="Calibri"/>
          <w:szCs w:val="20"/>
        </w:rPr>
        <w:t xml:space="preserve">be complemented by </w:t>
      </w:r>
      <w:r w:rsidR="00957445" w:rsidRPr="00283CEC">
        <w:rPr>
          <w:rFonts w:cs="Calibri"/>
          <w:szCs w:val="20"/>
        </w:rPr>
        <w:t>appropriate land use planning</w:t>
      </w:r>
      <w:r w:rsidR="00B94822" w:rsidRPr="00283CEC">
        <w:rPr>
          <w:rFonts w:cs="Calibri"/>
          <w:szCs w:val="20"/>
        </w:rPr>
        <w:t xml:space="preserve">.  </w:t>
      </w:r>
    </w:p>
    <w:p w:rsidR="00B94822" w:rsidRPr="00283CEC" w:rsidRDefault="008508AC" w:rsidP="00CC3A69">
      <w:pPr>
        <w:pStyle w:val="Heading4"/>
      </w:pPr>
      <w:r w:rsidRPr="00283CEC">
        <w:t>Catchment health</w:t>
      </w:r>
    </w:p>
    <w:p w:rsidR="00B94822" w:rsidRPr="00283CEC" w:rsidRDefault="00B94822" w:rsidP="002E6458">
      <w:pPr>
        <w:pStyle w:val="bt"/>
      </w:pPr>
      <w:r w:rsidRPr="00283CEC">
        <w:t xml:space="preserve">Water supply is critical to the continued economic success of the </w:t>
      </w:r>
      <w:r w:rsidR="00745FB4" w:rsidRPr="00283CEC">
        <w:t xml:space="preserve">Gippsland </w:t>
      </w:r>
      <w:r w:rsidRPr="00283CEC">
        <w:t xml:space="preserve">region and to complement the proposed population growth within Gippsland and Melbourne. Pressure for increased settlement and tourism development exists in some </w:t>
      </w:r>
      <w:r w:rsidR="00216315" w:rsidRPr="00283CEC">
        <w:t>d</w:t>
      </w:r>
      <w:r w:rsidRPr="00283CEC">
        <w:t xml:space="preserve">eclared </w:t>
      </w:r>
      <w:r w:rsidR="00216315" w:rsidRPr="00283CEC">
        <w:t>w</w:t>
      </w:r>
      <w:r w:rsidRPr="00283CEC">
        <w:t xml:space="preserve">ater </w:t>
      </w:r>
      <w:r w:rsidR="00216315" w:rsidRPr="00283CEC">
        <w:t>s</w:t>
      </w:r>
      <w:r w:rsidRPr="00283CEC">
        <w:t xml:space="preserve">upply </w:t>
      </w:r>
      <w:r w:rsidR="00216315" w:rsidRPr="00283CEC">
        <w:t>c</w:t>
      </w:r>
      <w:r w:rsidRPr="00283CEC">
        <w:t xml:space="preserve">atchments </w:t>
      </w:r>
      <w:r w:rsidR="009415E4" w:rsidRPr="00283CEC">
        <w:t xml:space="preserve">and </w:t>
      </w:r>
      <w:r w:rsidRPr="00283CEC">
        <w:t>needs to be carefully managed to protect both w</w:t>
      </w:r>
      <w:r w:rsidR="002E6458" w:rsidRPr="00283CEC">
        <w:t>ater quality and water supply.</w:t>
      </w:r>
    </w:p>
    <w:p w:rsidR="00AB28FC" w:rsidRPr="00283CEC" w:rsidRDefault="0064090B" w:rsidP="002E6458">
      <w:pPr>
        <w:pStyle w:val="bt"/>
      </w:pPr>
      <w:r w:rsidRPr="00283CEC">
        <w:t>C</w:t>
      </w:r>
      <w:r w:rsidR="00B94822" w:rsidRPr="00283CEC">
        <w:t xml:space="preserve">ouncils </w:t>
      </w:r>
      <w:r w:rsidR="00AB28FC" w:rsidRPr="00283CEC">
        <w:t xml:space="preserve">may </w:t>
      </w:r>
      <w:r w:rsidR="00B94822" w:rsidRPr="00283CEC">
        <w:t xml:space="preserve">need to review their </w:t>
      </w:r>
      <w:r w:rsidR="00216315" w:rsidRPr="00283CEC">
        <w:t>d</w:t>
      </w:r>
      <w:r w:rsidR="00B94822" w:rsidRPr="00283CEC">
        <w:t xml:space="preserve">omestic </w:t>
      </w:r>
      <w:r w:rsidR="00216315" w:rsidRPr="00283CEC">
        <w:t>w</w:t>
      </w:r>
      <w:r w:rsidR="00B94822" w:rsidRPr="00283CEC">
        <w:t xml:space="preserve">astewater </w:t>
      </w:r>
      <w:r w:rsidR="00216315" w:rsidRPr="00283CEC">
        <w:t>m</w:t>
      </w:r>
      <w:r w:rsidR="00B94822" w:rsidRPr="00283CEC">
        <w:t xml:space="preserve">anagement </w:t>
      </w:r>
      <w:r w:rsidR="00216315" w:rsidRPr="00283CEC">
        <w:t>p</w:t>
      </w:r>
      <w:r w:rsidR="00B94822" w:rsidRPr="00283CEC">
        <w:t>lans to enable effective planning for the type of settlement and economic activity that can occur in these areas while protecting catchment health.</w:t>
      </w:r>
    </w:p>
    <w:p w:rsidR="00B94822" w:rsidRPr="00283CEC" w:rsidRDefault="008508AC" w:rsidP="00CC3A69">
      <w:pPr>
        <w:pStyle w:val="Heading4"/>
      </w:pPr>
      <w:r w:rsidRPr="00283CEC">
        <w:t xml:space="preserve">Significant landscapes </w:t>
      </w:r>
    </w:p>
    <w:p w:rsidR="004F4F2D" w:rsidRDefault="00B94822" w:rsidP="004F4F2D">
      <w:pPr>
        <w:pStyle w:val="bt"/>
      </w:pPr>
      <w:r w:rsidRPr="00283CEC">
        <w:t>There are many significant landscapes</w:t>
      </w:r>
      <w:r w:rsidR="004A3920" w:rsidRPr="00283CEC">
        <w:rPr>
          <w:rStyle w:val="FootnoteReference"/>
          <w:rFonts w:cs="Calibri"/>
          <w:szCs w:val="20"/>
        </w:rPr>
        <w:footnoteReference w:id="5"/>
      </w:r>
      <w:r w:rsidRPr="00283CEC">
        <w:t xml:space="preserve"> in the </w:t>
      </w:r>
      <w:r w:rsidR="00745FB4" w:rsidRPr="00283CEC">
        <w:t xml:space="preserve">Gippsland </w:t>
      </w:r>
      <w:r w:rsidRPr="00283CEC">
        <w:t xml:space="preserve">region. Those associated with the coastal environment have already been identified through the </w:t>
      </w:r>
      <w:r w:rsidR="00804CAA" w:rsidRPr="00283CEC">
        <w:t>Coastal Spaces Landscape Assessment Study</w:t>
      </w:r>
      <w:r w:rsidR="0064090B" w:rsidRPr="00283CEC">
        <w:t>, with its</w:t>
      </w:r>
      <w:r w:rsidRPr="00283CEC">
        <w:t xml:space="preserve"> recommendations adopted across the region </w:t>
      </w:r>
      <w:r w:rsidR="00745FB4" w:rsidRPr="00283CEC">
        <w:t xml:space="preserve">via </w:t>
      </w:r>
      <w:r w:rsidRPr="00283CEC">
        <w:t xml:space="preserve">the application of </w:t>
      </w:r>
      <w:r w:rsidR="007A7665" w:rsidRPr="00283CEC">
        <w:t xml:space="preserve">the </w:t>
      </w:r>
      <w:r w:rsidR="00C54696" w:rsidRPr="00283CEC">
        <w:t xml:space="preserve">Significant Landscape Overlay </w:t>
      </w:r>
      <w:r w:rsidRPr="00283CEC">
        <w:t xml:space="preserve">and </w:t>
      </w:r>
      <w:r w:rsidR="00C54696" w:rsidRPr="00283CEC">
        <w:t>Environmental S</w:t>
      </w:r>
      <w:r w:rsidRPr="00283CEC">
        <w:t xml:space="preserve">ignificance </w:t>
      </w:r>
      <w:r w:rsidR="00C54696" w:rsidRPr="00283CEC">
        <w:t>Overlay</w:t>
      </w:r>
      <w:r w:rsidRPr="00283CEC">
        <w:t xml:space="preserve">. The region will need to consider if there is a future need to identify and protect significant landscapes </w:t>
      </w:r>
      <w:r w:rsidR="00900211" w:rsidRPr="00283CEC">
        <w:t xml:space="preserve">across </w:t>
      </w:r>
      <w:r w:rsidRPr="00283CEC">
        <w:t>inland areas in a consistent way. This would help protect economic diversification opportunities within the region, particularly around nature</w:t>
      </w:r>
      <w:r w:rsidR="00433978" w:rsidRPr="00283CEC">
        <w:t>-</w:t>
      </w:r>
      <w:r w:rsidRPr="00283CEC">
        <w:t>based tourism.</w:t>
      </w:r>
      <w:r w:rsidR="006D3584" w:rsidRPr="00283CEC">
        <w:t xml:space="preserve"> </w:t>
      </w:r>
      <w:r w:rsidR="00AA514A" w:rsidRPr="00283CEC">
        <w:t xml:space="preserve">Significant features and landscapes within inland Gippsland that may warrant </w:t>
      </w:r>
      <w:proofErr w:type="gramStart"/>
      <w:r w:rsidR="00AA514A" w:rsidRPr="00283CEC">
        <w:t>investigation,</w:t>
      </w:r>
      <w:proofErr w:type="gramEnd"/>
      <w:r w:rsidR="00AA514A" w:rsidRPr="00283CEC">
        <w:t xml:space="preserve"> include the South Gippsland hills, Buchan Caves, the Baw </w:t>
      </w:r>
      <w:proofErr w:type="spellStart"/>
      <w:r w:rsidR="00AA514A" w:rsidRPr="00283CEC">
        <w:t>Baw</w:t>
      </w:r>
      <w:proofErr w:type="spellEnd"/>
      <w:r w:rsidR="00AA514A" w:rsidRPr="00283CEC">
        <w:t xml:space="preserve"> Plateau, valleys of the Tambo, Mitchell and Macalister rivers, the Snowy River, the Omeo Valley and Great Alpine Road and many other rangeland and alpine environments.</w:t>
      </w:r>
      <w:bookmarkStart w:id="75" w:name="_Ref355960195"/>
      <w:bookmarkStart w:id="76" w:name="_Toc374361108"/>
    </w:p>
    <w:p w:rsidR="00B515F4" w:rsidRPr="004F4F2D" w:rsidRDefault="006B4F4E" w:rsidP="004F4F2D">
      <w:pPr>
        <w:pStyle w:val="bt"/>
      </w:pPr>
      <w:r w:rsidRPr="004F4F2D">
        <w:t xml:space="preserve">Map </w:t>
      </w:r>
      <w:bookmarkEnd w:id="75"/>
      <w:r w:rsidR="00AD704A">
        <w:t>8</w:t>
      </w:r>
      <w:r w:rsidR="004F4F2D">
        <w:t xml:space="preserve"> is located here in the document and it shows -</w:t>
      </w:r>
      <w:r w:rsidR="00B46805" w:rsidRPr="004F4F2D">
        <w:t xml:space="preserve"> </w:t>
      </w:r>
      <w:r w:rsidRPr="004F4F2D">
        <w:t>Future directions for environment and heritage</w:t>
      </w:r>
      <w:bookmarkEnd w:id="76"/>
    </w:p>
    <w:p w:rsidR="002E6458" w:rsidRPr="00283CEC" w:rsidRDefault="002E6458" w:rsidP="002E6458">
      <w:pPr>
        <w:pStyle w:val="bt"/>
        <w:rPr>
          <w:rStyle w:val="Strong"/>
        </w:rPr>
      </w:pPr>
      <w:r w:rsidRPr="00283CEC">
        <w:rPr>
          <w:rStyle w:val="Strong"/>
        </w:rPr>
        <w:t>Strategies for future land use</w:t>
      </w:r>
    </w:p>
    <w:p w:rsidR="002E6458" w:rsidRPr="00283CEC" w:rsidRDefault="002E6458" w:rsidP="00767431">
      <w:pPr>
        <w:pStyle w:val="btbullet"/>
      </w:pPr>
      <w:r w:rsidRPr="00283CEC">
        <w:t>Avoid urban growth impacts in areas with high value environmental and cultural heritage assets such as significant vegetation, waterways, marine areas, significant landscapes and Aboriginal cultural heritage and historic heritage places</w:t>
      </w:r>
    </w:p>
    <w:p w:rsidR="002E6458" w:rsidRPr="00283CEC" w:rsidRDefault="002E6458" w:rsidP="00767431">
      <w:pPr>
        <w:pStyle w:val="btbullet"/>
      </w:pPr>
      <w:r w:rsidRPr="00283CEC">
        <w:t>Plan strategically to reduce the impact of urban growth on the use and security of water resources and minimise risks to the environment</w:t>
      </w:r>
    </w:p>
    <w:p w:rsidR="002E6458" w:rsidRPr="00283CEC" w:rsidRDefault="00AA514A" w:rsidP="00767431">
      <w:pPr>
        <w:pStyle w:val="btbullet"/>
      </w:pPr>
      <w:r w:rsidRPr="00283CEC">
        <w:t>Plan strategically to reduce the impact of urban growth on high value coastal and waterway assets such as the Gippsland Lakes, Corner Inlet, Anderson Inlet, Mallacoota Inlet and their source rivers</w:t>
      </w:r>
    </w:p>
    <w:p w:rsidR="002E6458" w:rsidRPr="00283CEC" w:rsidRDefault="002E6458" w:rsidP="00767431">
      <w:pPr>
        <w:pStyle w:val="btbullet"/>
      </w:pPr>
      <w:r w:rsidRPr="00283CEC">
        <w:t>Support initiatives to enable the establishment, protection and reconnection of ecosystems through large-scale native vegetation corridor projects</w:t>
      </w:r>
    </w:p>
    <w:p w:rsidR="002E6458" w:rsidRPr="00283CEC" w:rsidRDefault="00AA514A" w:rsidP="00767431">
      <w:pPr>
        <w:pStyle w:val="btbullet"/>
      </w:pPr>
      <w:r w:rsidRPr="00283CEC">
        <w:t>Apply planning tools, such as the Significant Landscape Overlay, Environmental Significance Overlay and Heritage Overlay, to protect significant inland and coastal landscapes and cultural heritage assets. The endorsed regional catchment strategies can assist to inform this process</w:t>
      </w:r>
    </w:p>
    <w:p w:rsidR="002E6458" w:rsidRPr="00283CEC" w:rsidRDefault="002E6458" w:rsidP="00767431">
      <w:pPr>
        <w:pStyle w:val="btbullet"/>
      </w:pPr>
      <w:r w:rsidRPr="00283CEC">
        <w:t>Provide for the sensitive adaptive reuse of historic heritage places, where appropriate, and appropriate infill development in heritage streetscapes to enable historic heritage assets to be conserved and celebrated</w:t>
      </w:r>
    </w:p>
    <w:p w:rsidR="002E6458" w:rsidRPr="00283CEC" w:rsidRDefault="002E6458" w:rsidP="00767431">
      <w:pPr>
        <w:pStyle w:val="btbullet"/>
      </w:pPr>
      <w:r w:rsidRPr="00283CEC">
        <w:t>Support the preparation of a sustainable development plan for the Gippsland Lakes and foreshore to identify appropriate development around the lakes</w:t>
      </w:r>
    </w:p>
    <w:p w:rsidR="006F6B96" w:rsidRPr="00283CEC" w:rsidRDefault="00A66E35" w:rsidP="002E6458">
      <w:pPr>
        <w:pStyle w:val="Heading2"/>
        <w:rPr>
          <w:color w:val="auto"/>
        </w:rPr>
      </w:pPr>
      <w:bookmarkStart w:id="77" w:name="_Toc376791248"/>
      <w:r w:rsidRPr="00283CEC">
        <w:rPr>
          <w:color w:val="auto"/>
        </w:rPr>
        <w:t xml:space="preserve">Natural </w:t>
      </w:r>
      <w:r w:rsidR="00AD2216" w:rsidRPr="00283CEC">
        <w:rPr>
          <w:color w:val="auto"/>
        </w:rPr>
        <w:t>h</w:t>
      </w:r>
      <w:r w:rsidRPr="00283CEC">
        <w:rPr>
          <w:color w:val="auto"/>
        </w:rPr>
        <w:t xml:space="preserve">azards and </w:t>
      </w:r>
      <w:r w:rsidR="00AD2216" w:rsidRPr="00283CEC">
        <w:rPr>
          <w:color w:val="auto"/>
        </w:rPr>
        <w:t>r</w:t>
      </w:r>
      <w:r w:rsidR="006F6B96" w:rsidRPr="00283CEC">
        <w:rPr>
          <w:color w:val="auto"/>
        </w:rPr>
        <w:t>isk</w:t>
      </w:r>
      <w:r w:rsidRPr="00283CEC">
        <w:rPr>
          <w:color w:val="auto"/>
        </w:rPr>
        <w:t>s</w:t>
      </w:r>
      <w:bookmarkEnd w:id="77"/>
    </w:p>
    <w:p w:rsidR="002B3F7B" w:rsidRPr="00283CEC" w:rsidRDefault="00A66E35" w:rsidP="002E6458">
      <w:pPr>
        <w:pStyle w:val="bt"/>
      </w:pPr>
      <w:r w:rsidRPr="00283CEC">
        <w:t>N</w:t>
      </w:r>
      <w:r w:rsidR="002B3F7B" w:rsidRPr="00283CEC">
        <w:t>atural hazards</w:t>
      </w:r>
      <w:r w:rsidRPr="00283CEC">
        <w:t xml:space="preserve"> and risks</w:t>
      </w:r>
      <w:r w:rsidR="0065194B" w:rsidRPr="00283CEC">
        <w:t xml:space="preserve"> are</w:t>
      </w:r>
      <w:r w:rsidR="002B3F7B" w:rsidRPr="00283CEC">
        <w:t xml:space="preserve"> considered in </w:t>
      </w:r>
      <w:r w:rsidR="0065194B" w:rsidRPr="00283CEC">
        <w:t xml:space="preserve">this </w:t>
      </w:r>
      <w:r w:rsidR="006A0995" w:rsidRPr="00283CEC">
        <w:t>p</w:t>
      </w:r>
      <w:r w:rsidR="0065194B" w:rsidRPr="00283CEC">
        <w:t xml:space="preserve">lan </w:t>
      </w:r>
      <w:r w:rsidR="002B3F7B" w:rsidRPr="00283CEC">
        <w:t xml:space="preserve">to enable appropriate growth and development opportunities across the </w:t>
      </w:r>
      <w:r w:rsidR="00433978" w:rsidRPr="00283CEC">
        <w:t xml:space="preserve">Gippsland </w:t>
      </w:r>
      <w:r w:rsidR="002B3F7B" w:rsidRPr="00283CEC">
        <w:t>region.</w:t>
      </w:r>
    </w:p>
    <w:p w:rsidR="002B3F7B" w:rsidRPr="00283CEC" w:rsidRDefault="00FF3565" w:rsidP="00CC3A69">
      <w:pPr>
        <w:pStyle w:val="Heading4"/>
      </w:pPr>
      <w:r w:rsidRPr="00283CEC">
        <w:t>Flood</w:t>
      </w:r>
    </w:p>
    <w:p w:rsidR="00A66E35" w:rsidRPr="00283CEC" w:rsidRDefault="002B3F7B" w:rsidP="002E6458">
      <w:pPr>
        <w:pStyle w:val="bt"/>
      </w:pPr>
      <w:r w:rsidRPr="00283CEC">
        <w:t xml:space="preserve">Significant areas of the Gippsland </w:t>
      </w:r>
      <w:r w:rsidR="0065194B" w:rsidRPr="00283CEC">
        <w:t>r</w:t>
      </w:r>
      <w:r w:rsidRPr="00283CEC">
        <w:t xml:space="preserve">egion are </w:t>
      </w:r>
      <w:r w:rsidR="0065194B" w:rsidRPr="00283CEC">
        <w:t xml:space="preserve">subject to </w:t>
      </w:r>
      <w:r w:rsidR="00FF3565" w:rsidRPr="00283CEC">
        <w:t>flood</w:t>
      </w:r>
      <w:r w:rsidR="0065194B" w:rsidRPr="00283CEC">
        <w:t xml:space="preserve"> risks.</w:t>
      </w:r>
      <w:r w:rsidR="00A66E35" w:rsidRPr="00283CEC">
        <w:t xml:space="preserve"> Land use planning decisions should be based on the best quality information on </w:t>
      </w:r>
      <w:r w:rsidR="00FF3565" w:rsidRPr="00283CEC">
        <w:t>flood</w:t>
      </w:r>
      <w:r w:rsidR="00A66E35" w:rsidRPr="00283CEC">
        <w:t xml:space="preserve"> hazard to minimise risk to life, property, community infrastructure and environmental assets. Accurate flood mapping is critical in this regard. </w:t>
      </w:r>
    </w:p>
    <w:p w:rsidR="00A66E35" w:rsidRPr="00283CEC" w:rsidRDefault="00A66E35" w:rsidP="002E6458">
      <w:pPr>
        <w:pStyle w:val="bt"/>
      </w:pPr>
      <w:r w:rsidRPr="00283CEC">
        <w:t xml:space="preserve">Flood provisions in planning schemes should be </w:t>
      </w:r>
      <w:r w:rsidR="005F456F" w:rsidRPr="00283CEC">
        <w:t xml:space="preserve">applied </w:t>
      </w:r>
      <w:r w:rsidRPr="00283CEC">
        <w:t>consistently across the region to avoid inappropriate development or redevelopment</w:t>
      </w:r>
      <w:r w:rsidR="006A0995" w:rsidRPr="00283CEC">
        <w:t>,</w:t>
      </w:r>
      <w:r w:rsidRPr="00283CEC">
        <w:t xml:space="preserve"> or </w:t>
      </w:r>
      <w:r w:rsidR="006A0995" w:rsidRPr="00283CEC">
        <w:t xml:space="preserve">to </w:t>
      </w:r>
      <w:r w:rsidRPr="00283CEC">
        <w:t>require appropriate development responses.</w:t>
      </w:r>
    </w:p>
    <w:p w:rsidR="007218AB" w:rsidRDefault="0065194B" w:rsidP="007218AB">
      <w:pPr>
        <w:pStyle w:val="bt"/>
      </w:pPr>
      <w:r w:rsidRPr="00283CEC">
        <w:t>Monitoring and regular updating of f</w:t>
      </w:r>
      <w:r w:rsidR="002B3F7B" w:rsidRPr="00283CEC">
        <w:t xml:space="preserve">lood mapping </w:t>
      </w:r>
      <w:r w:rsidRPr="00283CEC">
        <w:t xml:space="preserve">will be </w:t>
      </w:r>
      <w:r w:rsidR="002B3F7B" w:rsidRPr="00283CEC">
        <w:t>critical to</w:t>
      </w:r>
      <w:r w:rsidRPr="00283CEC">
        <w:t xml:space="preserve"> inform settlement planning and economic growth into the future.</w:t>
      </w:r>
      <w:r w:rsidR="002B3F7B" w:rsidRPr="00283CEC">
        <w:t xml:space="preserve"> </w:t>
      </w:r>
      <w:r w:rsidR="00134A4D" w:rsidRPr="00283CEC">
        <w:t xml:space="preserve">The </w:t>
      </w:r>
      <w:r w:rsidR="00971F3A" w:rsidRPr="00283CEC">
        <w:t xml:space="preserve">regional settlement framework included in this </w:t>
      </w:r>
      <w:r w:rsidR="006A0995" w:rsidRPr="00283CEC">
        <w:t>p</w:t>
      </w:r>
      <w:r w:rsidR="00971F3A" w:rsidRPr="00283CEC">
        <w:t xml:space="preserve">lan </w:t>
      </w:r>
      <w:r w:rsidR="004826D3" w:rsidRPr="00283CEC">
        <w:t xml:space="preserve">incorporates </w:t>
      </w:r>
      <w:r w:rsidR="00CF4B6D" w:rsidRPr="00283CEC">
        <w:t xml:space="preserve">the latest flood mapping and has </w:t>
      </w:r>
      <w:r w:rsidR="00134A4D" w:rsidRPr="00283CEC">
        <w:t xml:space="preserve">been developed to minimise risks from </w:t>
      </w:r>
      <w:r w:rsidR="00FF3565" w:rsidRPr="00283CEC">
        <w:t>flood</w:t>
      </w:r>
      <w:r w:rsidR="00FF2EF6">
        <w:t xml:space="preserve">. </w:t>
      </w:r>
    </w:p>
    <w:p w:rsidR="00DC7300" w:rsidRPr="00283CEC" w:rsidRDefault="00AD704A" w:rsidP="002E6458">
      <w:pPr>
        <w:pStyle w:val="bt"/>
      </w:pPr>
      <w:r>
        <w:t xml:space="preserve">Map 8 </w:t>
      </w:r>
      <w:r w:rsidR="003E38F0" w:rsidRPr="00283CEC">
        <w:t xml:space="preserve">indicates </w:t>
      </w:r>
      <w:r w:rsidR="00A06424" w:rsidRPr="00283CEC">
        <w:t xml:space="preserve">which settlements have existing flood overlays </w:t>
      </w:r>
      <w:r w:rsidR="003651A3" w:rsidRPr="00283CEC">
        <w:t xml:space="preserve">and </w:t>
      </w:r>
      <w:r w:rsidR="007A7665" w:rsidRPr="00283CEC">
        <w:t>therefore potential</w:t>
      </w:r>
      <w:r w:rsidR="00A06424" w:rsidRPr="00283CEC">
        <w:t xml:space="preserve"> implications for development in specific areas</w:t>
      </w:r>
      <w:r w:rsidR="00134A4D" w:rsidRPr="00283CEC">
        <w:t xml:space="preserve">. </w:t>
      </w:r>
    </w:p>
    <w:p w:rsidR="00D92F97" w:rsidRPr="00283CEC" w:rsidRDefault="00AA514A" w:rsidP="002E6458">
      <w:pPr>
        <w:pStyle w:val="bt"/>
      </w:pPr>
      <w:r w:rsidRPr="00283CEC">
        <w:t>Managing flood risk is an issue particularly for the affected areas of the settlements of Latrobe City, Bairnsdale and Sale.</w:t>
      </w:r>
      <w:r w:rsidR="00CF4B6D" w:rsidRPr="00283CEC">
        <w:t xml:space="preserve"> </w:t>
      </w:r>
      <w:r w:rsidR="00134A4D" w:rsidRPr="00283CEC">
        <w:t>As new information about flood hazards emerge</w:t>
      </w:r>
      <w:r w:rsidR="004826D3" w:rsidRPr="00283CEC">
        <w:t>s</w:t>
      </w:r>
      <w:r w:rsidR="00134A4D" w:rsidRPr="00283CEC">
        <w:t xml:space="preserve"> over time, other settlements may also need to apply flood overlays to their towns</w:t>
      </w:r>
      <w:r w:rsidR="00CF4B6D" w:rsidRPr="00283CEC">
        <w:t xml:space="preserve">. </w:t>
      </w:r>
      <w:r w:rsidRPr="00283CEC">
        <w:t>There may be the need to respond to and manage anticipated minor flood impacts through design responses or mitigation works such as retarding infrastructure or providing alternative means for water to escape.</w:t>
      </w:r>
      <w:r w:rsidR="009D53D7" w:rsidRPr="00283CEC">
        <w:t xml:space="preserve"> </w:t>
      </w:r>
      <w:r w:rsidR="006A7C2C" w:rsidRPr="00283CEC">
        <w:t>Flood-</w:t>
      </w:r>
      <w:r w:rsidR="009D53D7" w:rsidRPr="00283CEC">
        <w:t xml:space="preserve">prone land can </w:t>
      </w:r>
      <w:r w:rsidR="00CF4B6D" w:rsidRPr="00283CEC">
        <w:t xml:space="preserve">in some circumstances </w:t>
      </w:r>
      <w:r w:rsidR="009D53D7" w:rsidRPr="00283CEC">
        <w:t xml:space="preserve">be incorporated in </w:t>
      </w:r>
      <w:r w:rsidR="00CF4B6D" w:rsidRPr="00283CEC">
        <w:t xml:space="preserve">an urban context </w:t>
      </w:r>
      <w:r w:rsidR="009D53D7" w:rsidRPr="00283CEC">
        <w:t xml:space="preserve">for use as open space or recreation areas. Other responses may include mitigation through infrastructure works to divert floodwater or provision of drainage. </w:t>
      </w:r>
    </w:p>
    <w:p w:rsidR="002B3F7B" w:rsidRPr="00283CEC" w:rsidRDefault="00FF3565" w:rsidP="00CC3A69">
      <w:pPr>
        <w:pStyle w:val="Heading4"/>
      </w:pPr>
      <w:r w:rsidRPr="00283CEC">
        <w:t>Bushfire</w:t>
      </w:r>
    </w:p>
    <w:p w:rsidR="005C0F0F" w:rsidRPr="00283CEC" w:rsidRDefault="004826D3" w:rsidP="002E6458">
      <w:pPr>
        <w:pStyle w:val="bt"/>
      </w:pPr>
      <w:r w:rsidRPr="00283CEC">
        <w:t>C</w:t>
      </w:r>
      <w:r w:rsidR="002B3F7B" w:rsidRPr="00283CEC">
        <w:t>hallenge</w:t>
      </w:r>
      <w:r w:rsidRPr="00283CEC">
        <w:t>s</w:t>
      </w:r>
      <w:r w:rsidR="002B3F7B" w:rsidRPr="00283CEC">
        <w:t xml:space="preserve"> </w:t>
      </w:r>
      <w:r w:rsidRPr="00283CEC">
        <w:t xml:space="preserve">exist </w:t>
      </w:r>
      <w:r w:rsidR="002B3F7B" w:rsidRPr="00283CEC">
        <w:t>in</w:t>
      </w:r>
      <w:r w:rsidR="0064090B" w:rsidRPr="00283CEC">
        <w:t xml:space="preserve"> the</w:t>
      </w:r>
      <w:r w:rsidR="002B3F7B" w:rsidRPr="00283CEC">
        <w:t xml:space="preserve"> Gippsland region given the </w:t>
      </w:r>
      <w:r w:rsidRPr="00283CEC">
        <w:t xml:space="preserve">number </w:t>
      </w:r>
      <w:r w:rsidR="002B3F7B" w:rsidRPr="00283CEC">
        <w:t xml:space="preserve">of high bushfire </w:t>
      </w:r>
      <w:r w:rsidR="00A66E35" w:rsidRPr="00283CEC">
        <w:t>hazard</w:t>
      </w:r>
      <w:r w:rsidR="002B3F7B" w:rsidRPr="00283CEC">
        <w:t xml:space="preserve"> </w:t>
      </w:r>
      <w:r w:rsidRPr="00283CEC">
        <w:t xml:space="preserve">areas </w:t>
      </w:r>
      <w:r w:rsidR="002B3F7B" w:rsidRPr="00283CEC">
        <w:t xml:space="preserve">that intersect with settlements </w:t>
      </w:r>
      <w:r w:rsidR="006A0995" w:rsidRPr="00283CEC">
        <w:t xml:space="preserve">as well as </w:t>
      </w:r>
      <w:r w:rsidR="002B3F7B" w:rsidRPr="00283CEC">
        <w:t>areas experiencing rural residential and tourism expansion. Regional and localised planning consider</w:t>
      </w:r>
      <w:r w:rsidR="006A0995" w:rsidRPr="00283CEC">
        <w:t>s</w:t>
      </w:r>
      <w:r w:rsidR="002B3F7B" w:rsidRPr="00283CEC">
        <w:t xml:space="preserve"> bushfire risk in detail, with the assistance of p</w:t>
      </w:r>
      <w:r w:rsidR="0066571C" w:rsidRPr="00283CEC">
        <w:t>l</w:t>
      </w:r>
      <w:r w:rsidR="002B3F7B" w:rsidRPr="00283CEC">
        <w:t xml:space="preserve">anning tools such as the </w:t>
      </w:r>
      <w:r w:rsidR="007A7665" w:rsidRPr="00283CEC">
        <w:t>B</w:t>
      </w:r>
      <w:r w:rsidR="002B3F7B" w:rsidRPr="00283CEC">
        <w:t xml:space="preserve">ushfire </w:t>
      </w:r>
      <w:r w:rsidR="00447A03" w:rsidRPr="00283CEC">
        <w:t>Management Overlay</w:t>
      </w:r>
      <w:r w:rsidR="002B3F7B" w:rsidRPr="00283CEC">
        <w:t xml:space="preserve">, </w:t>
      </w:r>
      <w:r w:rsidR="000D1724">
        <w:t>R</w:t>
      </w:r>
      <w:r w:rsidR="000D1724" w:rsidRPr="00283CEC">
        <w:t xml:space="preserve">egional </w:t>
      </w:r>
      <w:r w:rsidR="000D1724">
        <w:t>B</w:t>
      </w:r>
      <w:r w:rsidR="000D1724" w:rsidRPr="00283CEC">
        <w:t xml:space="preserve">ushfire </w:t>
      </w:r>
      <w:r w:rsidR="000D1724">
        <w:t>P</w:t>
      </w:r>
      <w:r w:rsidR="000D1724" w:rsidRPr="00283CEC">
        <w:t xml:space="preserve">lanning </w:t>
      </w:r>
      <w:r w:rsidR="000D1724">
        <w:t>A</w:t>
      </w:r>
      <w:r w:rsidR="000D1724" w:rsidRPr="00283CEC">
        <w:t xml:space="preserve">ssessments </w:t>
      </w:r>
      <w:r w:rsidR="002B3F7B" w:rsidRPr="00283CEC">
        <w:t xml:space="preserve">and </w:t>
      </w:r>
      <w:r w:rsidR="000D1724">
        <w:t>B</w:t>
      </w:r>
      <w:r w:rsidR="000D1724" w:rsidRPr="00283CEC">
        <w:t>ushfire</w:t>
      </w:r>
      <w:r w:rsidR="000D1724">
        <w:t xml:space="preserve"> P</w:t>
      </w:r>
      <w:r w:rsidR="002B3F7B" w:rsidRPr="00283CEC">
        <w:t xml:space="preserve">rone </w:t>
      </w:r>
      <w:r w:rsidR="000D1724">
        <w:t>A</w:t>
      </w:r>
      <w:r w:rsidR="000D1724" w:rsidRPr="00283CEC">
        <w:t>reas</w:t>
      </w:r>
      <w:r w:rsidR="002B3F7B" w:rsidRPr="00283CEC">
        <w:t>, as well</w:t>
      </w:r>
      <w:r w:rsidR="00043A3C" w:rsidRPr="00283CEC">
        <w:t xml:space="preserve"> as input from key stakeholders</w:t>
      </w:r>
      <w:r w:rsidR="002B3F7B" w:rsidRPr="00283CEC">
        <w:t xml:space="preserve"> such as the Country Fire Authority </w:t>
      </w:r>
      <w:r w:rsidR="00043A3C" w:rsidRPr="00283CEC">
        <w:t>and the Department of Environment</w:t>
      </w:r>
      <w:r w:rsidR="00E87922" w:rsidRPr="00283CEC">
        <w:t xml:space="preserve"> and Primary Industries</w:t>
      </w:r>
      <w:r w:rsidR="00043A3C" w:rsidRPr="00283CEC">
        <w:t xml:space="preserve">. The </w:t>
      </w:r>
      <w:r w:rsidR="003E38F0" w:rsidRPr="00283CEC">
        <w:t>regional settlement framework</w:t>
      </w:r>
      <w:r w:rsidR="00043A3C" w:rsidRPr="00283CEC">
        <w:t xml:space="preserve"> included in this </w:t>
      </w:r>
      <w:r w:rsidR="00E429E7" w:rsidRPr="00283CEC">
        <w:t>p</w:t>
      </w:r>
      <w:r w:rsidR="00043A3C" w:rsidRPr="00283CEC">
        <w:t xml:space="preserve">lan </w:t>
      </w:r>
      <w:r w:rsidR="002B3F7B" w:rsidRPr="00283CEC">
        <w:t>ha</w:t>
      </w:r>
      <w:r w:rsidR="003E38F0" w:rsidRPr="00283CEC">
        <w:t>s</w:t>
      </w:r>
      <w:r w:rsidR="002B3F7B" w:rsidRPr="00283CEC">
        <w:t xml:space="preserve"> been developed to minimise risk from </w:t>
      </w:r>
      <w:r w:rsidR="00FF3565" w:rsidRPr="00283CEC">
        <w:t>bushfire</w:t>
      </w:r>
      <w:r w:rsidR="002B3F7B" w:rsidRPr="00283CEC">
        <w:t>.</w:t>
      </w:r>
      <w:r w:rsidR="003E38F0" w:rsidRPr="00283CEC">
        <w:t xml:space="preserve"> </w:t>
      </w:r>
    </w:p>
    <w:p w:rsidR="002B3F7B" w:rsidRPr="00283CEC" w:rsidRDefault="00AD704A" w:rsidP="002E6458">
      <w:pPr>
        <w:pStyle w:val="bt"/>
      </w:pPr>
      <w:r>
        <w:t xml:space="preserve">Map 8 </w:t>
      </w:r>
      <w:r w:rsidR="007B4368" w:rsidRPr="00283CEC">
        <w:t xml:space="preserve">indicates settlements </w:t>
      </w:r>
      <w:r w:rsidR="003A4E6C">
        <w:t>where</w:t>
      </w:r>
      <w:r w:rsidR="003A4E6C" w:rsidRPr="00283CEC">
        <w:t xml:space="preserve"> </w:t>
      </w:r>
      <w:r w:rsidR="007B4368" w:rsidRPr="00283CEC">
        <w:t xml:space="preserve">the existing Bushfire Management Overlay </w:t>
      </w:r>
      <w:r w:rsidR="003A4E6C">
        <w:t>applies and where there</w:t>
      </w:r>
      <w:r w:rsidR="003A4E6C" w:rsidRPr="00283CEC">
        <w:t xml:space="preserve"> </w:t>
      </w:r>
      <w:r w:rsidR="007B4368" w:rsidRPr="00283CEC">
        <w:t xml:space="preserve">may </w:t>
      </w:r>
      <w:r w:rsidR="003A4E6C">
        <w:t>be</w:t>
      </w:r>
      <w:r w:rsidR="003A4E6C" w:rsidRPr="00283CEC">
        <w:t xml:space="preserve"> </w:t>
      </w:r>
      <w:r w:rsidR="007B4368" w:rsidRPr="00283CEC">
        <w:t xml:space="preserve">implications for development in specific areas. </w:t>
      </w:r>
      <w:r w:rsidR="003651A3" w:rsidRPr="00283CEC">
        <w:t xml:space="preserve">The </w:t>
      </w:r>
      <w:r w:rsidR="00A06424" w:rsidRPr="00283CEC">
        <w:t xml:space="preserve">Bushfire </w:t>
      </w:r>
      <w:r w:rsidR="003651A3" w:rsidRPr="00283CEC">
        <w:t>M</w:t>
      </w:r>
      <w:r w:rsidR="00A06424" w:rsidRPr="00283CEC">
        <w:t xml:space="preserve">anagement </w:t>
      </w:r>
      <w:r w:rsidR="003651A3" w:rsidRPr="00283CEC">
        <w:t>O</w:t>
      </w:r>
      <w:r w:rsidR="00A06424" w:rsidRPr="00283CEC">
        <w:t xml:space="preserve">verlay in the region </w:t>
      </w:r>
      <w:r w:rsidR="003A4E6C">
        <w:t>is being</w:t>
      </w:r>
      <w:r w:rsidR="00A06424" w:rsidRPr="00283CEC">
        <w:t xml:space="preserve"> updated to reflect updated understanding of bushfire hazards in Victoria</w:t>
      </w:r>
      <w:r w:rsidR="00134A4D" w:rsidRPr="00283CEC">
        <w:t>, and may cover additional settlements</w:t>
      </w:r>
      <w:r w:rsidR="003C370D" w:rsidRPr="00283CEC">
        <w:t>.</w:t>
      </w:r>
    </w:p>
    <w:p w:rsidR="00E47894" w:rsidRPr="00283CEC" w:rsidRDefault="00AA514A" w:rsidP="002E6458">
      <w:pPr>
        <w:pStyle w:val="bt"/>
      </w:pPr>
      <w:r w:rsidRPr="00283CEC">
        <w:t>Future planning for urban areas will also need to consider the potential for changes in landscape bushfire risk. Changes to landscape can occur over time with the introduction of land uses permitted by planning schemes. An example of potential increased risk associated with landscape change includes the development of timber plantations within natural resource or industrial buffer areas adjacent to existing or planned urban areas. This is particularly relevant for buffer areas around the Yallourn coal mine and the Australian Paper Maryvale site.</w:t>
      </w:r>
    </w:p>
    <w:p w:rsidR="00DD190E" w:rsidRPr="00283CEC" w:rsidRDefault="00DD190E" w:rsidP="002E6458">
      <w:pPr>
        <w:pStyle w:val="bt"/>
      </w:pPr>
      <w:r w:rsidRPr="00283CEC">
        <w:t xml:space="preserve">When addressing bushfire risk, community resilience to </w:t>
      </w:r>
      <w:r w:rsidR="00FF3565" w:rsidRPr="00283CEC">
        <w:t>bushfire</w:t>
      </w:r>
      <w:r w:rsidRPr="00283CEC">
        <w:t xml:space="preserve"> will be strengthened by:</w:t>
      </w:r>
    </w:p>
    <w:p w:rsidR="00DD190E" w:rsidRPr="00283CEC" w:rsidRDefault="00447A03" w:rsidP="00767431">
      <w:pPr>
        <w:pStyle w:val="btbullet"/>
      </w:pPr>
      <w:r w:rsidRPr="00283CEC">
        <w:t xml:space="preserve">prioritising </w:t>
      </w:r>
      <w:r w:rsidR="00DD190E" w:rsidRPr="00283CEC">
        <w:t>the protection of human life over other policy considerations when planning to create or expand a settlement at risk of bushfire</w:t>
      </w:r>
    </w:p>
    <w:p w:rsidR="00DD190E" w:rsidRPr="00283CEC" w:rsidRDefault="00447A03" w:rsidP="00767431">
      <w:pPr>
        <w:pStyle w:val="btbullet"/>
      </w:pPr>
      <w:r w:rsidRPr="00283CEC">
        <w:t xml:space="preserve">applying </w:t>
      </w:r>
      <w:r w:rsidR="00DD190E" w:rsidRPr="00283CEC">
        <w:t>a precautionary approach to planning and decision making when assessing the risk to life, property and community infrastructure from bushfire</w:t>
      </w:r>
    </w:p>
    <w:p w:rsidR="00DD190E" w:rsidRPr="00283CEC" w:rsidRDefault="00447A03" w:rsidP="00767431">
      <w:pPr>
        <w:pStyle w:val="btbullet"/>
      </w:pPr>
      <w:proofErr w:type="gramStart"/>
      <w:r w:rsidRPr="00283CEC">
        <w:t>taking</w:t>
      </w:r>
      <w:proofErr w:type="gramEnd"/>
      <w:r w:rsidRPr="00283CEC">
        <w:t xml:space="preserve"> </w:t>
      </w:r>
      <w:r w:rsidR="00DD190E" w:rsidRPr="00283CEC">
        <w:t>advantage of existing settlement patterns where new development will not expose the community to increased risk from bushfire.</w:t>
      </w:r>
    </w:p>
    <w:p w:rsidR="002B3F7B" w:rsidRPr="00283CEC" w:rsidRDefault="008508AC" w:rsidP="00CC3A69">
      <w:pPr>
        <w:pStyle w:val="Heading4"/>
      </w:pPr>
      <w:r w:rsidRPr="00283CEC">
        <w:t>Acid sulfate soils</w:t>
      </w:r>
    </w:p>
    <w:p w:rsidR="002B3F7B" w:rsidRPr="00283CEC" w:rsidRDefault="002B3F7B" w:rsidP="002E6458">
      <w:pPr>
        <w:pStyle w:val="bt"/>
      </w:pPr>
      <w:r w:rsidRPr="00283CEC">
        <w:t xml:space="preserve">Coastal acid sulfate soils are known to occur in the </w:t>
      </w:r>
      <w:r w:rsidR="004826D3" w:rsidRPr="00283CEC">
        <w:t xml:space="preserve">Gippsland </w:t>
      </w:r>
      <w:r w:rsidRPr="00283CEC">
        <w:t xml:space="preserve">region, and there is a high probability that acid sulfate soils </w:t>
      </w:r>
      <w:r w:rsidR="004826D3" w:rsidRPr="00283CEC">
        <w:t xml:space="preserve">also </w:t>
      </w:r>
      <w:r w:rsidRPr="00283CEC">
        <w:t xml:space="preserve">exist in association with inland wetlands. These soils should remain undisturbed to prevent serious </w:t>
      </w:r>
      <w:r w:rsidR="004826D3" w:rsidRPr="00283CEC">
        <w:t xml:space="preserve">impacts on </w:t>
      </w:r>
      <w:r w:rsidRPr="00283CEC">
        <w:t xml:space="preserve">infrastructure and human health that can result from their mismanagement. The growth proposals </w:t>
      </w:r>
      <w:r w:rsidR="00835F15" w:rsidRPr="00283CEC">
        <w:t xml:space="preserve">in this </w:t>
      </w:r>
      <w:r w:rsidR="00E429E7" w:rsidRPr="00283CEC">
        <w:t>p</w:t>
      </w:r>
      <w:r w:rsidR="00835F15" w:rsidRPr="00283CEC">
        <w:t xml:space="preserve">lan </w:t>
      </w:r>
      <w:r w:rsidRPr="00283CEC">
        <w:t xml:space="preserve">consider the potential for acid sulfate soils </w:t>
      </w:r>
      <w:r w:rsidR="004826D3" w:rsidRPr="00283CEC">
        <w:t xml:space="preserve">by </w:t>
      </w:r>
      <w:r w:rsidRPr="00283CEC">
        <w:t xml:space="preserve">identifying ideal locations for economic and settlement growth opportunities. </w:t>
      </w:r>
      <w:r w:rsidR="0066571C" w:rsidRPr="00283CEC">
        <w:t>Local</w:t>
      </w:r>
      <w:r w:rsidRPr="00283CEC">
        <w:t xml:space="preserve"> planning will need to consider this risk in more detail.</w:t>
      </w:r>
    </w:p>
    <w:p w:rsidR="006030C9" w:rsidRPr="00283CEC" w:rsidRDefault="00A2527C" w:rsidP="00CC3A69">
      <w:pPr>
        <w:pStyle w:val="Heading4"/>
      </w:pPr>
      <w:r w:rsidRPr="00283CEC">
        <w:t>Threats to soil health</w:t>
      </w:r>
    </w:p>
    <w:p w:rsidR="004C37A2" w:rsidRPr="00283CEC" w:rsidRDefault="00A2527C">
      <w:pPr>
        <w:pStyle w:val="bt"/>
      </w:pPr>
      <w:r w:rsidRPr="00283CEC">
        <w:t>Soil erosion and salinity are of particular threat to the health of soils through parts of Gippsland</w:t>
      </w:r>
      <w:r w:rsidR="00E058AB" w:rsidRPr="00283CEC">
        <w:t xml:space="preserve"> and</w:t>
      </w:r>
      <w:r w:rsidRPr="00283CEC">
        <w:t xml:space="preserve"> can affect their productivity, both in terms of being able to support agriculture and forestry and their ability to support other natural assets such as native vegetation. Declining soil health can also have impacts on other assets, such as water quality in waterways, wetlands and estuaries. The catchment management authorities have programs in place to manage soil erosion and salinity threats across the region.  </w:t>
      </w:r>
    </w:p>
    <w:p w:rsidR="004C37A2" w:rsidRPr="00283CEC" w:rsidRDefault="00A2527C">
      <w:pPr>
        <w:pStyle w:val="bt"/>
      </w:pPr>
      <w:r w:rsidRPr="00283CEC">
        <w:t>According to the West Gippsland Erosion Management Plan, tunnel and gully erosion are perceived to be the greatest risk across their region. Sheet and rill erosion are also seen as erosion issues in some cropping areas and in steeper parts of the region.</w:t>
      </w:r>
    </w:p>
    <w:p w:rsidR="00446AFD" w:rsidRPr="00283CEC" w:rsidRDefault="00AA514A" w:rsidP="002E6458">
      <w:pPr>
        <w:pStyle w:val="bt"/>
      </w:pPr>
      <w:r w:rsidRPr="00283CEC">
        <w:t xml:space="preserve">Land slip is a hazard particularly for areas in the west and south of the region around the Strzelecki Ranges and South Gippsland hills, which needs careful consideration in any planning investigations and decisions. Salinity is an important consideration for urban growth, particularly in areas that may experience urban salinity issues, such as Sale and Leongatha. </w:t>
      </w:r>
    </w:p>
    <w:p w:rsidR="003612BF" w:rsidRPr="00283CEC" w:rsidRDefault="003612BF" w:rsidP="002E6458">
      <w:pPr>
        <w:pStyle w:val="bt"/>
      </w:pPr>
      <w:r w:rsidRPr="00283CEC">
        <w:t xml:space="preserve">Land use planning should consider particular threats to soil health, particularly where any settlement growth is proposed in areas of high soil erosion or salinity potential. </w:t>
      </w:r>
      <w:r w:rsidRPr="00283CEC">
        <w:rPr>
          <w:rFonts w:cs="Calibri"/>
          <w:szCs w:val="20"/>
        </w:rPr>
        <w:t>Various overlays can be used by local councils across the region to manage some soil issues, such as the Erosion Management Overlay and the Salinity Management Overlay, however these overlays are not used in every council area in the region.</w:t>
      </w:r>
    </w:p>
    <w:p w:rsidR="002E6458" w:rsidRPr="00283CEC" w:rsidRDefault="002E6458" w:rsidP="002E6458">
      <w:pPr>
        <w:pStyle w:val="bt"/>
        <w:rPr>
          <w:rStyle w:val="Strong"/>
        </w:rPr>
      </w:pPr>
      <w:r w:rsidRPr="00283CEC">
        <w:rPr>
          <w:rStyle w:val="Strong"/>
        </w:rPr>
        <w:t>Strategies for future land use</w:t>
      </w:r>
    </w:p>
    <w:p w:rsidR="002E6458" w:rsidRPr="00283CEC" w:rsidRDefault="002E6458" w:rsidP="00767431">
      <w:pPr>
        <w:pStyle w:val="btbullet"/>
      </w:pPr>
      <w:r w:rsidRPr="00283CEC">
        <w:t xml:space="preserve">Direct urban growth away from areas of high risk from </w:t>
      </w:r>
      <w:r w:rsidR="00FF3565" w:rsidRPr="00283CEC">
        <w:t>bushfire</w:t>
      </w:r>
      <w:r w:rsidRPr="00283CEC">
        <w:t xml:space="preserve">, </w:t>
      </w:r>
      <w:r w:rsidR="00FF3565" w:rsidRPr="00283CEC">
        <w:t>flood</w:t>
      </w:r>
      <w:r w:rsidRPr="00283CEC">
        <w:t>, acid sulfate soils and coastal inundation and adopt a precautionary approach</w:t>
      </w:r>
    </w:p>
    <w:p w:rsidR="002E6458" w:rsidRPr="00283CEC" w:rsidRDefault="002E6458" w:rsidP="00767431">
      <w:pPr>
        <w:pStyle w:val="btbullet"/>
      </w:pPr>
      <w:r w:rsidRPr="00283CEC">
        <w:t>Direct development to locations of lower bushfire risk</w:t>
      </w:r>
    </w:p>
    <w:p w:rsidR="002E6458" w:rsidRPr="00283CEC" w:rsidRDefault="002E6458" w:rsidP="00767431">
      <w:pPr>
        <w:pStyle w:val="btbullet"/>
      </w:pPr>
      <w:r w:rsidRPr="00283CEC">
        <w:t>Carefully consider development in locations where there is significant bushfire risk that cannot be avoided</w:t>
      </w:r>
    </w:p>
    <w:p w:rsidR="002E6458" w:rsidRPr="00283CEC" w:rsidRDefault="002E6458" w:rsidP="00767431">
      <w:pPr>
        <w:pStyle w:val="btbullet"/>
      </w:pPr>
      <w:r w:rsidRPr="00283CEC">
        <w:t>Avoid development in locations of extreme bushfire risk</w:t>
      </w:r>
    </w:p>
    <w:p w:rsidR="002E6458" w:rsidRPr="00283CEC" w:rsidRDefault="002E6458" w:rsidP="00767431">
      <w:pPr>
        <w:pStyle w:val="btbullet"/>
      </w:pPr>
      <w:r w:rsidRPr="00283CEC">
        <w:t xml:space="preserve">Avoid development in areas where planned bushfire protection measures may be incompatible </w:t>
      </w:r>
      <w:r w:rsidR="00447A03" w:rsidRPr="00283CEC">
        <w:br/>
      </w:r>
      <w:r w:rsidRPr="00283CEC">
        <w:t>with other environmental objectives</w:t>
      </w:r>
    </w:p>
    <w:p w:rsidR="002E6458" w:rsidRPr="00283CEC" w:rsidRDefault="002E6458" w:rsidP="00767431">
      <w:pPr>
        <w:pStyle w:val="btbullet"/>
      </w:pPr>
      <w:r w:rsidRPr="00283CEC">
        <w:t>Consistently incorporate information on environmental assets and natural hazards into planning schemes by updating the relevant overlays when necessary to reflect new understanding and to recognise high value environmental assets and priority landscapes identified in regional catchment strategies</w:t>
      </w:r>
    </w:p>
    <w:p w:rsidR="002B3F7B" w:rsidRPr="00283CEC" w:rsidRDefault="008508AC" w:rsidP="00CC3A69">
      <w:pPr>
        <w:pStyle w:val="Heading4"/>
      </w:pPr>
      <w:r w:rsidRPr="00283CEC">
        <w:t>Climate change and coastal hazards</w:t>
      </w:r>
    </w:p>
    <w:p w:rsidR="002B3F7B" w:rsidRPr="00283CEC" w:rsidRDefault="000D1CAB" w:rsidP="00A10AC0">
      <w:pPr>
        <w:pStyle w:val="bt"/>
      </w:pPr>
      <w:r w:rsidRPr="00283CEC">
        <w:rPr>
          <w:rStyle w:val="Emphasis"/>
          <w:i w:val="0"/>
        </w:rPr>
        <w:t xml:space="preserve">The </w:t>
      </w:r>
      <w:r w:rsidR="00804CAA" w:rsidRPr="00283CEC">
        <w:rPr>
          <w:rStyle w:val="Emphasis"/>
          <w:i w:val="0"/>
        </w:rPr>
        <w:t xml:space="preserve">Gippsland Regional Plan </w:t>
      </w:r>
      <w:r w:rsidR="002B3F7B" w:rsidRPr="00283CEC">
        <w:t xml:space="preserve">recognises the </w:t>
      </w:r>
      <w:r w:rsidR="00A66E35" w:rsidRPr="00283CEC">
        <w:t xml:space="preserve">potential </w:t>
      </w:r>
      <w:r w:rsidR="002B3F7B" w:rsidRPr="00283CEC">
        <w:t xml:space="preserve">risks to </w:t>
      </w:r>
      <w:r w:rsidR="004826D3" w:rsidRPr="00283CEC">
        <w:t xml:space="preserve">Gippsland’s </w:t>
      </w:r>
      <w:r w:rsidR="002B3F7B" w:rsidRPr="00283CEC">
        <w:t>natural environments</w:t>
      </w:r>
      <w:r w:rsidR="00745528" w:rsidRPr="00283CEC">
        <w:t>, settlements</w:t>
      </w:r>
      <w:r w:rsidR="002B3F7B" w:rsidRPr="00283CEC">
        <w:t xml:space="preserve"> and economy from climate change, along with potential economic diversification opportunities associated with</w:t>
      </w:r>
      <w:r w:rsidR="006F4318" w:rsidRPr="00283CEC">
        <w:t xml:space="preserve"> climate change and</w:t>
      </w:r>
      <w:r w:rsidR="002B3F7B" w:rsidRPr="00283CEC">
        <w:t xml:space="preserve"> a low carbon economy. More information is needed on the likely impacts of climate change on specific industries across the region and the opportunities that may arise from these changes </w:t>
      </w:r>
      <w:r w:rsidR="004826D3" w:rsidRPr="00283CEC">
        <w:t xml:space="preserve">such as </w:t>
      </w:r>
      <w:r w:rsidR="002B3F7B" w:rsidRPr="00283CEC">
        <w:t xml:space="preserve">new industries and </w:t>
      </w:r>
      <w:r w:rsidR="007D6E23" w:rsidRPr="00283CEC">
        <w:t xml:space="preserve">diversified use of existing </w:t>
      </w:r>
      <w:r w:rsidR="002B3F7B" w:rsidRPr="00283CEC">
        <w:t>commodities</w:t>
      </w:r>
      <w:r w:rsidR="006F4318" w:rsidRPr="00283CEC">
        <w:t>. This information will</w:t>
      </w:r>
      <w:r w:rsidR="002B3F7B" w:rsidRPr="00283CEC">
        <w:t xml:space="preserve"> assist with strategic land use planning, including consideration of any potential increase in </w:t>
      </w:r>
      <w:r w:rsidR="00A66E35" w:rsidRPr="00283CEC">
        <w:t>exposure to natural hazards</w:t>
      </w:r>
      <w:r w:rsidR="002B3F7B" w:rsidRPr="00283CEC">
        <w:t xml:space="preserve">. </w:t>
      </w:r>
      <w:r w:rsidR="00AA514A" w:rsidRPr="00283CEC">
        <w:t>The former Department of Primary Industries, with the University of Melbourne and support from the Gippsland Local Government Network, has undertaken research to explore opportunities associated with climate change including agricultural futures planning.</w:t>
      </w:r>
      <w:r w:rsidR="002B3F7B" w:rsidRPr="00283CEC">
        <w:t xml:space="preserve"> </w:t>
      </w:r>
    </w:p>
    <w:p w:rsidR="00745528" w:rsidRPr="00283CEC" w:rsidRDefault="00745528" w:rsidP="00A10AC0">
      <w:pPr>
        <w:pStyle w:val="bt"/>
      </w:pPr>
      <w:r w:rsidRPr="00283CEC">
        <w:t>Reduced rainfall, more severe droughts and altered forest structures may reduce runoff to critical water catchments as a result of climate change, affecting Gippsland’s ability to supply Melbourne with water, as well as affecting Gippsland’s resident and industry users</w:t>
      </w:r>
      <w:r w:rsidR="00815EA2" w:rsidRPr="00283CEC">
        <w:t xml:space="preserve">, </w:t>
      </w:r>
      <w:r w:rsidRPr="00283CEC">
        <w:t xml:space="preserve">including electricity generators in the Latrobe Valley. More frequent </w:t>
      </w:r>
      <w:r w:rsidR="00FF3565" w:rsidRPr="00283CEC">
        <w:t>bushfire</w:t>
      </w:r>
      <w:r w:rsidRPr="00283CEC">
        <w:t xml:space="preserve"> and increased temperatures also have implications for water quality and may impact on human health and regional tourism.</w:t>
      </w:r>
    </w:p>
    <w:p w:rsidR="002F4E43" w:rsidRPr="00283CEC" w:rsidRDefault="00745528" w:rsidP="00A10AC0">
      <w:pPr>
        <w:pStyle w:val="bt"/>
      </w:pPr>
      <w:r w:rsidRPr="00283CEC">
        <w:t>Important built assets, infrastructure and environmental</w:t>
      </w:r>
      <w:r w:rsidR="002F4E43" w:rsidRPr="00283CEC">
        <w:t xml:space="preserve"> and cultural heritage</w:t>
      </w:r>
      <w:r w:rsidRPr="00283CEC">
        <w:t xml:space="preserve"> assets along the region’s coast</w:t>
      </w:r>
      <w:r w:rsidR="002F4E43" w:rsidRPr="00283CEC">
        <w:t xml:space="preserve"> may be at increased risk due to coastal storms, sea level rise, coastal erosion and inundation as a result of climate change. Losses in residential and commercial property, services and infrastructure may potentially occur as a result of these events. Areas most vulnerable to inundation are the immediate foreshore and low</w:t>
      </w:r>
      <w:r w:rsidR="00447A03" w:rsidRPr="00283CEC">
        <w:t>-</w:t>
      </w:r>
      <w:r w:rsidR="002F4E43" w:rsidRPr="00283CEC">
        <w:t xml:space="preserve">lying coastal areas in the region.  </w:t>
      </w:r>
    </w:p>
    <w:p w:rsidR="002B3F7B" w:rsidRPr="00283CEC" w:rsidRDefault="002F4E43" w:rsidP="00A10AC0">
      <w:pPr>
        <w:pStyle w:val="bt"/>
      </w:pPr>
      <w:r w:rsidRPr="00283CEC">
        <w:t>To respond to climate change and the potential increase in coastal hazards, t</w:t>
      </w:r>
      <w:r w:rsidR="00835F15" w:rsidRPr="00283CEC">
        <w:t xml:space="preserve">his </w:t>
      </w:r>
      <w:r w:rsidR="00815EA2" w:rsidRPr="00283CEC">
        <w:t>p</w:t>
      </w:r>
      <w:r w:rsidR="00835F15" w:rsidRPr="00283CEC">
        <w:t>lan c</w:t>
      </w:r>
      <w:r w:rsidR="002B3F7B" w:rsidRPr="00283CEC">
        <w:t xml:space="preserve">onsiders the potential increase in coastal hazards </w:t>
      </w:r>
      <w:r w:rsidR="00854CCC" w:rsidRPr="00283CEC">
        <w:t xml:space="preserve">by </w:t>
      </w:r>
      <w:r w:rsidR="002B3F7B" w:rsidRPr="00283CEC">
        <w:t xml:space="preserve">identifying strategic </w:t>
      </w:r>
      <w:r w:rsidRPr="00283CEC">
        <w:t xml:space="preserve">and settlement </w:t>
      </w:r>
      <w:r w:rsidR="002B3F7B" w:rsidRPr="00283CEC">
        <w:t>opportunities in coastal areas</w:t>
      </w:r>
      <w:r w:rsidR="00854CCC" w:rsidRPr="00283CEC">
        <w:t>. It s</w:t>
      </w:r>
      <w:r w:rsidR="002B3F7B" w:rsidRPr="00283CEC">
        <w:t>upports the coordination of climate change adaptation initiatives across the region</w:t>
      </w:r>
      <w:r w:rsidRPr="00283CEC">
        <w:t xml:space="preserve">, including implementing the relevant findings of </w:t>
      </w:r>
      <w:r w:rsidR="00854CCC" w:rsidRPr="00283CEC">
        <w:t xml:space="preserve">current </w:t>
      </w:r>
      <w:r w:rsidRPr="00283CEC">
        <w:t>research projects to identify adaptation responses suitable for Gippsland</w:t>
      </w:r>
      <w:r w:rsidR="002B3F7B" w:rsidRPr="00283CEC">
        <w:t xml:space="preserve">. As </w:t>
      </w:r>
      <w:r w:rsidR="006F4318" w:rsidRPr="00283CEC">
        <w:t>information continues to emerge on</w:t>
      </w:r>
      <w:r w:rsidR="002B3F7B" w:rsidRPr="00283CEC">
        <w:t xml:space="preserve"> the potential implications of coastal hazards and climate change, land use planning considerations should be incorporated into strategic</w:t>
      </w:r>
      <w:r w:rsidR="006F4318" w:rsidRPr="00283CEC">
        <w:t xml:space="preserve"> land use</w:t>
      </w:r>
      <w:r w:rsidR="002B3F7B" w:rsidRPr="00283CEC">
        <w:t xml:space="preserve"> planning.</w:t>
      </w:r>
      <w:r w:rsidR="00835F15" w:rsidRPr="00283CEC">
        <w:t xml:space="preserve"> </w:t>
      </w:r>
      <w:r w:rsidR="00854CCC" w:rsidRPr="00283CEC">
        <w:t xml:space="preserve">More </w:t>
      </w:r>
      <w:r w:rsidR="00835F15" w:rsidRPr="00283CEC">
        <w:t xml:space="preserve">information on coastal hazards is available </w:t>
      </w:r>
      <w:r w:rsidR="00854CCC" w:rsidRPr="00283CEC">
        <w:t xml:space="preserve">on </w:t>
      </w:r>
      <w:r w:rsidR="006F4318" w:rsidRPr="00283CEC">
        <w:t>the Victorian Government’s climate change website</w:t>
      </w:r>
      <w:r w:rsidR="006F4318" w:rsidRPr="00283CEC">
        <w:rPr>
          <w:rStyle w:val="FootnoteReference"/>
          <w:rFonts w:cs="Calibri"/>
          <w:szCs w:val="20"/>
        </w:rPr>
        <w:footnoteReference w:id="6"/>
      </w:r>
      <w:r w:rsidR="00835F15" w:rsidRPr="00283CEC">
        <w:t>.</w:t>
      </w:r>
    </w:p>
    <w:p w:rsidR="000D1CAB" w:rsidRPr="00283CEC" w:rsidRDefault="00F7726C" w:rsidP="00A10AC0">
      <w:pPr>
        <w:pStyle w:val="bt"/>
      </w:pPr>
      <w:r w:rsidRPr="00283CEC">
        <w:t>Land use p</w:t>
      </w:r>
      <w:r w:rsidR="000D1CAB" w:rsidRPr="00283CEC">
        <w:t xml:space="preserve">lanning can assist to mitigate </w:t>
      </w:r>
      <w:r w:rsidRPr="00283CEC">
        <w:t xml:space="preserve">climate change impacts through support for measures that reduce greenhouse gas emissions. This may include supporting </w:t>
      </w:r>
      <w:r w:rsidR="00CF3064" w:rsidRPr="00283CEC">
        <w:t>greater investment in less carbon-intensive fossil fuels</w:t>
      </w:r>
      <w:r w:rsidR="00447A03" w:rsidRPr="00283CEC">
        <w:t>,</w:t>
      </w:r>
      <w:r w:rsidR="00CF3064" w:rsidRPr="00283CEC">
        <w:t xml:space="preserve"> such as natural gas, supporting the development of </w:t>
      </w:r>
      <w:r w:rsidRPr="00283CEC">
        <w:t>renewable energy resources</w:t>
      </w:r>
      <w:r w:rsidR="00CF3064" w:rsidRPr="00283CEC">
        <w:t xml:space="preserve"> and </w:t>
      </w:r>
      <w:r w:rsidRPr="00283CEC">
        <w:t>facilitating the introduction of clean coal technologies</w:t>
      </w:r>
      <w:r w:rsidR="00CF3064" w:rsidRPr="00283CEC">
        <w:t xml:space="preserve"> and </w:t>
      </w:r>
      <w:r w:rsidRPr="00283CEC">
        <w:t>carbon capture and storage.</w:t>
      </w:r>
      <w:r w:rsidR="00CF3064" w:rsidRPr="00283CEC">
        <w:t xml:space="preserve"> Management of natural carbon sinks such as native forest and plantation timber can also assist to sequester carb</w:t>
      </w:r>
      <w:r w:rsidR="006063C7" w:rsidRPr="00283CEC">
        <w:t>on dioxide from the atmosphere.</w:t>
      </w:r>
    </w:p>
    <w:p w:rsidR="00A10AC0" w:rsidRPr="00283CEC" w:rsidRDefault="00A10AC0" w:rsidP="00A10AC0">
      <w:pPr>
        <w:pStyle w:val="bt"/>
        <w:rPr>
          <w:rStyle w:val="Strong"/>
        </w:rPr>
      </w:pPr>
      <w:r w:rsidRPr="00283CEC">
        <w:rPr>
          <w:rStyle w:val="Strong"/>
        </w:rPr>
        <w:t>Strategies for future land use</w:t>
      </w:r>
    </w:p>
    <w:p w:rsidR="00A10AC0" w:rsidRPr="00283CEC" w:rsidRDefault="00A10AC0" w:rsidP="00767431">
      <w:pPr>
        <w:pStyle w:val="btbullet"/>
      </w:pPr>
      <w:r w:rsidRPr="00283CEC">
        <w:t xml:space="preserve">Monitor, assess and act on the potential impacts of climate change and collaborate with other agencies </w:t>
      </w:r>
      <w:r w:rsidR="00EA5ED9" w:rsidRPr="00283CEC">
        <w:t xml:space="preserve">and research institutions </w:t>
      </w:r>
      <w:r w:rsidRPr="00283CEC">
        <w:t xml:space="preserve">to inform </w:t>
      </w:r>
      <w:r w:rsidR="00EA5ED9" w:rsidRPr="00283CEC">
        <w:t xml:space="preserve">adaptation strategies including </w:t>
      </w:r>
      <w:r w:rsidRPr="00283CEC">
        <w:t>future land use planning</w:t>
      </w:r>
    </w:p>
    <w:p w:rsidR="00804E7C" w:rsidRPr="00283CEC" w:rsidRDefault="00804E7C" w:rsidP="00767431">
      <w:pPr>
        <w:pStyle w:val="btbullet"/>
      </w:pPr>
      <w:r w:rsidRPr="00283CEC">
        <w:t>Support regional and local climate change mitigation strategies that reduce greenhouse gas emissions</w:t>
      </w:r>
      <w:r w:rsidR="00DF1CDE" w:rsidRPr="00283CEC">
        <w:t xml:space="preserve">, including development of renewable energy, technology investments to improve energy efficiency and optimal use </w:t>
      </w:r>
      <w:r w:rsidR="000D1CAB" w:rsidRPr="00283CEC">
        <w:t xml:space="preserve">of </w:t>
      </w:r>
      <w:r w:rsidR="00DF1CDE" w:rsidRPr="00283CEC">
        <w:t>natural carbon sinks or geological reservoirs</w:t>
      </w:r>
    </w:p>
    <w:p w:rsidR="00A10AC0" w:rsidRPr="00283CEC" w:rsidRDefault="00A10AC0" w:rsidP="00767431">
      <w:pPr>
        <w:pStyle w:val="btbullet"/>
      </w:pPr>
      <w:r w:rsidRPr="00283CEC">
        <w:t xml:space="preserve">Ensure regional and local planning responds to opportunities for innovation and industry development arising from climate change and </w:t>
      </w:r>
      <w:r w:rsidR="005F29B2" w:rsidRPr="00283CEC">
        <w:t>initiatives to reduce greenhouse gas emissions</w:t>
      </w:r>
      <w:r w:rsidRPr="00283CEC">
        <w:t>, for example by facilitating land use change that supports sustainable industry alternatives</w:t>
      </w:r>
    </w:p>
    <w:p w:rsidR="00A10AC0" w:rsidRPr="00283CEC" w:rsidRDefault="00A10AC0" w:rsidP="00767431">
      <w:pPr>
        <w:pStyle w:val="btbullet"/>
        <w:rPr>
          <w:szCs w:val="20"/>
        </w:rPr>
      </w:pPr>
      <w:r w:rsidRPr="00283CEC">
        <w:t>Support initiatives to undertake adaptation planning for climate change impacts in coastal areas and towns and implement through relevant changes to planning schemes</w:t>
      </w:r>
    </w:p>
    <w:p w:rsidR="004F7078" w:rsidRPr="00283CEC" w:rsidRDefault="004F7078" w:rsidP="00A10AC0">
      <w:pPr>
        <w:pStyle w:val="Heading11"/>
      </w:pPr>
      <w:bookmarkStart w:id="78" w:name="_Toc354498450"/>
      <w:bookmarkStart w:id="79" w:name="_Toc354498451"/>
      <w:bookmarkStart w:id="80" w:name="_Toc354498452"/>
      <w:bookmarkStart w:id="81" w:name="_Toc354498453"/>
      <w:bookmarkStart w:id="82" w:name="_Toc354498454"/>
      <w:bookmarkStart w:id="83" w:name="_Toc354498455"/>
      <w:bookmarkStart w:id="84" w:name="_Toc354498456"/>
      <w:bookmarkStart w:id="85" w:name="_Toc354498457"/>
      <w:bookmarkStart w:id="86" w:name="_Toc354498458"/>
      <w:bookmarkStart w:id="87" w:name="_Toc354498459"/>
      <w:bookmarkStart w:id="88" w:name="_Toc354498460"/>
      <w:bookmarkStart w:id="89" w:name="_Toc354498461"/>
      <w:bookmarkStart w:id="90" w:name="_Toc354498462"/>
      <w:bookmarkStart w:id="91" w:name="_Toc354498463"/>
      <w:bookmarkStart w:id="92" w:name="_Toc354498464"/>
      <w:bookmarkStart w:id="93" w:name="_Toc376791249"/>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283CEC">
        <w:t xml:space="preserve">Living in the </w:t>
      </w:r>
      <w:r w:rsidR="00FE187B" w:rsidRPr="00283CEC">
        <w:t>r</w:t>
      </w:r>
      <w:r w:rsidRPr="00283CEC">
        <w:t>egion</w:t>
      </w:r>
      <w:bookmarkEnd w:id="93"/>
    </w:p>
    <w:p w:rsidR="00A10AC0" w:rsidRPr="00283CEC" w:rsidRDefault="00A10AC0" w:rsidP="00A10AC0">
      <w:pPr>
        <w:pStyle w:val="bt"/>
        <w:rPr>
          <w:rStyle w:val="Strong"/>
        </w:rPr>
      </w:pPr>
      <w:r w:rsidRPr="00283CEC">
        <w:rPr>
          <w:rStyle w:val="Strong"/>
        </w:rPr>
        <w:t>Future directions</w:t>
      </w:r>
    </w:p>
    <w:p w:rsidR="00A10AC0" w:rsidRPr="00283CEC" w:rsidRDefault="00A10AC0" w:rsidP="00767431">
      <w:pPr>
        <w:pStyle w:val="btbullet"/>
      </w:pPr>
      <w:r w:rsidRPr="00283CEC">
        <w:t>Promote the sustainable growth and development of Gippsland through an identified network of settlements</w:t>
      </w:r>
    </w:p>
    <w:p w:rsidR="00A10AC0" w:rsidRPr="00283CEC" w:rsidRDefault="00A10AC0" w:rsidP="00767431">
      <w:pPr>
        <w:pStyle w:val="btbullet"/>
      </w:pPr>
      <w:r w:rsidRPr="00283CEC">
        <w:t xml:space="preserve">Develop settlements </w:t>
      </w:r>
      <w:r w:rsidR="00447A03" w:rsidRPr="00283CEC">
        <w:t xml:space="preserve">that </w:t>
      </w:r>
      <w:r w:rsidRPr="00283CEC">
        <w:t>have a strong identity, value their natural and cultural heritage and are prosperous and environmentally sustainable</w:t>
      </w:r>
    </w:p>
    <w:p w:rsidR="00657B30" w:rsidRPr="00283CEC" w:rsidRDefault="00E244E2" w:rsidP="00A10AC0">
      <w:pPr>
        <w:pStyle w:val="bt"/>
      </w:pPr>
      <w:r w:rsidRPr="00283CEC">
        <w:t xml:space="preserve">Gippsland faces particular challenges in accommodating projected population growth within </w:t>
      </w:r>
      <w:r w:rsidR="00E515B6" w:rsidRPr="00283CEC">
        <w:t xml:space="preserve">the </w:t>
      </w:r>
      <w:r w:rsidRPr="00283CEC">
        <w:t xml:space="preserve">context of competing priorities for land and natural resources, and </w:t>
      </w:r>
      <w:r w:rsidR="00E515B6" w:rsidRPr="00283CEC">
        <w:t xml:space="preserve">the </w:t>
      </w:r>
      <w:r w:rsidRPr="00283CEC">
        <w:t xml:space="preserve">potential increased risk from natural hazards such as </w:t>
      </w:r>
      <w:r w:rsidR="00FF3565" w:rsidRPr="00283CEC">
        <w:t>bushfire</w:t>
      </w:r>
      <w:r w:rsidRPr="00283CEC">
        <w:t xml:space="preserve">, coastal inundation and </w:t>
      </w:r>
      <w:r w:rsidR="00FF3565" w:rsidRPr="00283CEC">
        <w:t>flood</w:t>
      </w:r>
      <w:r w:rsidRPr="00283CEC">
        <w:t xml:space="preserve">. A regional settlement </w:t>
      </w:r>
      <w:r w:rsidR="005F456F" w:rsidRPr="00283CEC">
        <w:t xml:space="preserve">framework </w:t>
      </w:r>
      <w:r w:rsidRPr="00283CEC">
        <w:t xml:space="preserve">is needed to </w:t>
      </w:r>
      <w:r w:rsidR="00247FA5" w:rsidRPr="00283CEC">
        <w:t>better understand where and how the region can accommodate a growing population</w:t>
      </w:r>
      <w:r w:rsidR="00825524" w:rsidRPr="00283CEC">
        <w:t xml:space="preserve">. It is also required to </w:t>
      </w:r>
      <w:r w:rsidR="00247FA5" w:rsidRPr="00283CEC">
        <w:t xml:space="preserve">guide urban development to locations that reduce impacts </w:t>
      </w:r>
      <w:r w:rsidR="00825524" w:rsidRPr="00283CEC">
        <w:t xml:space="preserve">on </w:t>
      </w:r>
      <w:r w:rsidR="00247FA5" w:rsidRPr="00283CEC">
        <w:t>environment</w:t>
      </w:r>
      <w:r w:rsidR="00825524" w:rsidRPr="00283CEC">
        <w:t>al</w:t>
      </w:r>
      <w:r w:rsidR="00247FA5" w:rsidRPr="00283CEC">
        <w:t xml:space="preserve"> and </w:t>
      </w:r>
      <w:r w:rsidR="008C1B27" w:rsidRPr="00283CEC">
        <w:t xml:space="preserve">cultural </w:t>
      </w:r>
      <w:r w:rsidR="00247FA5" w:rsidRPr="00283CEC">
        <w:t xml:space="preserve">heritage assets, facilitate economic growth opportunities and reduce </w:t>
      </w:r>
      <w:r w:rsidR="00825524" w:rsidRPr="00283CEC">
        <w:t xml:space="preserve">the </w:t>
      </w:r>
      <w:r w:rsidR="00247FA5" w:rsidRPr="00283CEC">
        <w:t>risk</w:t>
      </w:r>
      <w:r w:rsidR="00825524" w:rsidRPr="00283CEC">
        <w:t>s</w:t>
      </w:r>
      <w:r w:rsidR="00247FA5" w:rsidRPr="00283CEC">
        <w:t xml:space="preserve"> from natural hazards. </w:t>
      </w:r>
      <w:r w:rsidR="005F456F" w:rsidRPr="00283CEC">
        <w:t xml:space="preserve">This </w:t>
      </w:r>
      <w:r w:rsidR="00825524" w:rsidRPr="00283CEC">
        <w:t>p</w:t>
      </w:r>
      <w:r w:rsidR="00247FA5" w:rsidRPr="00283CEC">
        <w:t xml:space="preserve">lan </w:t>
      </w:r>
      <w:r w:rsidR="00F83252" w:rsidRPr="00283CEC">
        <w:t xml:space="preserve">aims to </w:t>
      </w:r>
      <w:r w:rsidR="002C457D" w:rsidRPr="00283CEC">
        <w:t xml:space="preserve">support </w:t>
      </w:r>
      <w:r w:rsidR="00F83252" w:rsidRPr="00283CEC">
        <w:t xml:space="preserve">safe and </w:t>
      </w:r>
      <w:r w:rsidR="002C457D" w:rsidRPr="00283CEC">
        <w:t>well planned</w:t>
      </w:r>
      <w:r w:rsidR="00F83252" w:rsidRPr="00283CEC">
        <w:t xml:space="preserve"> urban settlement that provide</w:t>
      </w:r>
      <w:r w:rsidR="00E515B6" w:rsidRPr="00283CEC">
        <w:t>s</w:t>
      </w:r>
      <w:r w:rsidR="00F83252" w:rsidRPr="00283CEC">
        <w:t xml:space="preserve"> a quality living environment,</w:t>
      </w:r>
      <w:r w:rsidR="00EE16A1" w:rsidRPr="00283CEC">
        <w:t xml:space="preserve"> thriving economies</w:t>
      </w:r>
      <w:r w:rsidR="004A401D" w:rsidRPr="00283CEC">
        <w:t xml:space="preserve"> and </w:t>
      </w:r>
      <w:r w:rsidR="00F83252" w:rsidRPr="00283CEC">
        <w:t>equitable access to services.</w:t>
      </w:r>
    </w:p>
    <w:p w:rsidR="00010247" w:rsidRPr="00283CEC" w:rsidRDefault="00010247" w:rsidP="00A10AC0">
      <w:pPr>
        <w:pStyle w:val="bt"/>
      </w:pPr>
      <w:r w:rsidRPr="00283CEC">
        <w:t xml:space="preserve">Gippsland’s settlements will need to accommodate a </w:t>
      </w:r>
      <w:r w:rsidR="00765F29" w:rsidRPr="00283CEC">
        <w:t xml:space="preserve">projected </w:t>
      </w:r>
      <w:r w:rsidRPr="00283CEC">
        <w:t xml:space="preserve">increase in population of approximately </w:t>
      </w:r>
      <w:r w:rsidR="00D76D8C" w:rsidRPr="00283CEC">
        <w:t>116</w:t>
      </w:r>
      <w:r w:rsidR="00A337BF" w:rsidRPr="00283CEC">
        <w:t>,</w:t>
      </w:r>
      <w:r w:rsidR="00D76D8C" w:rsidRPr="00283CEC">
        <w:t xml:space="preserve">000 </w:t>
      </w:r>
      <w:r w:rsidR="00E515B6" w:rsidRPr="00283CEC">
        <w:t>people</w:t>
      </w:r>
      <w:r w:rsidR="00765F29" w:rsidRPr="00283CEC">
        <w:t xml:space="preserve">, </w:t>
      </w:r>
      <w:r w:rsidRPr="00283CEC">
        <w:t>from 270,</w:t>
      </w:r>
      <w:r w:rsidR="00A337BF" w:rsidRPr="00283CEC">
        <w:t>4</w:t>
      </w:r>
      <w:r w:rsidRPr="00283CEC">
        <w:t>00</w:t>
      </w:r>
      <w:r w:rsidR="00765F29" w:rsidRPr="00283CEC">
        <w:t xml:space="preserve"> in 2011</w:t>
      </w:r>
      <w:r w:rsidRPr="00283CEC">
        <w:t xml:space="preserve"> to 3</w:t>
      </w:r>
      <w:r w:rsidR="00A337BF" w:rsidRPr="00283CEC">
        <w:t>8</w:t>
      </w:r>
      <w:r w:rsidR="008B098E" w:rsidRPr="00283CEC">
        <w:t>6</w:t>
      </w:r>
      <w:r w:rsidRPr="00283CEC">
        <w:t xml:space="preserve">,000 </w:t>
      </w:r>
      <w:r w:rsidR="00765F29" w:rsidRPr="00283CEC">
        <w:t xml:space="preserve">in </w:t>
      </w:r>
      <w:r w:rsidRPr="00283CEC">
        <w:t>20</w:t>
      </w:r>
      <w:r w:rsidR="00A337BF" w:rsidRPr="00283CEC">
        <w:t>4</w:t>
      </w:r>
      <w:r w:rsidRPr="00283CEC">
        <w:t xml:space="preserve">1. The </w:t>
      </w:r>
      <w:r w:rsidR="00765F29" w:rsidRPr="00283CEC">
        <w:t>forecast annual average population growth rate of 1.</w:t>
      </w:r>
      <w:r w:rsidR="00A337BF" w:rsidRPr="00283CEC">
        <w:t>19</w:t>
      </w:r>
      <w:r w:rsidR="00825524" w:rsidRPr="00283CEC">
        <w:t xml:space="preserve"> per cent </w:t>
      </w:r>
      <w:r w:rsidR="00765F29" w:rsidRPr="00283CEC">
        <w:t>is mid</w:t>
      </w:r>
      <w:r w:rsidR="00E515B6" w:rsidRPr="00283CEC">
        <w:t>-</w:t>
      </w:r>
      <w:r w:rsidR="00765F29" w:rsidRPr="00283CEC">
        <w:t xml:space="preserve">range among Victoria’s </w:t>
      </w:r>
      <w:r w:rsidRPr="00283CEC">
        <w:t>region</w:t>
      </w:r>
      <w:r w:rsidR="00765F29" w:rsidRPr="00283CEC">
        <w:t xml:space="preserve">s. </w:t>
      </w:r>
    </w:p>
    <w:p w:rsidR="00010247" w:rsidRPr="00283CEC" w:rsidRDefault="00010247" w:rsidP="00A10AC0">
      <w:pPr>
        <w:pStyle w:val="bt"/>
      </w:pPr>
      <w:r w:rsidRPr="00283CEC">
        <w:t xml:space="preserve">Gippsland </w:t>
      </w:r>
      <w:r w:rsidR="00E07D8F" w:rsidRPr="00283CEC">
        <w:t xml:space="preserve">also </w:t>
      </w:r>
      <w:r w:rsidRPr="00283CEC">
        <w:t xml:space="preserve">has opportunities to grow </w:t>
      </w:r>
      <w:r w:rsidR="00E07D8F" w:rsidRPr="00283CEC">
        <w:t xml:space="preserve">its population </w:t>
      </w:r>
      <w:r w:rsidRPr="00283CEC">
        <w:t>at a</w:t>
      </w:r>
      <w:r w:rsidR="00AF05A6" w:rsidRPr="00283CEC">
        <w:t xml:space="preserve"> </w:t>
      </w:r>
      <w:r w:rsidRPr="00283CEC">
        <w:t xml:space="preserve">faster rate by attracting and retaining more people. </w:t>
      </w:r>
      <w:r w:rsidR="00E07D8F" w:rsidRPr="00283CEC">
        <w:t>The region’s population could reach 465,000 by 2041 with s</w:t>
      </w:r>
      <w:r w:rsidRPr="00283CEC">
        <w:t xml:space="preserve">ignificant investment in natural resources </w:t>
      </w:r>
      <w:r w:rsidR="00825524" w:rsidRPr="00283CEC">
        <w:t xml:space="preserve">such as </w:t>
      </w:r>
      <w:r w:rsidR="006D348B" w:rsidRPr="00283CEC">
        <w:t xml:space="preserve">energy resources </w:t>
      </w:r>
      <w:r w:rsidRPr="00283CEC">
        <w:t xml:space="preserve">and agriculture, improved access to and from Melbourne, </w:t>
      </w:r>
      <w:r w:rsidR="00E07D8F" w:rsidRPr="00283CEC">
        <w:t xml:space="preserve">improved </w:t>
      </w:r>
      <w:r w:rsidRPr="00283CEC">
        <w:t xml:space="preserve">lifestyle and housing affordability, and </w:t>
      </w:r>
      <w:r w:rsidR="00E07D8F" w:rsidRPr="00283CEC">
        <w:t xml:space="preserve">upgraded </w:t>
      </w:r>
      <w:r w:rsidRPr="00283CEC">
        <w:t xml:space="preserve">services and facilities in the region’s main towns. </w:t>
      </w:r>
    </w:p>
    <w:p w:rsidR="00010247" w:rsidRPr="00283CEC" w:rsidRDefault="00C23D4D" w:rsidP="00A10AC0">
      <w:pPr>
        <w:pStyle w:val="bt"/>
      </w:pPr>
      <w:r w:rsidRPr="00283CEC">
        <w:t xml:space="preserve">Strategies to increase youth retention are </w:t>
      </w:r>
      <w:r w:rsidR="00010247" w:rsidRPr="00283CEC">
        <w:t xml:space="preserve">seen as one way </w:t>
      </w:r>
      <w:r w:rsidRPr="00283CEC">
        <w:t xml:space="preserve">to </w:t>
      </w:r>
      <w:r w:rsidR="00010247" w:rsidRPr="00283CEC">
        <w:t>lessen</w:t>
      </w:r>
      <w:r w:rsidRPr="00283CEC">
        <w:t xml:space="preserve"> </w:t>
      </w:r>
      <w:r w:rsidR="00010247" w:rsidRPr="00283CEC">
        <w:t xml:space="preserve">the </w:t>
      </w:r>
      <w:r w:rsidRPr="00283CEC">
        <w:t xml:space="preserve">projected </w:t>
      </w:r>
      <w:r w:rsidR="00010247" w:rsidRPr="00283CEC">
        <w:t>ageing of</w:t>
      </w:r>
      <w:r w:rsidRPr="00283CEC">
        <w:t xml:space="preserve"> the region’s </w:t>
      </w:r>
      <w:r w:rsidR="00010247" w:rsidRPr="00283CEC">
        <w:t xml:space="preserve">population profile. Similar to national trends, the forecast growth of retirement </w:t>
      </w:r>
      <w:r w:rsidR="00E07D8F" w:rsidRPr="00283CEC">
        <w:t xml:space="preserve">age </w:t>
      </w:r>
      <w:r w:rsidR="00010247" w:rsidRPr="00283CEC">
        <w:t>and elderly population groups is projected to increase from 20</w:t>
      </w:r>
      <w:r w:rsidR="00825524" w:rsidRPr="00283CEC">
        <w:t xml:space="preserve"> per </w:t>
      </w:r>
      <w:r w:rsidR="007B4368" w:rsidRPr="00283CEC">
        <w:t>cent to</w:t>
      </w:r>
      <w:r w:rsidR="00010247" w:rsidRPr="00283CEC">
        <w:t xml:space="preserve"> 35</w:t>
      </w:r>
      <w:r w:rsidR="00825524" w:rsidRPr="00283CEC">
        <w:t xml:space="preserve"> per cent</w:t>
      </w:r>
      <w:r w:rsidR="00010247" w:rsidRPr="00283CEC">
        <w:t xml:space="preserve"> by 2031. However, the age structure varies across the region between municipalities. Baw </w:t>
      </w:r>
      <w:proofErr w:type="spellStart"/>
      <w:r w:rsidR="00010247" w:rsidRPr="00283CEC">
        <w:t>Baw</w:t>
      </w:r>
      <w:proofErr w:type="spellEnd"/>
      <w:r w:rsidR="00010247" w:rsidRPr="00283CEC">
        <w:t xml:space="preserve"> and Latrobe have the youngest populations while Bass Coast and East Gippsland have the oldest.</w:t>
      </w:r>
    </w:p>
    <w:p w:rsidR="00AB1700" w:rsidRPr="00283CEC" w:rsidRDefault="00AB1700" w:rsidP="00A10AC0">
      <w:pPr>
        <w:pStyle w:val="Heading2"/>
        <w:rPr>
          <w:color w:val="auto"/>
        </w:rPr>
      </w:pPr>
      <w:bookmarkStart w:id="94" w:name="_Toc376791250"/>
      <w:r w:rsidRPr="00283CEC">
        <w:rPr>
          <w:color w:val="auto"/>
        </w:rPr>
        <w:t xml:space="preserve">Existing </w:t>
      </w:r>
      <w:r w:rsidR="00E515B6" w:rsidRPr="00283CEC">
        <w:rPr>
          <w:color w:val="auto"/>
        </w:rPr>
        <w:t>s</w:t>
      </w:r>
      <w:r w:rsidRPr="00283CEC">
        <w:rPr>
          <w:color w:val="auto"/>
        </w:rPr>
        <w:t xml:space="preserve">ettlement </w:t>
      </w:r>
      <w:r w:rsidR="00E515B6" w:rsidRPr="00283CEC">
        <w:rPr>
          <w:color w:val="auto"/>
        </w:rPr>
        <w:t>f</w:t>
      </w:r>
      <w:r w:rsidRPr="00283CEC">
        <w:rPr>
          <w:color w:val="auto"/>
        </w:rPr>
        <w:t>ramework</w:t>
      </w:r>
      <w:bookmarkEnd w:id="94"/>
    </w:p>
    <w:p w:rsidR="00010247" w:rsidRPr="00283CEC" w:rsidRDefault="00B136F0" w:rsidP="00A10AC0">
      <w:pPr>
        <w:pStyle w:val="bt"/>
        <w:rPr>
          <w:szCs w:val="20"/>
        </w:rPr>
      </w:pPr>
      <w:r w:rsidRPr="00283CEC">
        <w:rPr>
          <w:szCs w:val="20"/>
        </w:rPr>
        <w:t>Gippsland s</w:t>
      </w:r>
      <w:r w:rsidR="00010247" w:rsidRPr="00283CEC">
        <w:rPr>
          <w:szCs w:val="20"/>
        </w:rPr>
        <w:t xml:space="preserve">ettlements </w:t>
      </w:r>
      <w:r w:rsidR="0097688D" w:rsidRPr="00283CEC">
        <w:rPr>
          <w:szCs w:val="20"/>
        </w:rPr>
        <w:t xml:space="preserve">that have experienced </w:t>
      </w:r>
      <w:r w:rsidR="00010247" w:rsidRPr="00283CEC">
        <w:rPr>
          <w:szCs w:val="20"/>
        </w:rPr>
        <w:t xml:space="preserve">strong growth in recent times </w:t>
      </w:r>
      <w:r w:rsidRPr="00283CEC">
        <w:rPr>
          <w:szCs w:val="20"/>
        </w:rPr>
        <w:t>include</w:t>
      </w:r>
      <w:r w:rsidR="00010247" w:rsidRPr="00283CEC">
        <w:rPr>
          <w:szCs w:val="20"/>
        </w:rPr>
        <w:t xml:space="preserve"> Traralgon, Warragul, Drouin, Wonthaggi and Bairnsdale. Muc</w:t>
      </w:r>
      <w:r w:rsidR="0097688D" w:rsidRPr="00283CEC">
        <w:rPr>
          <w:szCs w:val="20"/>
        </w:rPr>
        <w:t>h of this growth comes from Melbourne</w:t>
      </w:r>
      <w:r w:rsidRPr="00283CEC">
        <w:rPr>
          <w:szCs w:val="20"/>
        </w:rPr>
        <w:t>,</w:t>
      </w:r>
      <w:r w:rsidR="0097688D" w:rsidRPr="00283CEC">
        <w:rPr>
          <w:szCs w:val="20"/>
        </w:rPr>
        <w:t xml:space="preserve"> </w:t>
      </w:r>
      <w:r w:rsidR="00010247" w:rsidRPr="00283CEC">
        <w:rPr>
          <w:szCs w:val="20"/>
        </w:rPr>
        <w:t>driven by housing affordability, access to metropolitan services and employment, and the regional town, rural and</w:t>
      </w:r>
      <w:r w:rsidR="00872725" w:rsidRPr="00283CEC">
        <w:rPr>
          <w:szCs w:val="20"/>
        </w:rPr>
        <w:t xml:space="preserve"> </w:t>
      </w:r>
      <w:r w:rsidR="00010247" w:rsidRPr="00283CEC">
        <w:rPr>
          <w:szCs w:val="20"/>
        </w:rPr>
        <w:t xml:space="preserve">coastal lifestyles on offer. </w:t>
      </w:r>
    </w:p>
    <w:p w:rsidR="00010247" w:rsidRPr="001960DD" w:rsidRDefault="00010247" w:rsidP="00A10AC0">
      <w:pPr>
        <w:pStyle w:val="bt"/>
        <w:rPr>
          <w:szCs w:val="20"/>
        </w:rPr>
      </w:pPr>
      <w:r w:rsidRPr="00283CEC">
        <w:rPr>
          <w:szCs w:val="20"/>
        </w:rPr>
        <w:t xml:space="preserve">The region is characterised by a settlement pattern that is mainly focused </w:t>
      </w:r>
      <w:r w:rsidR="00B136F0" w:rsidRPr="00283CEC">
        <w:rPr>
          <w:szCs w:val="20"/>
        </w:rPr>
        <w:t xml:space="preserve">on its </w:t>
      </w:r>
      <w:r w:rsidRPr="00283CEC">
        <w:rPr>
          <w:szCs w:val="20"/>
        </w:rPr>
        <w:t>primary transport network</w:t>
      </w:r>
      <w:r w:rsidR="00086700" w:rsidRPr="00283CEC">
        <w:rPr>
          <w:szCs w:val="20"/>
        </w:rPr>
        <w:t>s</w:t>
      </w:r>
      <w:r w:rsidRPr="00283CEC">
        <w:rPr>
          <w:szCs w:val="20"/>
        </w:rPr>
        <w:t>. While most of the population is locat</w:t>
      </w:r>
      <w:r w:rsidR="008915EB" w:rsidRPr="00283CEC">
        <w:rPr>
          <w:szCs w:val="20"/>
        </w:rPr>
        <w:t xml:space="preserve">ed in the region’s main towns, </w:t>
      </w:r>
      <w:r w:rsidRPr="00283CEC">
        <w:rPr>
          <w:szCs w:val="20"/>
        </w:rPr>
        <w:t xml:space="preserve">more than </w:t>
      </w:r>
      <w:r w:rsidR="00B136F0" w:rsidRPr="00283CEC">
        <w:rPr>
          <w:szCs w:val="20"/>
        </w:rPr>
        <w:t>30</w:t>
      </w:r>
      <w:r w:rsidR="00825524" w:rsidRPr="00283CEC">
        <w:rPr>
          <w:szCs w:val="20"/>
        </w:rPr>
        <w:t xml:space="preserve"> per cent</w:t>
      </w:r>
      <w:r w:rsidRPr="00283CEC">
        <w:rPr>
          <w:szCs w:val="20"/>
        </w:rPr>
        <w:t xml:space="preserve"> of the region’s population reside</w:t>
      </w:r>
      <w:r w:rsidR="00B136F0" w:rsidRPr="00283CEC">
        <w:rPr>
          <w:szCs w:val="20"/>
        </w:rPr>
        <w:t>s</w:t>
      </w:r>
      <w:r w:rsidRPr="00283CEC">
        <w:rPr>
          <w:szCs w:val="20"/>
        </w:rPr>
        <w:t xml:space="preserve"> in settlements of less than 500</w:t>
      </w:r>
      <w:r w:rsidR="00B136F0" w:rsidRPr="00283CEC">
        <w:rPr>
          <w:szCs w:val="20"/>
        </w:rPr>
        <w:t xml:space="preserve"> people</w:t>
      </w:r>
      <w:r w:rsidRPr="00283CEC">
        <w:rPr>
          <w:szCs w:val="20"/>
        </w:rPr>
        <w:t>.</w:t>
      </w:r>
      <w:r w:rsidR="00086700" w:rsidRPr="00283CEC">
        <w:rPr>
          <w:szCs w:val="20"/>
        </w:rPr>
        <w:t xml:space="preserve"> The relative proportions will change as larger </w:t>
      </w:r>
      <w:r w:rsidR="00EC7DE7">
        <w:rPr>
          <w:szCs w:val="20"/>
        </w:rPr>
        <w:t>centres and towns become more urbanised.</w:t>
      </w:r>
    </w:p>
    <w:p w:rsidR="00010247" w:rsidRPr="001960DD" w:rsidRDefault="00EC7DE7" w:rsidP="00A10AC0">
      <w:pPr>
        <w:pStyle w:val="bt"/>
        <w:rPr>
          <w:szCs w:val="20"/>
        </w:rPr>
      </w:pPr>
      <w:r w:rsidRPr="00EC7DE7">
        <w:rPr>
          <w:szCs w:val="20"/>
        </w:rPr>
        <w:t xml:space="preserve">The main population centres along the Princes Highway are Warragul/Drouin, Latrobe City as the regional city consisting of Moe, Morwell, Traralgon and Churchill, Sale and Bairnsdale. In southern Gippsland, Wonthaggi and Leongatha are the main population centres with Phillip Island also experiencing strong growth. </w:t>
      </w:r>
    </w:p>
    <w:p w:rsidR="00010247" w:rsidRPr="001960DD" w:rsidRDefault="00EC7DE7" w:rsidP="00A10AC0">
      <w:pPr>
        <w:pStyle w:val="bt"/>
        <w:rPr>
          <w:szCs w:val="20"/>
        </w:rPr>
      </w:pPr>
      <w:r>
        <w:rPr>
          <w:szCs w:val="20"/>
        </w:rPr>
        <w:t>There are other smaller towns that provide an important district service centre role and provide basic commercial and service functions for local residents and wider catchments of rural populations. These towns include Lakes Entrance, Orbost, Omeo, Mallacoota, Foster, Mirboo North, Maffra, Heyfield, Rosedale, Yarram and Trafalgar.</w:t>
      </w:r>
    </w:p>
    <w:p w:rsidR="004F652F" w:rsidRPr="001960DD" w:rsidRDefault="00EC7DE7" w:rsidP="00A10AC0">
      <w:pPr>
        <w:pStyle w:val="bt"/>
        <w:rPr>
          <w:szCs w:val="20"/>
        </w:rPr>
      </w:pPr>
      <w:r>
        <w:rPr>
          <w:szCs w:val="20"/>
        </w:rPr>
        <w:t>Many smaller towns and settlements experiencing limited growth provide a local service function and offer an alternative lifestyle option. These places tend to be along the coast or in rural settings across Gippsland. Outside these settlements there are many low density rural residential style developments where people enjoy living in attractive landscapes with some services and close proximity to towns.</w:t>
      </w:r>
    </w:p>
    <w:p w:rsidR="00205448" w:rsidRPr="001960DD" w:rsidRDefault="00EC7DE7" w:rsidP="00A10AC0">
      <w:pPr>
        <w:pStyle w:val="Heading2"/>
        <w:rPr>
          <w:color w:val="auto"/>
        </w:rPr>
      </w:pPr>
      <w:bookmarkStart w:id="95" w:name="_Toc376791251"/>
      <w:r>
        <w:rPr>
          <w:color w:val="auto"/>
        </w:rPr>
        <w:t>Future settlement pattern</w:t>
      </w:r>
      <w:bookmarkEnd w:id="95"/>
    </w:p>
    <w:p w:rsidR="00D76D8C" w:rsidRPr="001960DD" w:rsidRDefault="00EC7DE7" w:rsidP="00A10AC0">
      <w:pPr>
        <w:pStyle w:val="bt"/>
      </w:pPr>
      <w:r>
        <w:t xml:space="preserve">Development of a regional settlement framework for Gippsland is influenced by the need to: </w:t>
      </w:r>
    </w:p>
    <w:p w:rsidR="00E01E11" w:rsidRPr="001960DD" w:rsidRDefault="00EC7DE7" w:rsidP="00767431">
      <w:pPr>
        <w:pStyle w:val="btbullet"/>
      </w:pPr>
      <w:r>
        <w:t>manage growth in areas subject to growth pressures</w:t>
      </w:r>
    </w:p>
    <w:p w:rsidR="00E01E11" w:rsidRPr="001960DD" w:rsidRDefault="00EC7DE7" w:rsidP="00767431">
      <w:pPr>
        <w:pStyle w:val="btbullet"/>
      </w:pPr>
      <w:r>
        <w:t>complement and support economic growth directions and community preferences</w:t>
      </w:r>
    </w:p>
    <w:p w:rsidR="00E01E11" w:rsidRPr="001960DD" w:rsidRDefault="00EC7DE7" w:rsidP="00767431">
      <w:pPr>
        <w:pStyle w:val="btbullet"/>
      </w:pPr>
      <w:r>
        <w:t>resolve competing demand from other land uses such as agriculture and mining</w:t>
      </w:r>
    </w:p>
    <w:p w:rsidR="00E01E11" w:rsidRPr="001960DD" w:rsidRDefault="00EC7DE7" w:rsidP="00767431">
      <w:pPr>
        <w:pStyle w:val="btbullet"/>
      </w:pPr>
      <w:r>
        <w:t xml:space="preserve">avoid natural hazards such as bushfire, flood and coastal inundation </w:t>
      </w:r>
    </w:p>
    <w:p w:rsidR="00E01E11" w:rsidRPr="001960DD" w:rsidRDefault="00EC7DE7" w:rsidP="00767431">
      <w:pPr>
        <w:pStyle w:val="btbullet"/>
      </w:pPr>
      <w:proofErr w:type="gramStart"/>
      <w:r>
        <w:t>protect</w:t>
      </w:r>
      <w:proofErr w:type="gramEnd"/>
      <w:r>
        <w:t xml:space="preserve"> highly valued environmental and cultural heritage assets. </w:t>
      </w:r>
    </w:p>
    <w:p w:rsidR="00010247" w:rsidRPr="001960DD" w:rsidRDefault="00EC7DE7" w:rsidP="00A10AC0">
      <w:pPr>
        <w:pStyle w:val="bt"/>
      </w:pPr>
      <w:r>
        <w:t>Population projections and economic analysis indicate the majority of growth will occur in the regional city, other regional centres and main towns. Proximity to Melbourne, employment opportunities, landscape and amenity locations, and access to transport connections are also factors attracting growth to particular locations.</w:t>
      </w:r>
    </w:p>
    <w:p w:rsidR="00010247" w:rsidRPr="001960DD" w:rsidRDefault="00EC7DE7" w:rsidP="00CC3A69">
      <w:pPr>
        <w:pStyle w:val="Heading4"/>
      </w:pPr>
      <w:r>
        <w:t>A network of integrated and prosperous settlements: regional city, regional centres and towns</w:t>
      </w:r>
    </w:p>
    <w:p w:rsidR="00B23ED9" w:rsidRPr="001960DD" w:rsidRDefault="00EC7DE7" w:rsidP="00A10AC0">
      <w:pPr>
        <w:pStyle w:val="bt"/>
      </w:pPr>
      <w:r>
        <w:rPr>
          <w:szCs w:val="20"/>
        </w:rPr>
        <w:t>The region is planning for strong population growth dispersed across Gippsland, with most of that growth focused in and close to the regional city, and other regional centres. It includes Latrobe City, and a network of sub-regional centres comprising a regional centre and one or two nearby smaller towns that provide alternate lifestyle options (see Map 9). This approach will enable the Latrobe Valley corridor, southern Gippsland and other coastal and inland areas to have appropriate focus points for business, services and community interaction.</w:t>
      </w:r>
    </w:p>
    <w:p w:rsidR="004935F6" w:rsidRPr="001960DD" w:rsidRDefault="00EC7DE7" w:rsidP="00A10AC0">
      <w:pPr>
        <w:pStyle w:val="bt"/>
        <w:rPr>
          <w:szCs w:val="20"/>
        </w:rPr>
      </w:pPr>
      <w:r w:rsidRPr="00EC7DE7">
        <w:rPr>
          <w:szCs w:val="20"/>
        </w:rPr>
        <w:t xml:space="preserve">Direction 6.2 of </w:t>
      </w:r>
      <w:r w:rsidRPr="00EC7DE7">
        <w:rPr>
          <w:i/>
          <w:szCs w:val="20"/>
        </w:rPr>
        <w:t>Plan Melbourne</w:t>
      </w:r>
      <w:r w:rsidRPr="00EC7DE7">
        <w:rPr>
          <w:szCs w:val="20"/>
        </w:rPr>
        <w:t xml:space="preserve"> seeks to rebalance Victoria’s population growth from Melbourne to rural and regional Victoria over the life of the metropolitan planning strategy. Initiative 6.2.1 states: “In partnership with local government develop peri-urban town plans to increase the supply of land for housing and attract population growth out of </w:t>
      </w:r>
      <w:r w:rsidR="003752B3">
        <w:rPr>
          <w:szCs w:val="20"/>
        </w:rPr>
        <w:t xml:space="preserve">Melbourne.” </w:t>
      </w:r>
      <w:r w:rsidR="003752B3">
        <w:t xml:space="preserve">Warragul/Drouin, </w:t>
      </w:r>
      <w:r w:rsidR="003752B3" w:rsidRPr="00686DF1">
        <w:t xml:space="preserve">Wonthaggi </w:t>
      </w:r>
      <w:r w:rsidR="003752B3">
        <w:t xml:space="preserve">and Leongatha </w:t>
      </w:r>
      <w:r w:rsidRPr="00EC7DE7">
        <w:rPr>
          <w:szCs w:val="20"/>
        </w:rPr>
        <w:t>are identified as potential towns for growth.</w:t>
      </w:r>
    </w:p>
    <w:p w:rsidR="00010247" w:rsidRPr="001960DD" w:rsidRDefault="00EC7DE7" w:rsidP="00A10AC0">
      <w:pPr>
        <w:pStyle w:val="bt"/>
      </w:pPr>
      <w:r>
        <w:t>The Gippsland region aims to build on a networked settlement approach in order to:</w:t>
      </w:r>
    </w:p>
    <w:p w:rsidR="00010247" w:rsidRPr="001960DD" w:rsidRDefault="00EC7DE7" w:rsidP="00767431">
      <w:pPr>
        <w:pStyle w:val="btbullet"/>
      </w:pPr>
      <w:r>
        <w:t>foster larger urban centres with the ability to support higher labour productivity and jobs</w:t>
      </w:r>
    </w:p>
    <w:p w:rsidR="00010247" w:rsidRPr="001960DD" w:rsidRDefault="00EC7DE7" w:rsidP="00767431">
      <w:pPr>
        <w:pStyle w:val="btbullet"/>
      </w:pPr>
      <w:r>
        <w:t>diversify the economy and attract investment in the projected higher employment service sector industries of healthcare, scientific and technical services, retail, trade, accommodation and food</w:t>
      </w:r>
    </w:p>
    <w:p w:rsidR="00010247" w:rsidRPr="001960DD" w:rsidRDefault="00EC7DE7" w:rsidP="00767431">
      <w:pPr>
        <w:pStyle w:val="btbullet"/>
      </w:pPr>
      <w:r>
        <w:t>facilitate interaction among businesses by concentrating the location of services and facilities</w:t>
      </w:r>
    </w:p>
    <w:p w:rsidR="00086700" w:rsidRPr="001960DD" w:rsidRDefault="00EC7DE7" w:rsidP="00767431">
      <w:pPr>
        <w:pStyle w:val="btbullet"/>
      </w:pPr>
      <w:r>
        <w:t>enable surrounding areas to benefit by growing their own economies due to their access to higher order services and diversity of economic opportunities</w:t>
      </w:r>
    </w:p>
    <w:p w:rsidR="00010247" w:rsidRPr="001960DD" w:rsidRDefault="00EC7DE7" w:rsidP="00767431">
      <w:pPr>
        <w:pStyle w:val="btbullet"/>
      </w:pPr>
      <w:r>
        <w:t>efficiently provide higher order services to communities throughout the region</w:t>
      </w:r>
    </w:p>
    <w:p w:rsidR="00010247" w:rsidRPr="001960DD" w:rsidRDefault="00EC7DE7" w:rsidP="00767431">
      <w:pPr>
        <w:pStyle w:val="btbullet"/>
      </w:pPr>
      <w:r>
        <w:t>support the retention of the region’s youth and skilled workers</w:t>
      </w:r>
    </w:p>
    <w:p w:rsidR="00010247" w:rsidRPr="001960DD" w:rsidRDefault="00EC7DE7" w:rsidP="00767431">
      <w:pPr>
        <w:pStyle w:val="btbullet"/>
      </w:pPr>
      <w:r>
        <w:t>utilise existing infrastructure and service capacity and reduce costs to government and the community</w:t>
      </w:r>
    </w:p>
    <w:p w:rsidR="00010247" w:rsidRPr="001960DD" w:rsidRDefault="00EC7DE7" w:rsidP="00767431">
      <w:pPr>
        <w:pStyle w:val="btbullet"/>
      </w:pPr>
      <w:r>
        <w:t>offer diversity in urban and town character and residential living</w:t>
      </w:r>
    </w:p>
    <w:p w:rsidR="00010247" w:rsidRPr="001960DD" w:rsidRDefault="00EC7DE7" w:rsidP="00767431">
      <w:pPr>
        <w:pStyle w:val="btbullet"/>
      </w:pPr>
      <w:proofErr w:type="gramStart"/>
      <w:r>
        <w:t>retain</w:t>
      </w:r>
      <w:proofErr w:type="gramEnd"/>
      <w:r>
        <w:t xml:space="preserve"> the region’s significant rural, natural and coastal landscape areas and lessen exposure to natural hazards.</w:t>
      </w:r>
    </w:p>
    <w:p w:rsidR="00010247" w:rsidRPr="00283CEC" w:rsidRDefault="00EC7DE7" w:rsidP="00A10AC0">
      <w:pPr>
        <w:pStyle w:val="bt"/>
      </w:pPr>
      <w:r w:rsidRPr="00EC7DE7">
        <w:t>Planning for this networked approach will be particularly important in and around those places expected to experience the strongest growth pressures such as Bairnsdale, Warragul/Drouin, Traralgon and Wonthaggi.</w:t>
      </w:r>
      <w:r>
        <w:t xml:space="preserve"> Gippsland councils have completed strategic planning for all of the region’s major centres, which has identified</w:t>
      </w:r>
      <w:r w:rsidR="005406F6" w:rsidRPr="00283CEC">
        <w:t xml:space="preserve"> growth areas to accommodate projected growth in </w:t>
      </w:r>
      <w:r w:rsidR="009314CD" w:rsidRPr="00283CEC">
        <w:t xml:space="preserve">the </w:t>
      </w:r>
      <w:r w:rsidR="005406F6" w:rsidRPr="00283CEC">
        <w:t>short</w:t>
      </w:r>
      <w:r w:rsidR="003A4E6C">
        <w:t>-</w:t>
      </w:r>
      <w:r w:rsidR="005406F6" w:rsidRPr="00283CEC">
        <w:t xml:space="preserve"> and medium</w:t>
      </w:r>
      <w:r w:rsidR="003A4E6C">
        <w:t>-</w:t>
      </w:r>
      <w:r w:rsidR="005406F6" w:rsidRPr="00283CEC">
        <w:t xml:space="preserve">term. </w:t>
      </w:r>
    </w:p>
    <w:p w:rsidR="00193897" w:rsidRPr="00283CEC" w:rsidRDefault="00193897" w:rsidP="00CC3A69">
      <w:pPr>
        <w:pStyle w:val="Heading4"/>
      </w:pPr>
      <w:r w:rsidRPr="00283CEC">
        <w:t>Dispersed towns and settlements</w:t>
      </w:r>
    </w:p>
    <w:p w:rsidR="00193897" w:rsidRPr="00283CEC" w:rsidRDefault="00193897" w:rsidP="00A10AC0">
      <w:pPr>
        <w:pStyle w:val="bt"/>
        <w:rPr>
          <w:lang w:eastAsia="en-US"/>
        </w:rPr>
      </w:pPr>
      <w:r w:rsidRPr="00283CEC">
        <w:rPr>
          <w:lang w:eastAsia="en-US"/>
        </w:rPr>
        <w:t xml:space="preserve">There are a range of towns and settlements </w:t>
      </w:r>
      <w:r w:rsidR="00CA2059" w:rsidRPr="00283CEC">
        <w:rPr>
          <w:lang w:eastAsia="en-US"/>
        </w:rPr>
        <w:t xml:space="preserve">in </w:t>
      </w:r>
      <w:r w:rsidRPr="00283CEC">
        <w:rPr>
          <w:lang w:eastAsia="en-US"/>
        </w:rPr>
        <w:t xml:space="preserve">Gippsland </w:t>
      </w:r>
      <w:r w:rsidR="00CA2059" w:rsidRPr="00283CEC">
        <w:rPr>
          <w:lang w:eastAsia="en-US"/>
        </w:rPr>
        <w:t xml:space="preserve">that are spread </w:t>
      </w:r>
      <w:r w:rsidRPr="00283CEC">
        <w:rPr>
          <w:lang w:eastAsia="en-US"/>
        </w:rPr>
        <w:t xml:space="preserve">along </w:t>
      </w:r>
      <w:r w:rsidR="00CA2059" w:rsidRPr="00283CEC">
        <w:rPr>
          <w:lang w:eastAsia="en-US"/>
        </w:rPr>
        <w:t xml:space="preserve">major </w:t>
      </w:r>
      <w:r w:rsidRPr="00283CEC">
        <w:rPr>
          <w:lang w:eastAsia="en-US"/>
        </w:rPr>
        <w:t xml:space="preserve">transport corridors and in rural and coastal landscapes that provide important district and local roles for their communities. Almost all </w:t>
      </w:r>
      <w:r w:rsidR="00CA2059" w:rsidRPr="00283CEC">
        <w:rPr>
          <w:lang w:eastAsia="en-US"/>
        </w:rPr>
        <w:t xml:space="preserve">of </w:t>
      </w:r>
      <w:r w:rsidRPr="00283CEC">
        <w:rPr>
          <w:lang w:eastAsia="en-US"/>
        </w:rPr>
        <w:t xml:space="preserve">these places are expected to see some increase in population. </w:t>
      </w:r>
      <w:r w:rsidR="00CA2059" w:rsidRPr="00283CEC">
        <w:rPr>
          <w:lang w:eastAsia="en-US"/>
        </w:rPr>
        <w:t>Land</w:t>
      </w:r>
      <w:r w:rsidR="00C2203B" w:rsidRPr="00283CEC">
        <w:rPr>
          <w:lang w:eastAsia="en-US"/>
        </w:rPr>
        <w:t xml:space="preserve"> </w:t>
      </w:r>
      <w:r w:rsidR="00CA2059" w:rsidRPr="00283CEC">
        <w:rPr>
          <w:lang w:eastAsia="en-US"/>
        </w:rPr>
        <w:t>use approaches that are important to these communities</w:t>
      </w:r>
      <w:r w:rsidR="00CA2059" w:rsidRPr="00283CEC" w:rsidDel="00CA2059">
        <w:rPr>
          <w:lang w:eastAsia="en-US"/>
        </w:rPr>
        <w:t xml:space="preserve"> </w:t>
      </w:r>
      <w:r w:rsidR="00CA2059" w:rsidRPr="00283CEC">
        <w:rPr>
          <w:lang w:eastAsia="en-US"/>
        </w:rPr>
        <w:t xml:space="preserve">include protecting </w:t>
      </w:r>
      <w:r w:rsidRPr="00283CEC">
        <w:rPr>
          <w:lang w:eastAsia="en-US"/>
        </w:rPr>
        <w:t>local character, environment and heritage</w:t>
      </w:r>
      <w:r w:rsidR="008C1B27" w:rsidRPr="00283CEC">
        <w:rPr>
          <w:lang w:eastAsia="en-US"/>
        </w:rPr>
        <w:t xml:space="preserve"> assets and</w:t>
      </w:r>
      <w:r w:rsidRPr="00283CEC">
        <w:rPr>
          <w:lang w:eastAsia="en-US"/>
        </w:rPr>
        <w:t xml:space="preserve"> values, manag</w:t>
      </w:r>
      <w:r w:rsidR="00CA2059" w:rsidRPr="00283CEC">
        <w:rPr>
          <w:lang w:eastAsia="en-US"/>
        </w:rPr>
        <w:t xml:space="preserve">ing </w:t>
      </w:r>
      <w:r w:rsidR="008C1B27" w:rsidRPr="00283CEC">
        <w:rPr>
          <w:lang w:eastAsia="en-US"/>
        </w:rPr>
        <w:t xml:space="preserve">risks associated with </w:t>
      </w:r>
      <w:r w:rsidRPr="00283CEC">
        <w:rPr>
          <w:lang w:eastAsia="en-US"/>
        </w:rPr>
        <w:t>natural hazards, improving access to services</w:t>
      </w:r>
      <w:r w:rsidR="00CA2059" w:rsidRPr="00283CEC">
        <w:rPr>
          <w:lang w:eastAsia="en-US"/>
        </w:rPr>
        <w:t>,</w:t>
      </w:r>
      <w:r w:rsidRPr="00283CEC">
        <w:rPr>
          <w:lang w:eastAsia="en-US"/>
        </w:rPr>
        <w:t xml:space="preserve"> and supporting economic diversification. Providing integrated community hubs of services and facilities can be an efficient way of meeting local community needs </w:t>
      </w:r>
      <w:r w:rsidR="00CA2059" w:rsidRPr="00283CEC">
        <w:rPr>
          <w:lang w:eastAsia="en-US"/>
        </w:rPr>
        <w:t xml:space="preserve">while providing better </w:t>
      </w:r>
      <w:r w:rsidRPr="00283CEC">
        <w:rPr>
          <w:lang w:eastAsia="en-US"/>
        </w:rPr>
        <w:t>access to higher order services in larger centres.</w:t>
      </w:r>
    </w:p>
    <w:p w:rsidR="0066204C" w:rsidRPr="00283CEC" w:rsidRDefault="0066204C" w:rsidP="00CC3A69">
      <w:pPr>
        <w:pStyle w:val="Heading4"/>
      </w:pPr>
      <w:r w:rsidRPr="00283CEC">
        <w:t>Coastal towns</w:t>
      </w:r>
    </w:p>
    <w:p w:rsidR="0066204C" w:rsidRPr="00283CEC" w:rsidRDefault="0066204C" w:rsidP="00A10AC0">
      <w:pPr>
        <w:pStyle w:val="bt"/>
      </w:pPr>
      <w:r w:rsidRPr="00283CEC">
        <w:t xml:space="preserve">Coastal communities may require support to assist in transition and adaptation to the impacts of climate change including coastal </w:t>
      </w:r>
      <w:r w:rsidR="000157F3" w:rsidRPr="00283CEC">
        <w:t xml:space="preserve">storms, sea level rise, coastal erosion and </w:t>
      </w:r>
      <w:r w:rsidRPr="00283CEC">
        <w:t>inundation. Projects underway by government will assist to better inform communities about potential impacts and adaptation strategies.</w:t>
      </w:r>
    </w:p>
    <w:p w:rsidR="00010247" w:rsidRPr="00283CEC" w:rsidRDefault="00010247" w:rsidP="00CC3A69">
      <w:pPr>
        <w:pStyle w:val="Heading4"/>
      </w:pPr>
      <w:r w:rsidRPr="00283CEC">
        <w:t>Connectivity and transport</w:t>
      </w:r>
    </w:p>
    <w:p w:rsidR="00010247" w:rsidRPr="00283CEC" w:rsidRDefault="0028179B" w:rsidP="00A10AC0">
      <w:pPr>
        <w:pStyle w:val="bt"/>
      </w:pPr>
      <w:r w:rsidRPr="00283CEC">
        <w:t>Gippsland</w:t>
      </w:r>
      <w:r w:rsidR="005F456F" w:rsidRPr="00283CEC">
        <w:t>’s</w:t>
      </w:r>
      <w:r w:rsidRPr="00283CEC">
        <w:t xml:space="preserve"> </w:t>
      </w:r>
      <w:r w:rsidR="00D35E30" w:rsidRPr="00283CEC">
        <w:t>settlement pattern</w:t>
      </w:r>
      <w:r w:rsidR="00010247" w:rsidRPr="00283CEC">
        <w:t xml:space="preserve"> reflect</w:t>
      </w:r>
      <w:r w:rsidR="00D35E30" w:rsidRPr="00283CEC">
        <w:t>s</w:t>
      </w:r>
      <w:r w:rsidR="00010247" w:rsidRPr="00283CEC">
        <w:t xml:space="preserve"> the importance of transport access. Most of </w:t>
      </w:r>
      <w:r w:rsidR="005F456F" w:rsidRPr="00283CEC">
        <w:t xml:space="preserve">the region’s </w:t>
      </w:r>
      <w:r w:rsidR="00010247" w:rsidRPr="00283CEC">
        <w:t xml:space="preserve">major population centres </w:t>
      </w:r>
      <w:r w:rsidR="00D35E30" w:rsidRPr="00283CEC">
        <w:t xml:space="preserve">are </w:t>
      </w:r>
      <w:r w:rsidR="00010247" w:rsidRPr="00283CEC">
        <w:t xml:space="preserve">located on the east-west Princes Highway transport spine. This dominant route provides links between large centres, Melbourne and interstate. From Melbourne to Bairnsdale the road link is mirrored by rail, with </w:t>
      </w:r>
      <w:r w:rsidRPr="00283CEC">
        <w:t xml:space="preserve">connecting </w:t>
      </w:r>
      <w:r w:rsidR="00010247" w:rsidRPr="00283CEC">
        <w:t xml:space="preserve">coaches providing further </w:t>
      </w:r>
      <w:r w:rsidRPr="00283CEC">
        <w:t xml:space="preserve">transport </w:t>
      </w:r>
      <w:r w:rsidR="00010247" w:rsidRPr="00283CEC">
        <w:t xml:space="preserve">options. </w:t>
      </w:r>
      <w:r w:rsidR="00AA514A" w:rsidRPr="00283CEC">
        <w:t>Secondary major transport routes are the Bass and South Gippsland highways, which connect Wonthaggi and Leongatha to Melbourne as well as providing important linkages within the region and further east. North-south routes, including the Strzelecki Highway, connect southern Gippsland to the Princes Highway and Latrobe City, and onward to alpine areas and New South Wales.</w:t>
      </w:r>
      <w:r w:rsidR="00002C5B" w:rsidRPr="00283CEC">
        <w:t xml:space="preserve"> </w:t>
      </w:r>
      <w:r w:rsidR="00AA514A" w:rsidRPr="00283CEC">
        <w:t>The Grand Ridge Road, the Hyland Highway and the Great Alpine Road are important scenic routes for tourists.</w:t>
      </w:r>
    </w:p>
    <w:p w:rsidR="00010247" w:rsidRPr="00283CEC" w:rsidRDefault="00010247" w:rsidP="00CC3A69">
      <w:pPr>
        <w:pStyle w:val="Heading4"/>
      </w:pPr>
      <w:r w:rsidRPr="00283CEC">
        <w:t>Planning for growth areas</w:t>
      </w:r>
    </w:p>
    <w:p w:rsidR="00B43130" w:rsidRPr="00283CEC" w:rsidRDefault="00010247" w:rsidP="00A10AC0">
      <w:pPr>
        <w:pStyle w:val="bt"/>
      </w:pPr>
      <w:r w:rsidRPr="00283CEC">
        <w:t xml:space="preserve">Gippsland </w:t>
      </w:r>
      <w:r w:rsidR="00B43130" w:rsidRPr="00283CEC">
        <w:t xml:space="preserve">will </w:t>
      </w:r>
      <w:r w:rsidRPr="00283CEC">
        <w:t>be</w:t>
      </w:r>
      <w:r w:rsidR="005F456F" w:rsidRPr="00283CEC">
        <w:t>come</w:t>
      </w:r>
      <w:r w:rsidRPr="00283CEC">
        <w:t xml:space="preserve"> home </w:t>
      </w:r>
      <w:r w:rsidR="005F456F" w:rsidRPr="00283CEC">
        <w:t xml:space="preserve">for </w:t>
      </w:r>
      <w:r w:rsidR="00B43130" w:rsidRPr="00283CEC">
        <w:t xml:space="preserve">approximately </w:t>
      </w:r>
      <w:r w:rsidR="00D76D8C" w:rsidRPr="00283CEC">
        <w:t>116</w:t>
      </w:r>
      <w:r w:rsidRPr="00283CEC">
        <w:t xml:space="preserve">,000 </w:t>
      </w:r>
      <w:r w:rsidR="00B43130" w:rsidRPr="00283CEC">
        <w:t xml:space="preserve">additional </w:t>
      </w:r>
      <w:r w:rsidRPr="00283CEC">
        <w:t xml:space="preserve">people </w:t>
      </w:r>
      <w:r w:rsidR="0028179B" w:rsidRPr="00283CEC">
        <w:t xml:space="preserve">by </w:t>
      </w:r>
      <w:r w:rsidRPr="00283CEC">
        <w:t>2041, but this population will be significantly more diverse in age and household type.</w:t>
      </w:r>
      <w:r w:rsidR="00B015AC" w:rsidRPr="00283CEC">
        <w:t xml:space="preserve"> </w:t>
      </w:r>
      <w:r w:rsidR="00B43130" w:rsidRPr="00283CEC">
        <w:t>Family structures are projected to change, with significant increases in the number of smaller households, including single persons, couples without children and lone parent households. ‘Single persons’ is the fastest growing household type in Gippsland and is projected to make up 33</w:t>
      </w:r>
      <w:r w:rsidR="00B015AC" w:rsidRPr="00283CEC">
        <w:t xml:space="preserve"> per cent</w:t>
      </w:r>
      <w:r w:rsidR="00B43130" w:rsidRPr="00283CEC">
        <w:t xml:space="preserve"> of household types by 2031. </w:t>
      </w:r>
    </w:p>
    <w:p w:rsidR="00B43130" w:rsidRPr="00283CEC" w:rsidRDefault="00010247" w:rsidP="00A10AC0">
      <w:pPr>
        <w:pStyle w:val="bt"/>
        <w:rPr>
          <w:rFonts w:eastAsia="Calibri"/>
        </w:rPr>
      </w:pPr>
      <w:r w:rsidRPr="00283CEC">
        <w:t>The age composition varies between towns. A higher number of young families are present in areas close to Melbourne whil</w:t>
      </w:r>
      <w:r w:rsidR="00C2203B" w:rsidRPr="00283CEC">
        <w:t>e</w:t>
      </w:r>
      <w:r w:rsidRPr="00283CEC">
        <w:t xml:space="preserve"> coastal areas have a higher percentage of retired and elderly people.</w:t>
      </w:r>
      <w:r w:rsidR="00B43130" w:rsidRPr="00283CEC">
        <w:t xml:space="preserve"> In many towns along the Gippsland coast</w:t>
      </w:r>
      <w:r w:rsidR="00EC55EC" w:rsidRPr="00283CEC">
        <w:t>, such as</w:t>
      </w:r>
      <w:r w:rsidR="00B43130" w:rsidRPr="00283CEC">
        <w:t xml:space="preserve"> </w:t>
      </w:r>
      <w:r w:rsidR="00EC55EC" w:rsidRPr="00283CEC">
        <w:t xml:space="preserve">Cowes and Inverloch, </w:t>
      </w:r>
      <w:r w:rsidR="00B43130" w:rsidRPr="00283CEC">
        <w:t xml:space="preserve">there is a higher part-time population than permanent population. The population of many Gippsland towns therefore varies on a weekly basis as well as a seasonal </w:t>
      </w:r>
      <w:r w:rsidR="0028179B" w:rsidRPr="00283CEC">
        <w:t xml:space="preserve">basis, </w:t>
      </w:r>
      <w:r w:rsidR="00B43130" w:rsidRPr="00283CEC">
        <w:t>with part-time residents often having different expectations a</w:t>
      </w:r>
      <w:r w:rsidR="00A10AC0" w:rsidRPr="00283CEC">
        <w:t>nd demands for services.</w:t>
      </w:r>
    </w:p>
    <w:p w:rsidR="00010247" w:rsidRPr="00283CEC" w:rsidRDefault="00010247" w:rsidP="00A10AC0">
      <w:pPr>
        <w:pStyle w:val="bt"/>
      </w:pPr>
      <w:r w:rsidRPr="00283CEC">
        <w:t xml:space="preserve">Currently new residential development across Gippsland is occurring at an average of 10 lots per developable hectare. In comparison with other regional cities and centres, this is considered low density, with regional cities such as Ballarat </w:t>
      </w:r>
      <w:r w:rsidR="00B43130" w:rsidRPr="00283CEC">
        <w:t xml:space="preserve">providing </w:t>
      </w:r>
      <w:r w:rsidRPr="00283CEC">
        <w:t xml:space="preserve">a lot density for new areas of 15 lots per hectare. These densities are providing </w:t>
      </w:r>
      <w:r w:rsidR="00B05669" w:rsidRPr="00283CEC">
        <w:t>housing diversity</w:t>
      </w:r>
      <w:r w:rsidRPr="00283CEC">
        <w:t xml:space="preserve"> and responding to changing household compositions </w:t>
      </w:r>
      <w:r w:rsidR="00EC55EC" w:rsidRPr="00283CEC">
        <w:t xml:space="preserve">such as </w:t>
      </w:r>
      <w:r w:rsidRPr="00283CEC">
        <w:t xml:space="preserve">more single parent and lone person households. </w:t>
      </w:r>
      <w:r w:rsidR="00B43130" w:rsidRPr="00283CEC">
        <w:t>Smaller house and land parcels can provide a more suitable and affordable option for single and two person households.</w:t>
      </w:r>
    </w:p>
    <w:p w:rsidR="004F4F2D" w:rsidRDefault="0028179B" w:rsidP="004F4F2D">
      <w:pPr>
        <w:pStyle w:val="bt"/>
      </w:pPr>
      <w:r w:rsidRPr="00283CEC">
        <w:t>G</w:t>
      </w:r>
      <w:r w:rsidR="00010247" w:rsidRPr="00283CEC">
        <w:t xml:space="preserve">rowth </w:t>
      </w:r>
      <w:r w:rsidRPr="00283CEC">
        <w:t xml:space="preserve">in residential development </w:t>
      </w:r>
      <w:r w:rsidR="00010247" w:rsidRPr="00283CEC">
        <w:t>is partly due to the unique characteristics and attributes of individual towns and their surrounds</w:t>
      </w:r>
      <w:r w:rsidR="00C2203B" w:rsidRPr="00283CEC">
        <w:t>,</w:t>
      </w:r>
      <w:r w:rsidR="00010247" w:rsidRPr="00283CEC">
        <w:t xml:space="preserve"> which contribute to the liveability of a town. People may choose to live in Lakes Entrance because of it</w:t>
      </w:r>
      <w:r w:rsidR="00D35E30" w:rsidRPr="00283CEC">
        <w:t>s</w:t>
      </w:r>
      <w:r w:rsidR="00010247" w:rsidRPr="00283CEC">
        <w:t xml:space="preserve"> coastline and lakes, Warragul because of its rural setting and access to the ski fields or Leongatha because of its rolling hills. There is a need to identify these characteristics and attributes, where they are particularly valued by the community, and ensure they are protected and enhanced.</w:t>
      </w:r>
      <w:bookmarkStart w:id="96" w:name="_Ref355960235"/>
      <w:bookmarkStart w:id="97" w:name="_Toc374361109"/>
    </w:p>
    <w:p w:rsidR="009223B0" w:rsidRPr="004F4F2D" w:rsidRDefault="006B4F4E" w:rsidP="004F4F2D">
      <w:pPr>
        <w:pStyle w:val="bt"/>
      </w:pPr>
      <w:r w:rsidRPr="004F4F2D">
        <w:t xml:space="preserve">Map </w:t>
      </w:r>
      <w:bookmarkEnd w:id="96"/>
      <w:r w:rsidR="00AD704A">
        <w:t xml:space="preserve">9 </w:t>
      </w:r>
      <w:r w:rsidR="004F4F2D">
        <w:t>is located here in the document and it shows -</w:t>
      </w:r>
      <w:r w:rsidR="00B46805" w:rsidRPr="004F4F2D">
        <w:t xml:space="preserve"> </w:t>
      </w:r>
      <w:r w:rsidRPr="004F4F2D">
        <w:t>Future directions for settlement</w:t>
      </w:r>
      <w:bookmarkEnd w:id="97"/>
    </w:p>
    <w:p w:rsidR="00AA196E" w:rsidRPr="00283CEC" w:rsidRDefault="00AA196E" w:rsidP="00975030">
      <w:pPr>
        <w:pStyle w:val="Heading2"/>
        <w:ind w:left="851" w:hanging="851"/>
        <w:rPr>
          <w:color w:val="auto"/>
        </w:rPr>
      </w:pPr>
      <w:bookmarkStart w:id="98" w:name="_Toc376791252"/>
      <w:r w:rsidRPr="00283CEC">
        <w:rPr>
          <w:color w:val="auto"/>
        </w:rPr>
        <w:t>Future directions</w:t>
      </w:r>
      <w:r w:rsidR="00367DC0" w:rsidRPr="00283CEC">
        <w:rPr>
          <w:color w:val="auto"/>
        </w:rPr>
        <w:t xml:space="preserve"> for cities and towns</w:t>
      </w:r>
      <w:bookmarkEnd w:id="98"/>
    </w:p>
    <w:p w:rsidR="00AE0369" w:rsidRPr="001960DD" w:rsidRDefault="00EC7DE7" w:rsidP="00A10AC0">
      <w:pPr>
        <w:pStyle w:val="bt"/>
      </w:pPr>
      <w:r w:rsidRPr="00EC7DE7">
        <w:t xml:space="preserve">The regional settlement framework (as shown on Map 9) directs projected population growth to six defined growth nodes consisting of Latrobe City as the regional city, and the regional centres of Bairnsdale, Leongatha, Sale, Warragul/Drouin, and Wonthaggi. </w:t>
      </w:r>
      <w:r>
        <w:t>These locations are serviced by existing utilities, education, health, and community infrastructure. Continued growth and investment in these locations will help generate a critical mass of population, which in turn will drive demand for business and employment. Greater housing diversity, cultural and recreational opportunities in these centres will be an important attractor for population growth and retention.</w:t>
      </w:r>
    </w:p>
    <w:p w:rsidR="00332A47" w:rsidRPr="001960DD" w:rsidRDefault="00EC7DE7" w:rsidP="00A10AC0">
      <w:pPr>
        <w:pStyle w:val="bt"/>
      </w:pPr>
      <w:r>
        <w:t>The regional city and regional centres are connected through Gippsland’s transport network, and will continue to provide a range of employment, education, health, and recreation opportunities accessible to the region’s population, including dispersed and remote communities. The settlement framework provides clear direction of settlement roles and functions and promotes greater coordination of investment in services and facilities through the identified sub-region networks.</w:t>
      </w:r>
    </w:p>
    <w:p w:rsidR="00E01E11" w:rsidRPr="001960DD" w:rsidRDefault="00EC7DE7" w:rsidP="00CC3A69">
      <w:pPr>
        <w:pStyle w:val="Heading4"/>
      </w:pPr>
      <w:r>
        <w:t>Latrobe City as Gippsland’s regional city</w:t>
      </w:r>
    </w:p>
    <w:p w:rsidR="00811D03" w:rsidRPr="001960DD" w:rsidRDefault="00EC7DE7" w:rsidP="00A10AC0">
      <w:pPr>
        <w:pStyle w:val="bt"/>
      </w:pPr>
      <w:r>
        <w:t xml:space="preserve">Latrobe City, the regional city, provides a focus for future regional investment to help achieve the momentum necessary for a more diverse and resilient economy, capable of attracting more specialised services and enhancing access to goods and services otherwise only available in metropolitan Melbourne. </w:t>
      </w:r>
    </w:p>
    <w:p w:rsidR="00073606" w:rsidRPr="001960DD" w:rsidRDefault="00EC7DE7" w:rsidP="00A10AC0">
      <w:pPr>
        <w:pStyle w:val="bt"/>
      </w:pPr>
      <w:r>
        <w:t xml:space="preserve">Significant assets such as the Latrobe Regional Hospital, Latrobe Regional Airport, the university campus at Churchill, manufacturing and commercial functions, and rail and road transport connections provide a platform to support a knowledge-driven economy directed at utilising the region’s resources in new and sustainable industries. </w:t>
      </w:r>
    </w:p>
    <w:p w:rsidR="004D79DD" w:rsidRPr="001960DD" w:rsidRDefault="00EC7DE7" w:rsidP="00A10AC0">
      <w:pPr>
        <w:pStyle w:val="bt"/>
      </w:pPr>
      <w:r>
        <w:t>The aim of promoting and planning for Latrobe City as Gippsland’s regional city is aligned with work to accelerate population growth in regional cities by Regional Cities Victoria and supported by the State Government. The release of the Regional Cities Victoria Growth Framework provides resources including growth indicators and diagnostic tools to assist regional cities in establishing targets and investment priorities.</w:t>
      </w:r>
    </w:p>
    <w:p w:rsidR="00945886" w:rsidRPr="001960DD" w:rsidRDefault="00EC7DE7" w:rsidP="00A10AC0">
      <w:pPr>
        <w:pStyle w:val="bt"/>
      </w:pPr>
      <w:r>
        <w:t>Future directions for the regional city will include integrated planning across the four urban centres to provide adequate land supply for residential and employment uses, and planning for infrastructure to meet the needs of a growing and changing population, business and industry (refer to Map 10). Long-term investigation areas for urban growth have been identified, and further planning work for these areas will be determined in line with population growth and future needs.</w:t>
      </w:r>
    </w:p>
    <w:p w:rsidR="00506C46" w:rsidRPr="001960DD" w:rsidRDefault="00EC7DE7" w:rsidP="00A10AC0">
      <w:pPr>
        <w:pStyle w:val="bt"/>
      </w:pPr>
      <w:r>
        <w:t>An assessment of urban land supply indicates a potential yield in excess of 12,500 residential lots has been identified to meet future demand. This supply is sufficient to meet the additional 7800 households required by 2041 based on indicative population estimates.</w:t>
      </w:r>
    </w:p>
    <w:p w:rsidR="009240EE" w:rsidRPr="001960DD" w:rsidRDefault="00EC7DE7" w:rsidP="00A10AC0">
      <w:pPr>
        <w:pStyle w:val="bt"/>
      </w:pPr>
      <w:r>
        <w:t>Efficient and reliable transport connectivity between the four centres (Traralgon, Morwell, Moe and Churchill) will be important to enable full integration of their respective services and facilities, including access to employment, education and housing choices.</w:t>
      </w:r>
    </w:p>
    <w:p w:rsidR="004F4F2D" w:rsidRPr="001960DD" w:rsidRDefault="00EC7DE7" w:rsidP="004F4F2D">
      <w:pPr>
        <w:pStyle w:val="bt"/>
      </w:pPr>
      <w:r w:rsidRPr="00EC7DE7">
        <w:t>Success in growing Latrobe City as a single urban system will support growth within the Princes Highway corridor, including in the regional centres of Warragul/Drouin, Bairnsdale and Sale.</w:t>
      </w:r>
      <w:r>
        <w:t xml:space="preserve"> Accessibility to employment opportunities and higher order services in Latrobe City will enhance these centres as alternative locations of choice.</w:t>
      </w:r>
      <w:bookmarkStart w:id="99" w:name="_Ref355960260"/>
      <w:bookmarkStart w:id="100" w:name="_Toc374361110"/>
    </w:p>
    <w:p w:rsidR="00902E67" w:rsidRPr="001960DD" w:rsidRDefault="00EC7DE7" w:rsidP="004F4F2D">
      <w:pPr>
        <w:pStyle w:val="bt"/>
      </w:pPr>
      <w:r>
        <w:t xml:space="preserve">Map </w:t>
      </w:r>
      <w:bookmarkEnd w:id="99"/>
      <w:r>
        <w:t>10 is located here in the document and it shows - Latrobe framework plan</w:t>
      </w:r>
      <w:bookmarkEnd w:id="100"/>
    </w:p>
    <w:p w:rsidR="000F4383" w:rsidRPr="001960DD" w:rsidRDefault="00EC7DE7" w:rsidP="00CC3A69">
      <w:pPr>
        <w:pStyle w:val="Heading4"/>
      </w:pPr>
      <w:r>
        <w:t>Regional centres – Bairnsdale, Leongatha, Sale, Warragul/Drouin and Wonthaggi</w:t>
      </w:r>
    </w:p>
    <w:p w:rsidR="00BD2449" w:rsidRPr="001960DD" w:rsidRDefault="00EC7DE7" w:rsidP="00A10AC0">
      <w:pPr>
        <w:pStyle w:val="bt"/>
      </w:pPr>
      <w:r>
        <w:t xml:space="preserve">The network of regional centres identified on the settlement framework map (refer to Map 9) will accommodate projected urban growth together with the regional city. Sale and Bairnsdale, located along the Princes Highway corridor, will accommodate population growth in central and eastern parts of the region, as well as expand employment and service functions for dispersed and remote communities. Leongatha and Wonthaggi are connected via the Bass Coast and South Gippsland highways and will provide an increasingly important service role for the southern part of the region. </w:t>
      </w:r>
    </w:p>
    <w:p w:rsidR="00BD2449" w:rsidRPr="001960DD" w:rsidRDefault="00EC7DE7" w:rsidP="00A10AC0">
      <w:pPr>
        <w:pStyle w:val="bt"/>
      </w:pPr>
      <w:r w:rsidRPr="00EC7DE7">
        <w:t>Warragul and Drouin are in close proximity to each other and have similar high rates of population growth. These centres will accommodate projected population growth in the western part of the region, with careful management of urban growth to focus commercial functions, and consolidate residential development to minimise encroachment onto agricultural and rural land.</w:t>
      </w:r>
      <w:r>
        <w:t xml:space="preserve"> </w:t>
      </w:r>
    </w:p>
    <w:p w:rsidR="0020053A" w:rsidRPr="001960DD" w:rsidRDefault="00EC7DE7" w:rsidP="00A10AC0">
      <w:pPr>
        <w:pStyle w:val="bt"/>
      </w:pPr>
      <w:r w:rsidRPr="00EC7DE7">
        <w:t>Planning has been completed to accommodate the expected levels of growth in the regional centres.</w:t>
      </w:r>
      <w:r w:rsidRPr="00EC7DE7">
        <w:rPr>
          <w:szCs w:val="19"/>
        </w:rPr>
        <w:t xml:space="preserve"> </w:t>
      </w:r>
      <w:r w:rsidRPr="00EC7DE7">
        <w:t>Framework plans for Bairnsdale, Leongatha, Sale, Warragul/Drouin and Wonthaggi are shown on Maps 11 to 15.</w:t>
      </w:r>
    </w:p>
    <w:p w:rsidR="009223B0" w:rsidRPr="001960DD" w:rsidRDefault="00EC7DE7" w:rsidP="00177EF6">
      <w:pPr>
        <w:pStyle w:val="Caption"/>
      </w:pPr>
      <w:bookmarkStart w:id="101" w:name="_Toc374361098"/>
      <w:r>
        <w:t xml:space="preserve">Table </w:t>
      </w:r>
      <w:r w:rsidR="00E2132D" w:rsidRPr="001960DD">
        <w:fldChar w:fldCharType="begin"/>
      </w:r>
      <w:r>
        <w:instrText xml:space="preserve"> SEQ Table \* ARABIC </w:instrText>
      </w:r>
      <w:r w:rsidR="00E2132D" w:rsidRPr="001960DD">
        <w:fldChar w:fldCharType="separate"/>
      </w:r>
      <w:r>
        <w:rPr>
          <w:noProof/>
        </w:rPr>
        <w:t>3</w:t>
      </w:r>
      <w:r w:rsidR="00E2132D" w:rsidRPr="001960DD">
        <w:rPr>
          <w:noProof/>
        </w:rPr>
        <w:fldChar w:fldCharType="end"/>
      </w:r>
      <w:r>
        <w:t xml:space="preserve">: </w:t>
      </w:r>
      <w:r>
        <w:rPr>
          <w:b w:val="0"/>
        </w:rPr>
        <w:t>Indicative household demand and land supply</w:t>
      </w:r>
      <w:bookmarkEnd w:id="101"/>
    </w:p>
    <w:p w:rsidR="00DD487B" w:rsidRPr="001960DD" w:rsidRDefault="00EC7DE7" w:rsidP="00DD487B">
      <w:pPr>
        <w:pStyle w:val="bt"/>
        <w:rPr>
          <w:rStyle w:val="Strong"/>
        </w:rPr>
      </w:pPr>
      <w:r>
        <w:rPr>
          <w:rStyle w:val="Strong"/>
        </w:rPr>
        <w:t>Regional centre:</w:t>
      </w:r>
    </w:p>
    <w:p w:rsidR="00DD487B" w:rsidRPr="001960DD" w:rsidRDefault="00EC7DE7" w:rsidP="00DD487B">
      <w:pPr>
        <w:pStyle w:val="bt"/>
      </w:pPr>
      <w:r w:rsidRPr="00EC7DE7">
        <w:t>Bairnsdale</w:t>
      </w:r>
    </w:p>
    <w:p w:rsidR="00DD487B" w:rsidRPr="001960DD" w:rsidRDefault="00EC7DE7" w:rsidP="00DD487B">
      <w:pPr>
        <w:pStyle w:val="bt"/>
        <w:rPr>
          <w:rStyle w:val="Strong"/>
        </w:rPr>
      </w:pPr>
      <w:r>
        <w:rPr>
          <w:rStyle w:val="Strong"/>
        </w:rPr>
        <w:t>Indicative additional households 2041*:</w:t>
      </w:r>
    </w:p>
    <w:p w:rsidR="00DD487B" w:rsidRPr="001960DD" w:rsidRDefault="00EC7DE7" w:rsidP="00DD487B">
      <w:pPr>
        <w:pStyle w:val="bt"/>
      </w:pPr>
      <w:r w:rsidRPr="00EC7DE7">
        <w:t>2950</w:t>
      </w:r>
    </w:p>
    <w:p w:rsidR="00DD487B" w:rsidRPr="001960DD" w:rsidRDefault="00EC7DE7" w:rsidP="00DD487B">
      <w:pPr>
        <w:pStyle w:val="bt"/>
        <w:rPr>
          <w:rStyle w:val="Strong"/>
        </w:rPr>
      </w:pPr>
      <w:r>
        <w:rPr>
          <w:rStyle w:val="Strong"/>
        </w:rPr>
        <w:t>Urban Development Program potential residential yield:</w:t>
      </w:r>
    </w:p>
    <w:p w:rsidR="00DD487B" w:rsidRPr="001960DD" w:rsidRDefault="00EC7DE7" w:rsidP="00DD487B">
      <w:pPr>
        <w:pStyle w:val="btbullet"/>
      </w:pPr>
      <w:r w:rsidRPr="00EC7DE7">
        <w:t>1950 lots within broad hectare residential zoned land</w:t>
      </w:r>
    </w:p>
    <w:p w:rsidR="00DD487B" w:rsidRPr="001960DD" w:rsidRDefault="00EC7DE7" w:rsidP="00DD487B">
      <w:pPr>
        <w:pStyle w:val="btbullet"/>
      </w:pPr>
      <w:r w:rsidRPr="00EC7DE7">
        <w:t>390 lots within future residential areas</w:t>
      </w:r>
    </w:p>
    <w:p w:rsidR="00DD487B" w:rsidRPr="001960DD" w:rsidRDefault="00EC7DE7" w:rsidP="00DD487B">
      <w:pPr>
        <w:pStyle w:val="btbullet"/>
      </w:pPr>
      <w:r w:rsidRPr="00EC7DE7">
        <w:t>280 lots within minor infill areas</w:t>
      </w:r>
    </w:p>
    <w:p w:rsidR="00DD487B" w:rsidRPr="001960DD" w:rsidRDefault="00EC7DE7" w:rsidP="00DD487B">
      <w:pPr>
        <w:pStyle w:val="bt"/>
        <w:rPr>
          <w:rStyle w:val="Strong"/>
        </w:rPr>
      </w:pPr>
      <w:r>
        <w:rPr>
          <w:rStyle w:val="Strong"/>
        </w:rPr>
        <w:t>Regional centre:</w:t>
      </w:r>
    </w:p>
    <w:p w:rsidR="00DD487B" w:rsidRPr="001960DD" w:rsidRDefault="00EC7DE7" w:rsidP="00DD487B">
      <w:pPr>
        <w:pStyle w:val="bt"/>
      </w:pPr>
      <w:r w:rsidRPr="00EC7DE7">
        <w:t>Leongatha</w:t>
      </w:r>
    </w:p>
    <w:p w:rsidR="00DD487B" w:rsidRPr="001960DD" w:rsidRDefault="00EC7DE7" w:rsidP="00DD487B">
      <w:pPr>
        <w:pStyle w:val="bt"/>
        <w:rPr>
          <w:rStyle w:val="Strong"/>
        </w:rPr>
      </w:pPr>
      <w:r>
        <w:rPr>
          <w:rStyle w:val="Strong"/>
        </w:rPr>
        <w:t>Indicative additional households 2041*:</w:t>
      </w:r>
    </w:p>
    <w:p w:rsidR="00DD487B" w:rsidRPr="001960DD" w:rsidRDefault="00EC7DE7" w:rsidP="00DD487B">
      <w:pPr>
        <w:pStyle w:val="bt"/>
      </w:pPr>
      <w:r w:rsidRPr="00EC7DE7">
        <w:t>790</w:t>
      </w:r>
    </w:p>
    <w:p w:rsidR="00DD487B" w:rsidRPr="001960DD" w:rsidRDefault="00EC7DE7" w:rsidP="00DD487B">
      <w:pPr>
        <w:pStyle w:val="bt"/>
        <w:rPr>
          <w:rStyle w:val="Strong"/>
        </w:rPr>
      </w:pPr>
      <w:r>
        <w:rPr>
          <w:rStyle w:val="Strong"/>
        </w:rPr>
        <w:t>Urban Development Program potential residential yield:</w:t>
      </w:r>
    </w:p>
    <w:p w:rsidR="00DD487B" w:rsidRPr="001960DD" w:rsidRDefault="00EC7DE7" w:rsidP="00DD487B">
      <w:pPr>
        <w:pStyle w:val="btbullet"/>
      </w:pPr>
      <w:r w:rsidRPr="00EC7DE7">
        <w:t>500 lots within broad hectare residential zoned land</w:t>
      </w:r>
    </w:p>
    <w:p w:rsidR="00DD487B" w:rsidRPr="00283CEC" w:rsidRDefault="00DD487B" w:rsidP="00DD487B">
      <w:pPr>
        <w:pStyle w:val="btbullet"/>
      </w:pPr>
      <w:r w:rsidRPr="00283CEC">
        <w:t>1000 lots within future residential areas</w:t>
      </w:r>
    </w:p>
    <w:p w:rsidR="00DD487B" w:rsidRPr="00283CEC" w:rsidRDefault="00DD487B" w:rsidP="00DD487B">
      <w:pPr>
        <w:pStyle w:val="btbullet"/>
      </w:pPr>
      <w:r w:rsidRPr="00283CEC">
        <w:t>120 lots within minor infill areas</w:t>
      </w:r>
    </w:p>
    <w:p w:rsidR="00DD487B" w:rsidRPr="00DD487B" w:rsidRDefault="00DD487B" w:rsidP="00DD487B">
      <w:pPr>
        <w:pStyle w:val="bt"/>
        <w:rPr>
          <w:rStyle w:val="Strong"/>
        </w:rPr>
      </w:pPr>
      <w:r w:rsidRPr="00DD487B">
        <w:rPr>
          <w:rStyle w:val="Strong"/>
        </w:rPr>
        <w:t>Regional centre:</w:t>
      </w:r>
    </w:p>
    <w:p w:rsidR="00DD487B" w:rsidRPr="00283CEC" w:rsidRDefault="00DD487B" w:rsidP="00DD487B">
      <w:pPr>
        <w:pStyle w:val="bt"/>
      </w:pPr>
      <w:r w:rsidRPr="00283CEC">
        <w:t>Sale</w:t>
      </w:r>
    </w:p>
    <w:p w:rsidR="00DD487B" w:rsidRPr="00DD487B" w:rsidRDefault="00DD487B" w:rsidP="00DD487B">
      <w:pPr>
        <w:pStyle w:val="bt"/>
        <w:rPr>
          <w:rStyle w:val="Strong"/>
        </w:rPr>
      </w:pPr>
      <w:r w:rsidRPr="00DD487B">
        <w:rPr>
          <w:rStyle w:val="Strong"/>
        </w:rPr>
        <w:t>Indicative additional households 2041*:</w:t>
      </w:r>
    </w:p>
    <w:p w:rsidR="00DD487B" w:rsidRPr="00283CEC" w:rsidRDefault="00DD487B" w:rsidP="00DD487B">
      <w:pPr>
        <w:pStyle w:val="bt"/>
      </w:pPr>
      <w:r w:rsidRPr="00283CEC">
        <w:t>1500</w:t>
      </w:r>
    </w:p>
    <w:p w:rsidR="00DD487B" w:rsidRPr="00DD487B" w:rsidRDefault="00DD487B" w:rsidP="00FD3393">
      <w:pPr>
        <w:pStyle w:val="bt"/>
        <w:rPr>
          <w:rStyle w:val="Strong"/>
        </w:rPr>
      </w:pPr>
      <w:r w:rsidRPr="00DD487B">
        <w:rPr>
          <w:rStyle w:val="Strong"/>
        </w:rPr>
        <w:t>Urban Development Program potential residential yield:</w:t>
      </w:r>
    </w:p>
    <w:p w:rsidR="00DD487B" w:rsidRPr="00283CEC" w:rsidRDefault="00DD487B" w:rsidP="00DD487B">
      <w:pPr>
        <w:pStyle w:val="btbullet"/>
      </w:pPr>
      <w:r w:rsidRPr="00283CEC">
        <w:t>590 lots within broad hectare residential zoned land</w:t>
      </w:r>
    </w:p>
    <w:p w:rsidR="00DD487B" w:rsidRPr="00283CEC" w:rsidRDefault="00DD487B" w:rsidP="00DD487B">
      <w:pPr>
        <w:pStyle w:val="btbullet"/>
      </w:pPr>
      <w:r w:rsidRPr="00283CEC">
        <w:t xml:space="preserve">1200 lots within future residential areas (a further 2200 lots have been identified at Wurruk) </w:t>
      </w:r>
    </w:p>
    <w:p w:rsidR="00DD487B" w:rsidRPr="00283CEC" w:rsidRDefault="00DD487B" w:rsidP="00DD487B">
      <w:pPr>
        <w:pStyle w:val="btbullet"/>
      </w:pPr>
      <w:r w:rsidRPr="00283CEC">
        <w:t>110 lots within minor infill areas</w:t>
      </w:r>
    </w:p>
    <w:p w:rsidR="00DD487B" w:rsidRPr="001960DD" w:rsidRDefault="00EC7DE7" w:rsidP="00DD487B">
      <w:pPr>
        <w:pStyle w:val="bt"/>
        <w:rPr>
          <w:rStyle w:val="Strong"/>
        </w:rPr>
      </w:pPr>
      <w:r w:rsidRPr="00EC7DE7">
        <w:rPr>
          <w:rStyle w:val="Strong"/>
        </w:rPr>
        <w:t>Regional centre:</w:t>
      </w:r>
    </w:p>
    <w:p w:rsidR="00DD487B" w:rsidRPr="001960DD" w:rsidRDefault="00EC7DE7" w:rsidP="00DD487B">
      <w:pPr>
        <w:pStyle w:val="bt"/>
      </w:pPr>
      <w:r w:rsidRPr="00EC7DE7">
        <w:t>Warragul^</w:t>
      </w:r>
    </w:p>
    <w:p w:rsidR="00DD487B" w:rsidRPr="001960DD" w:rsidRDefault="00EC7DE7" w:rsidP="00DD487B">
      <w:pPr>
        <w:pStyle w:val="bt"/>
        <w:rPr>
          <w:rStyle w:val="Strong"/>
        </w:rPr>
      </w:pPr>
      <w:r w:rsidRPr="00EC7DE7">
        <w:rPr>
          <w:rStyle w:val="Strong"/>
        </w:rPr>
        <w:t>Indicative additional households 2041*:</w:t>
      </w:r>
    </w:p>
    <w:p w:rsidR="00DD487B" w:rsidRPr="001960DD" w:rsidRDefault="00EC7DE7" w:rsidP="00DD487B">
      <w:pPr>
        <w:pStyle w:val="bt"/>
      </w:pPr>
      <w:r w:rsidRPr="00EC7DE7">
        <w:t>6930</w:t>
      </w:r>
    </w:p>
    <w:p w:rsidR="00DD487B" w:rsidRPr="001960DD" w:rsidRDefault="00EC7DE7" w:rsidP="00DD487B">
      <w:pPr>
        <w:pStyle w:val="bt"/>
        <w:rPr>
          <w:rStyle w:val="Strong"/>
        </w:rPr>
      </w:pPr>
      <w:r w:rsidRPr="00EC7DE7">
        <w:rPr>
          <w:rStyle w:val="Strong"/>
        </w:rPr>
        <w:t>Urban Development Program potential residential yield:</w:t>
      </w:r>
    </w:p>
    <w:p w:rsidR="00DD487B" w:rsidRPr="001960DD" w:rsidRDefault="00EC7DE7" w:rsidP="00DD487B">
      <w:pPr>
        <w:pStyle w:val="btbullet"/>
      </w:pPr>
      <w:r w:rsidRPr="00EC7DE7">
        <w:t>5300 lots within broad hectare residential zoned land</w:t>
      </w:r>
    </w:p>
    <w:p w:rsidR="00DD487B" w:rsidRPr="001960DD" w:rsidRDefault="00EC7DE7" w:rsidP="00DD487B">
      <w:pPr>
        <w:pStyle w:val="btbullet"/>
      </w:pPr>
      <w:r w:rsidRPr="00EC7DE7">
        <w:t>10,700 lots within future residential areas</w:t>
      </w:r>
    </w:p>
    <w:p w:rsidR="00DD487B" w:rsidRPr="001960DD" w:rsidRDefault="00EC7DE7" w:rsidP="00DD487B">
      <w:pPr>
        <w:pStyle w:val="btbullet"/>
      </w:pPr>
      <w:r w:rsidRPr="00EC7DE7">
        <w:t>800 lots within minor infill areas</w:t>
      </w:r>
    </w:p>
    <w:p w:rsidR="00DD487B" w:rsidRPr="001960DD" w:rsidRDefault="00EC7DE7" w:rsidP="00DD487B">
      <w:pPr>
        <w:pStyle w:val="bt"/>
        <w:rPr>
          <w:rStyle w:val="Strong"/>
        </w:rPr>
      </w:pPr>
      <w:r w:rsidRPr="00EC7DE7">
        <w:rPr>
          <w:rStyle w:val="Strong"/>
        </w:rPr>
        <w:t>Regional centre:</w:t>
      </w:r>
    </w:p>
    <w:p w:rsidR="00DD487B" w:rsidRPr="001960DD" w:rsidRDefault="00EC7DE7" w:rsidP="00DD487B">
      <w:pPr>
        <w:pStyle w:val="bt"/>
      </w:pPr>
      <w:r w:rsidRPr="00EC7DE7">
        <w:t>Wonthaggi</w:t>
      </w:r>
    </w:p>
    <w:p w:rsidR="00DD487B" w:rsidRPr="001960DD" w:rsidRDefault="00EC7DE7" w:rsidP="00DD487B">
      <w:pPr>
        <w:pStyle w:val="bt"/>
        <w:rPr>
          <w:rStyle w:val="Strong"/>
        </w:rPr>
      </w:pPr>
      <w:r w:rsidRPr="00EC7DE7">
        <w:rPr>
          <w:rStyle w:val="Strong"/>
        </w:rPr>
        <w:t>Indicative additional households 2041*:</w:t>
      </w:r>
    </w:p>
    <w:p w:rsidR="00DD487B" w:rsidRPr="001960DD" w:rsidRDefault="00EC7DE7" w:rsidP="00DD487B">
      <w:pPr>
        <w:pStyle w:val="bt"/>
      </w:pPr>
      <w:r w:rsidRPr="00EC7DE7">
        <w:t>2760</w:t>
      </w:r>
    </w:p>
    <w:p w:rsidR="00DD487B" w:rsidRPr="001960DD" w:rsidRDefault="00EC7DE7" w:rsidP="00DD487B">
      <w:pPr>
        <w:pStyle w:val="bt"/>
        <w:rPr>
          <w:rStyle w:val="Strong"/>
        </w:rPr>
      </w:pPr>
      <w:r w:rsidRPr="00EC7DE7">
        <w:rPr>
          <w:rStyle w:val="Strong"/>
        </w:rPr>
        <w:t>Urban Development Program potential residential yield:</w:t>
      </w:r>
    </w:p>
    <w:p w:rsidR="00DD487B" w:rsidRPr="001960DD" w:rsidRDefault="00EC7DE7" w:rsidP="00DD487B">
      <w:pPr>
        <w:pStyle w:val="btbullet"/>
      </w:pPr>
      <w:r w:rsidRPr="00EC7DE7">
        <w:t>2000 lots within broad hectare residential zoned land</w:t>
      </w:r>
    </w:p>
    <w:p w:rsidR="00DD487B" w:rsidRPr="001960DD" w:rsidRDefault="00EC7DE7" w:rsidP="00DD487B">
      <w:pPr>
        <w:pStyle w:val="btbullet"/>
      </w:pPr>
      <w:r w:rsidRPr="00EC7DE7">
        <w:t>2350 lots within future residential areas</w:t>
      </w:r>
    </w:p>
    <w:p w:rsidR="00AA514A" w:rsidRPr="001960DD" w:rsidRDefault="00EC7DE7" w:rsidP="00AA514A">
      <w:pPr>
        <w:pStyle w:val="source"/>
        <w:spacing w:after="0"/>
      </w:pPr>
      <w:r w:rsidRPr="00EC7DE7">
        <w:t>* Indicative planning population estimates are necessary for planning at the town and sub-region level. DPCD’s Victoria in Future 2012 population projections are not published below statistical local area level for 2011 to 2031, or below regional level for 2041. Indicative planning populations are broadly consistent with Victoria in Future 2012 but do not form part of the state government’s official population projections.</w:t>
      </w:r>
    </w:p>
    <w:p w:rsidR="005F3396" w:rsidRPr="001960DD" w:rsidRDefault="00EC7DE7" w:rsidP="005F3396">
      <w:pPr>
        <w:pStyle w:val="source"/>
      </w:pPr>
      <w:r w:rsidRPr="00EC7DE7">
        <w:t>^ Figures include Drouin</w:t>
      </w:r>
    </w:p>
    <w:p w:rsidR="006D09F5" w:rsidRPr="001960DD" w:rsidRDefault="00EC7DE7" w:rsidP="004F4F2D">
      <w:pPr>
        <w:pStyle w:val="bt"/>
      </w:pPr>
      <w:bookmarkStart w:id="102" w:name="_Ref373931296"/>
      <w:bookmarkStart w:id="103" w:name="_Toc374361111"/>
      <w:r w:rsidRPr="00EC7DE7">
        <w:t xml:space="preserve">Map </w:t>
      </w:r>
      <w:bookmarkEnd w:id="102"/>
      <w:r w:rsidRPr="00EC7DE7">
        <w:t>11 is located here in the document and it shows - Bairnsdale framework plan</w:t>
      </w:r>
      <w:bookmarkEnd w:id="103"/>
    </w:p>
    <w:p w:rsidR="006D09F5" w:rsidRPr="001960DD" w:rsidRDefault="00EC7DE7" w:rsidP="004F4F2D">
      <w:pPr>
        <w:pStyle w:val="bt"/>
      </w:pPr>
      <w:bookmarkStart w:id="104" w:name="_Toc374361112"/>
      <w:r w:rsidRPr="00EC7DE7">
        <w:t xml:space="preserve">Map </w:t>
      </w:r>
      <w:proofErr w:type="gramStart"/>
      <w:r w:rsidRPr="00EC7DE7">
        <w:t>12  is</w:t>
      </w:r>
      <w:proofErr w:type="gramEnd"/>
      <w:r w:rsidRPr="00EC7DE7">
        <w:t xml:space="preserve"> located here in the document and it shows - Leongatha framework plan</w:t>
      </w:r>
      <w:bookmarkEnd w:id="104"/>
    </w:p>
    <w:p w:rsidR="009E0231" w:rsidRPr="001960DD" w:rsidRDefault="00EC7DE7" w:rsidP="004F4F2D">
      <w:pPr>
        <w:pStyle w:val="bt"/>
      </w:pPr>
      <w:bookmarkStart w:id="105" w:name="_Toc374361113"/>
      <w:r w:rsidRPr="00EC7DE7">
        <w:t xml:space="preserve">Map </w:t>
      </w:r>
      <w:proofErr w:type="gramStart"/>
      <w:r w:rsidRPr="00EC7DE7">
        <w:t>13  is</w:t>
      </w:r>
      <w:proofErr w:type="gramEnd"/>
      <w:r w:rsidRPr="00EC7DE7">
        <w:t xml:space="preserve"> located here in the document and it shows - Sale framework plan</w:t>
      </w:r>
      <w:bookmarkEnd w:id="105"/>
    </w:p>
    <w:p w:rsidR="009E0231" w:rsidRPr="001960DD" w:rsidRDefault="00EC7DE7" w:rsidP="004F4F2D">
      <w:pPr>
        <w:pStyle w:val="bt"/>
      </w:pPr>
      <w:bookmarkStart w:id="106" w:name="_Toc374361114"/>
      <w:r w:rsidRPr="00EC7DE7">
        <w:t>Map 14 is located here in the document and it shows - Warragul/Drouin framework plan</w:t>
      </w:r>
      <w:bookmarkEnd w:id="106"/>
    </w:p>
    <w:p w:rsidR="009E0231" w:rsidRPr="001960DD" w:rsidRDefault="00EC7DE7" w:rsidP="004F4F2D">
      <w:pPr>
        <w:pStyle w:val="bt"/>
      </w:pPr>
      <w:bookmarkStart w:id="107" w:name="_Ref373931311"/>
      <w:bookmarkStart w:id="108" w:name="_Toc374361115"/>
      <w:r w:rsidRPr="00EC7DE7">
        <w:t xml:space="preserve">Map </w:t>
      </w:r>
      <w:bookmarkEnd w:id="107"/>
      <w:r w:rsidRPr="00EC7DE7">
        <w:t>15 is located here in the document and it shows - Wonthaggi framework plan</w:t>
      </w:r>
      <w:bookmarkEnd w:id="108"/>
    </w:p>
    <w:p w:rsidR="009932C8" w:rsidRPr="001960DD" w:rsidRDefault="00EC7DE7" w:rsidP="00CC3A69">
      <w:pPr>
        <w:pStyle w:val="Heading4"/>
      </w:pPr>
      <w:r w:rsidRPr="00EC7DE7">
        <w:t>Other centres comprising sub-region networks</w:t>
      </w:r>
    </w:p>
    <w:p w:rsidR="002F1D17" w:rsidRPr="001960DD" w:rsidRDefault="00EC7DE7" w:rsidP="00A10AC0">
      <w:pPr>
        <w:pStyle w:val="bt"/>
      </w:pPr>
      <w:r w:rsidRPr="00EC7DE7">
        <w:t xml:space="preserve">The regional settlement framework builds on the existing settlement pattern, recognising the opportunity to integrate planning and investment across sub-region networks centred </w:t>
      </w:r>
      <w:proofErr w:type="gramStart"/>
      <w:r w:rsidRPr="00EC7DE7">
        <w:t>around</w:t>
      </w:r>
      <w:proofErr w:type="gramEnd"/>
      <w:r w:rsidRPr="00EC7DE7">
        <w:t xml:space="preserve"> the regional centres. This approach is adopted in order to:</w:t>
      </w:r>
    </w:p>
    <w:p w:rsidR="006030C9" w:rsidRPr="001960DD" w:rsidRDefault="00EC7DE7" w:rsidP="00767431">
      <w:pPr>
        <w:pStyle w:val="btbullet"/>
      </w:pPr>
      <w:r w:rsidRPr="00EC7DE7">
        <w:t>provide a collaborative approach to managing growth, services, investment and employment between nearby regional centres and towns</w:t>
      </w:r>
    </w:p>
    <w:p w:rsidR="006030C9" w:rsidRPr="001960DD" w:rsidRDefault="00EC7DE7" w:rsidP="00767431">
      <w:pPr>
        <w:pStyle w:val="btbullet"/>
      </w:pPr>
      <w:r w:rsidRPr="00EC7DE7">
        <w:t>support growth and higher order services across the region</w:t>
      </w:r>
    </w:p>
    <w:p w:rsidR="006030C9" w:rsidRPr="001960DD" w:rsidRDefault="00EC7DE7" w:rsidP="00767431">
      <w:pPr>
        <w:pStyle w:val="btbullet"/>
      </w:pPr>
      <w:proofErr w:type="gramStart"/>
      <w:r w:rsidRPr="00EC7DE7">
        <w:t>increase</w:t>
      </w:r>
      <w:proofErr w:type="gramEnd"/>
      <w:r w:rsidRPr="00EC7DE7">
        <w:t xml:space="preserve"> efficient and effective interaction, servicing and infrastructure delivery between networked towns so that business and communities can access reciprocal benefits and attract higher levels of investment.</w:t>
      </w:r>
    </w:p>
    <w:p w:rsidR="00BD2449" w:rsidRPr="001960DD" w:rsidRDefault="00EC7DE7" w:rsidP="00A10AC0">
      <w:pPr>
        <w:pStyle w:val="bt"/>
      </w:pPr>
      <w:r w:rsidRPr="00EC7DE7">
        <w:t>The settlement framework recognises five sub-region networks of towns (refer to Map 9).</w:t>
      </w:r>
    </w:p>
    <w:p w:rsidR="00BD2449" w:rsidRPr="001960DD" w:rsidRDefault="00EC7DE7" w:rsidP="00A10AC0">
      <w:pPr>
        <w:pStyle w:val="bt"/>
      </w:pPr>
      <w:r w:rsidRPr="00EC7DE7">
        <w:t>The sub-region networks have been identified based on considerations including:</w:t>
      </w:r>
    </w:p>
    <w:p w:rsidR="00E01E11" w:rsidRPr="001960DD" w:rsidRDefault="00EC7DE7" w:rsidP="00767431">
      <w:pPr>
        <w:pStyle w:val="btbullet"/>
      </w:pPr>
      <w:r w:rsidRPr="00EC7DE7">
        <w:t>share of projected consolidated town population relative to surrounding areas</w:t>
      </w:r>
    </w:p>
    <w:p w:rsidR="002F1D17" w:rsidRPr="001960DD" w:rsidRDefault="00EC7DE7" w:rsidP="00767431">
      <w:pPr>
        <w:pStyle w:val="btbullet"/>
      </w:pPr>
      <w:r w:rsidRPr="00EC7DE7">
        <w:t>projected population of at least 1000 persons and planned capacity to accommodate change</w:t>
      </w:r>
    </w:p>
    <w:p w:rsidR="00E01E11" w:rsidRPr="001960DD" w:rsidRDefault="00EC7DE7" w:rsidP="00767431">
      <w:pPr>
        <w:pStyle w:val="btbullet"/>
      </w:pPr>
      <w:r w:rsidRPr="00EC7DE7">
        <w:t>geographic proximity, transport links and employment connections</w:t>
      </w:r>
    </w:p>
    <w:p w:rsidR="00E01E11" w:rsidRPr="001960DD" w:rsidRDefault="00EC7DE7" w:rsidP="00767431">
      <w:pPr>
        <w:pStyle w:val="btbullet"/>
      </w:pPr>
      <w:r w:rsidRPr="00EC7DE7">
        <w:t>range and availability of complementary services and functions</w:t>
      </w:r>
    </w:p>
    <w:p w:rsidR="00E01E11" w:rsidRPr="001960DD" w:rsidRDefault="00EC7DE7" w:rsidP="00767431">
      <w:pPr>
        <w:pStyle w:val="btbullet"/>
      </w:pPr>
      <w:proofErr w:type="gramStart"/>
      <w:r w:rsidRPr="00EC7DE7">
        <w:t>opportunities</w:t>
      </w:r>
      <w:proofErr w:type="gramEnd"/>
      <w:r w:rsidRPr="00EC7DE7">
        <w:t xml:space="preserve"> to streamline investment and maximise access to shared services.</w:t>
      </w:r>
    </w:p>
    <w:p w:rsidR="009E0231" w:rsidRPr="001960DD" w:rsidRDefault="00EC7DE7" w:rsidP="000A2132">
      <w:pPr>
        <w:pStyle w:val="bt"/>
      </w:pPr>
      <w:r w:rsidRPr="00EC7DE7">
        <w:t>These networks acknowledge the lead role of the respective regional centre as the primary location to accommodate urban growth, with secondary centres providing housing diversity and local services. The provision of social services and attraction of business investment within the networks will support communities across their broader catchment districts. The sub-region networks are comprised as follows:</w:t>
      </w:r>
    </w:p>
    <w:p w:rsidR="00632207" w:rsidRPr="001960DD" w:rsidRDefault="00EC7DE7" w:rsidP="00632207">
      <w:pPr>
        <w:pStyle w:val="bt"/>
        <w:rPr>
          <w:rStyle w:val="Strong"/>
        </w:rPr>
      </w:pPr>
      <w:r>
        <w:rPr>
          <w:rStyle w:val="Strong"/>
        </w:rPr>
        <w:t>Regional centre:</w:t>
      </w:r>
    </w:p>
    <w:p w:rsidR="00632207" w:rsidRPr="001960DD" w:rsidRDefault="00EC7DE7" w:rsidP="00632207">
      <w:pPr>
        <w:pStyle w:val="bt"/>
      </w:pPr>
      <w:r w:rsidRPr="00EC7DE7">
        <w:t>Bairnsdale</w:t>
      </w:r>
    </w:p>
    <w:p w:rsidR="00632207" w:rsidRPr="001960DD" w:rsidRDefault="00EC7DE7" w:rsidP="00632207">
      <w:pPr>
        <w:pStyle w:val="bt"/>
        <w:rPr>
          <w:rStyle w:val="Strong"/>
        </w:rPr>
      </w:pPr>
      <w:r>
        <w:rPr>
          <w:rStyle w:val="Strong"/>
        </w:rPr>
        <w:t>Secondary centres:</w:t>
      </w:r>
    </w:p>
    <w:p w:rsidR="00632207" w:rsidRPr="001960DD" w:rsidRDefault="00EC7DE7" w:rsidP="00632207">
      <w:pPr>
        <w:pStyle w:val="bt"/>
      </w:pPr>
      <w:r w:rsidRPr="00EC7DE7">
        <w:t>Paynesville</w:t>
      </w:r>
    </w:p>
    <w:p w:rsidR="00632207" w:rsidRPr="001960DD" w:rsidRDefault="00EC7DE7" w:rsidP="00632207">
      <w:pPr>
        <w:pStyle w:val="bt"/>
      </w:pPr>
      <w:r w:rsidRPr="00EC7DE7">
        <w:t>Paynesville is located approximately 15 kilometres from Bairnsdale, and is a predominantly residential community with most industrial and employment services sourced from Bairnsdale.</w:t>
      </w:r>
    </w:p>
    <w:p w:rsidR="00632207" w:rsidRPr="001960DD" w:rsidRDefault="00EC7DE7" w:rsidP="00632207">
      <w:pPr>
        <w:pStyle w:val="bt"/>
        <w:rPr>
          <w:rStyle w:val="Strong"/>
        </w:rPr>
      </w:pPr>
      <w:r>
        <w:rPr>
          <w:rStyle w:val="Strong"/>
        </w:rPr>
        <w:t>Regional centre:</w:t>
      </w:r>
    </w:p>
    <w:p w:rsidR="00632207" w:rsidRPr="001960DD" w:rsidRDefault="00EC7DE7" w:rsidP="00632207">
      <w:pPr>
        <w:pStyle w:val="bt"/>
      </w:pPr>
      <w:r w:rsidRPr="00EC7DE7">
        <w:t>Leongatha</w:t>
      </w:r>
    </w:p>
    <w:p w:rsidR="00632207" w:rsidRPr="001960DD" w:rsidRDefault="00EC7DE7" w:rsidP="00632207">
      <w:pPr>
        <w:pStyle w:val="bt"/>
        <w:rPr>
          <w:rStyle w:val="Strong"/>
        </w:rPr>
      </w:pPr>
      <w:r>
        <w:rPr>
          <w:rStyle w:val="Strong"/>
        </w:rPr>
        <w:t>Secondary centres:</w:t>
      </w:r>
    </w:p>
    <w:p w:rsidR="00632207" w:rsidRPr="001960DD" w:rsidRDefault="00EC7DE7" w:rsidP="00632207">
      <w:pPr>
        <w:pStyle w:val="bt"/>
      </w:pPr>
      <w:r w:rsidRPr="00EC7DE7">
        <w:t>Korumburra</w:t>
      </w:r>
    </w:p>
    <w:p w:rsidR="00632207" w:rsidRPr="001960DD" w:rsidRDefault="00EC7DE7" w:rsidP="00632207">
      <w:pPr>
        <w:pStyle w:val="bt"/>
      </w:pPr>
      <w:r w:rsidRPr="00EC7DE7">
        <w:t>Korumburra is located 14 kilometres from Leongatha via the South Gippsland Highway. These centres are of similar size and provide a broad range of services. Leongatha provides additional functions in government, education and health services.</w:t>
      </w:r>
    </w:p>
    <w:p w:rsidR="00632207" w:rsidRPr="001960DD" w:rsidRDefault="00EC7DE7" w:rsidP="00632207">
      <w:pPr>
        <w:pStyle w:val="bt"/>
        <w:rPr>
          <w:rStyle w:val="Strong"/>
        </w:rPr>
      </w:pPr>
      <w:r>
        <w:rPr>
          <w:rStyle w:val="Strong"/>
        </w:rPr>
        <w:t>Regional centre:</w:t>
      </w:r>
    </w:p>
    <w:p w:rsidR="00632207" w:rsidRPr="001960DD" w:rsidRDefault="00EC7DE7" w:rsidP="00632207">
      <w:pPr>
        <w:pStyle w:val="bt"/>
      </w:pPr>
      <w:r w:rsidRPr="00EC7DE7">
        <w:t>Sale</w:t>
      </w:r>
    </w:p>
    <w:p w:rsidR="00632207" w:rsidRPr="001960DD" w:rsidRDefault="00EC7DE7" w:rsidP="00632207">
      <w:pPr>
        <w:pStyle w:val="bt"/>
        <w:rPr>
          <w:rStyle w:val="Strong"/>
        </w:rPr>
      </w:pPr>
      <w:r>
        <w:rPr>
          <w:rStyle w:val="Strong"/>
        </w:rPr>
        <w:t>Secondary centres:</w:t>
      </w:r>
    </w:p>
    <w:p w:rsidR="00632207" w:rsidRPr="001960DD" w:rsidRDefault="00EC7DE7" w:rsidP="00632207">
      <w:pPr>
        <w:pStyle w:val="bt"/>
      </w:pPr>
      <w:r w:rsidRPr="00EC7DE7">
        <w:t>Maffra</w:t>
      </w:r>
    </w:p>
    <w:p w:rsidR="00632207" w:rsidRPr="001960DD" w:rsidRDefault="00EC7DE7" w:rsidP="00632207">
      <w:pPr>
        <w:pStyle w:val="bt"/>
      </w:pPr>
      <w:r w:rsidRPr="00EC7DE7">
        <w:t>Stratford</w:t>
      </w:r>
    </w:p>
    <w:p w:rsidR="00632207" w:rsidRPr="001960DD" w:rsidRDefault="00EC7DE7" w:rsidP="00632207">
      <w:pPr>
        <w:pStyle w:val="bt"/>
      </w:pPr>
      <w:r w:rsidRPr="00EC7DE7">
        <w:t>Both Maffra and Stratford are within 20 kilometres of Sale (and within 10 kilometres of each other). These secondary centres are projected to absorb the majority of population growth from within their surrounding area and will continue to access higher order services in Sale.</w:t>
      </w:r>
    </w:p>
    <w:p w:rsidR="00632207" w:rsidRPr="001960DD" w:rsidRDefault="00EC7DE7" w:rsidP="00632207">
      <w:pPr>
        <w:pStyle w:val="bt"/>
        <w:rPr>
          <w:rStyle w:val="Strong"/>
        </w:rPr>
      </w:pPr>
      <w:r w:rsidRPr="00EC7DE7">
        <w:rPr>
          <w:rStyle w:val="Strong"/>
        </w:rPr>
        <w:t>Regional centre:</w:t>
      </w:r>
    </w:p>
    <w:p w:rsidR="00632207" w:rsidRPr="001960DD" w:rsidRDefault="00EC7DE7" w:rsidP="00632207">
      <w:pPr>
        <w:pStyle w:val="bt"/>
      </w:pPr>
      <w:r w:rsidRPr="00EC7DE7">
        <w:t>Warragul</w:t>
      </w:r>
    </w:p>
    <w:p w:rsidR="00632207" w:rsidRPr="001960DD" w:rsidRDefault="00EC7DE7" w:rsidP="00632207">
      <w:pPr>
        <w:pStyle w:val="bt"/>
        <w:rPr>
          <w:rStyle w:val="Strong"/>
        </w:rPr>
      </w:pPr>
      <w:r w:rsidRPr="00EC7DE7">
        <w:rPr>
          <w:rStyle w:val="Strong"/>
        </w:rPr>
        <w:t>Secondary centres:</w:t>
      </w:r>
    </w:p>
    <w:p w:rsidR="00632207" w:rsidRPr="001960DD" w:rsidRDefault="00EC7DE7" w:rsidP="00632207">
      <w:pPr>
        <w:pStyle w:val="bt"/>
      </w:pPr>
      <w:r w:rsidRPr="00EC7DE7">
        <w:t>Drouin</w:t>
      </w:r>
    </w:p>
    <w:p w:rsidR="00632207" w:rsidRPr="001960DD" w:rsidRDefault="00EC7DE7" w:rsidP="00632207">
      <w:pPr>
        <w:pStyle w:val="bt"/>
      </w:pPr>
      <w:r w:rsidRPr="00EC7DE7">
        <w:t>Warragul and Drouin are experiencing similarly high population growth. However Warragul will remain the larger centre and provides additional employment opportunities and services including the West Gippsland Hospital.</w:t>
      </w:r>
    </w:p>
    <w:p w:rsidR="00632207" w:rsidRPr="001960DD" w:rsidRDefault="00EC7DE7" w:rsidP="00632207">
      <w:pPr>
        <w:pStyle w:val="bt"/>
        <w:rPr>
          <w:rStyle w:val="Strong"/>
        </w:rPr>
      </w:pPr>
      <w:r w:rsidRPr="00EC7DE7">
        <w:rPr>
          <w:rStyle w:val="Strong"/>
        </w:rPr>
        <w:t>Regional centre:</w:t>
      </w:r>
    </w:p>
    <w:p w:rsidR="00632207" w:rsidRPr="001960DD" w:rsidRDefault="00EC7DE7" w:rsidP="00632207">
      <w:pPr>
        <w:pStyle w:val="bt"/>
      </w:pPr>
      <w:r w:rsidRPr="00EC7DE7">
        <w:t>Wonthaggi</w:t>
      </w:r>
    </w:p>
    <w:p w:rsidR="00632207" w:rsidRPr="001960DD" w:rsidRDefault="00EC7DE7" w:rsidP="00632207">
      <w:pPr>
        <w:pStyle w:val="bt"/>
        <w:rPr>
          <w:rStyle w:val="Strong"/>
        </w:rPr>
      </w:pPr>
      <w:r w:rsidRPr="00EC7DE7">
        <w:rPr>
          <w:rStyle w:val="Strong"/>
        </w:rPr>
        <w:t>Secondary centres:</w:t>
      </w:r>
    </w:p>
    <w:p w:rsidR="00632207" w:rsidRPr="001960DD" w:rsidRDefault="00EC7DE7" w:rsidP="00632207">
      <w:pPr>
        <w:pStyle w:val="bt"/>
      </w:pPr>
      <w:r w:rsidRPr="00EC7DE7">
        <w:t>Inverloch</w:t>
      </w:r>
    </w:p>
    <w:p w:rsidR="00632207" w:rsidRPr="001960DD" w:rsidRDefault="00EC7DE7" w:rsidP="00632207">
      <w:pPr>
        <w:pStyle w:val="bt"/>
      </w:pPr>
      <w:r w:rsidRPr="00EC7DE7">
        <w:t>Cape Paterson</w:t>
      </w:r>
    </w:p>
    <w:p w:rsidR="00632207" w:rsidRPr="001960DD" w:rsidRDefault="00EC7DE7" w:rsidP="00632207">
      <w:pPr>
        <w:pStyle w:val="bt"/>
      </w:pPr>
      <w:r w:rsidRPr="00EC7DE7">
        <w:t>Wonthaggi, Inverloch and Cape Paterson are within convenient commuting distance of each other. Wonthaggi provides a higher level of services particularly in retail/commercial, government, education and health services. Inverloch provides a more local scale of services. Cape Paterson includes areas identified for future urban growth and will rely on combined services at Inverloch and Wonthaggi.</w:t>
      </w:r>
    </w:p>
    <w:p w:rsidR="000A2132" w:rsidRPr="001960DD" w:rsidRDefault="00EC7DE7" w:rsidP="000A2132">
      <w:pPr>
        <w:pStyle w:val="bt"/>
        <w:rPr>
          <w:rStyle w:val="Strong"/>
        </w:rPr>
      </w:pPr>
      <w:r>
        <w:rPr>
          <w:rStyle w:val="Strong"/>
        </w:rPr>
        <w:t>Strategies for future land use</w:t>
      </w:r>
    </w:p>
    <w:p w:rsidR="000A2132" w:rsidRPr="001960DD" w:rsidRDefault="00EC7DE7" w:rsidP="00767431">
      <w:pPr>
        <w:pStyle w:val="btbullet"/>
      </w:pPr>
      <w:r w:rsidRPr="00EC7DE7">
        <w:t>Plan to accommodate projected urban growth within Latrobe City as the regional city, and the regional centres of Bairnsdale, Leongatha, Sale, Warragul/Drouin and Wonthaggi</w:t>
      </w:r>
    </w:p>
    <w:p w:rsidR="000A2132" w:rsidRPr="00283CEC" w:rsidRDefault="00EC7DE7" w:rsidP="00767431">
      <w:pPr>
        <w:pStyle w:val="btbullet"/>
      </w:pPr>
      <w:r w:rsidRPr="00EC7DE7">
        <w:t>Support implementation of land use strategies and structure plans for the regional city and regional</w:t>
      </w:r>
      <w:r w:rsidR="000A2132" w:rsidRPr="00283CEC">
        <w:t xml:space="preserve"> centres to accommodate growth over the next 20 to 30 years and to integrate delivery of their economic, environmental, social, infrastructure and transport needs</w:t>
      </w:r>
    </w:p>
    <w:p w:rsidR="000A2132" w:rsidRPr="00283CEC" w:rsidRDefault="000A2132" w:rsidP="00767431">
      <w:pPr>
        <w:pStyle w:val="btbullet"/>
      </w:pPr>
      <w:r w:rsidRPr="00283CEC">
        <w:t>Prepare a strategy for the long-term growth of Latrobe City as a single urban system, providing a catalyst for change and a driver for growth more broadly across Gippsland</w:t>
      </w:r>
    </w:p>
    <w:p w:rsidR="000A2132" w:rsidRPr="00283CEC" w:rsidRDefault="000A2132" w:rsidP="00767431">
      <w:pPr>
        <w:pStyle w:val="btbullet"/>
      </w:pPr>
      <w:r w:rsidRPr="00283CEC">
        <w:t xml:space="preserve">Support the development of </w:t>
      </w:r>
      <w:r w:rsidR="00A429E8" w:rsidRPr="00283CEC">
        <w:t xml:space="preserve">sub-region network strategies that attract, facilitate and consolidate future growth within the regional centres and secondary centres by: </w:t>
      </w:r>
      <w:r w:rsidR="00E010D2" w:rsidRPr="00283CEC">
        <w:t>better coordinating</w:t>
      </w:r>
      <w:r w:rsidRPr="00283CEC">
        <w:t xml:space="preserve"> investment and distribution of facilities, </w:t>
      </w:r>
      <w:r w:rsidR="00A429E8" w:rsidRPr="00283CEC">
        <w:t xml:space="preserve">building on complementary town roles, fostering economic growth, </w:t>
      </w:r>
      <w:r w:rsidRPr="00283CEC">
        <w:t xml:space="preserve">enhancing access to </w:t>
      </w:r>
      <w:r w:rsidR="00A429E8" w:rsidRPr="00283CEC">
        <w:t xml:space="preserve">higher order </w:t>
      </w:r>
      <w:r w:rsidRPr="00283CEC">
        <w:t xml:space="preserve">services from across the region, </w:t>
      </w:r>
      <w:r w:rsidR="00111E58" w:rsidRPr="00283CEC">
        <w:t xml:space="preserve">improving connectivity </w:t>
      </w:r>
      <w:r w:rsidRPr="00283CEC">
        <w:t xml:space="preserve">and </w:t>
      </w:r>
      <w:r w:rsidR="00E010D2" w:rsidRPr="00283CEC">
        <w:t>applying development</w:t>
      </w:r>
      <w:r w:rsidRPr="00283CEC">
        <w:t xml:space="preserve"> contributions</w:t>
      </w:r>
    </w:p>
    <w:p w:rsidR="000A2132" w:rsidRPr="00283CEC" w:rsidRDefault="000A2132" w:rsidP="00767431">
      <w:pPr>
        <w:pStyle w:val="btbullet"/>
      </w:pPr>
      <w:r w:rsidRPr="00283CEC">
        <w:t>Support the continuing role of towns and small settlements in providing services to their districts, recognising their relationships and dependencies with larger towns</w:t>
      </w:r>
    </w:p>
    <w:p w:rsidR="000A2132" w:rsidRPr="00283CEC" w:rsidRDefault="000A2132" w:rsidP="00767431">
      <w:pPr>
        <w:pStyle w:val="btbullet"/>
      </w:pPr>
      <w:r w:rsidRPr="00283CEC">
        <w:t>Support heritage conservation and urban design initiatives to strengthen liveability and identity</w:t>
      </w:r>
    </w:p>
    <w:p w:rsidR="000A2132" w:rsidRPr="00283CEC" w:rsidRDefault="000A2132" w:rsidP="00767431">
      <w:pPr>
        <w:pStyle w:val="btbullet"/>
      </w:pPr>
      <w:r w:rsidRPr="00283CEC">
        <w:t>Prepare a housing strategy for Gippsland to investigate opportunities to achieve diverse and affordable housing within major cities and centres that meets the needs of the community</w:t>
      </w:r>
    </w:p>
    <w:p w:rsidR="000A2132" w:rsidRPr="00283CEC" w:rsidRDefault="000A2132" w:rsidP="00767431">
      <w:pPr>
        <w:pStyle w:val="btbullet"/>
      </w:pPr>
      <w:r w:rsidRPr="00283CEC">
        <w:t>Prepare a strategy to increase demographic diversity and youth retention, which considers initiatives such as marketing, employment opportunities and use of education facilities</w:t>
      </w:r>
    </w:p>
    <w:p w:rsidR="00D9369A" w:rsidRPr="00283CEC" w:rsidRDefault="000A2132" w:rsidP="00767431">
      <w:pPr>
        <w:pStyle w:val="btbullet"/>
      </w:pPr>
      <w:r w:rsidRPr="00283CEC">
        <w:t>Plan for increased demand on services and infrastructure in towns with high holiday home ownership as these become the primary place of residence</w:t>
      </w:r>
    </w:p>
    <w:p w:rsidR="004C47F5" w:rsidRPr="00283CEC" w:rsidRDefault="004C47F5" w:rsidP="00C3725B">
      <w:pPr>
        <w:pStyle w:val="Heading11"/>
        <w:spacing w:after="0"/>
      </w:pPr>
      <w:bookmarkStart w:id="109" w:name="_Toc336871231"/>
      <w:bookmarkStart w:id="110" w:name="_Toc376791253"/>
      <w:r w:rsidRPr="00283CEC">
        <w:t xml:space="preserve">Regional </w:t>
      </w:r>
      <w:r w:rsidR="00E515B6" w:rsidRPr="00283CEC">
        <w:t>i</w:t>
      </w:r>
      <w:r w:rsidRPr="00283CEC">
        <w:t>nfrastructure</w:t>
      </w:r>
      <w:bookmarkEnd w:id="109"/>
      <w:bookmarkEnd w:id="110"/>
    </w:p>
    <w:p w:rsidR="00FD4D85" w:rsidRPr="00283CEC" w:rsidRDefault="00FD4D85" w:rsidP="00FD4D85">
      <w:pPr>
        <w:pStyle w:val="bt"/>
        <w:rPr>
          <w:rStyle w:val="Strong"/>
        </w:rPr>
      </w:pPr>
      <w:r w:rsidRPr="00283CEC">
        <w:rPr>
          <w:rStyle w:val="Strong"/>
        </w:rPr>
        <w:t>Future directions</w:t>
      </w:r>
    </w:p>
    <w:p w:rsidR="00FD4D85" w:rsidRPr="00283CEC" w:rsidRDefault="00FD4D85" w:rsidP="00767431">
      <w:pPr>
        <w:pStyle w:val="btbullet"/>
      </w:pPr>
      <w:r w:rsidRPr="00283CEC">
        <w:t>Work with utility and service agencies to optimise access to gas, electricity, drainage, water, sewerage and telecommunications and cater for a growing population and economy across the region</w:t>
      </w:r>
    </w:p>
    <w:p w:rsidR="00FD4D85" w:rsidRPr="00283CEC" w:rsidRDefault="00FD4D85" w:rsidP="00767431">
      <w:pPr>
        <w:pStyle w:val="btbullet"/>
      </w:pPr>
      <w:r w:rsidRPr="00283CEC">
        <w:t xml:space="preserve">Support road, rail and port improvements across Gippsland and beyond, particularly </w:t>
      </w:r>
      <w:r w:rsidR="00FB73AC" w:rsidRPr="00283CEC">
        <w:t xml:space="preserve">to </w:t>
      </w:r>
      <w:r w:rsidRPr="00283CEC">
        <w:t>markets and employment</w:t>
      </w:r>
    </w:p>
    <w:p w:rsidR="00FD4D85" w:rsidRPr="00283CEC" w:rsidRDefault="00FD4D85" w:rsidP="00767431">
      <w:pPr>
        <w:pStyle w:val="btbullet"/>
      </w:pPr>
      <w:r w:rsidRPr="00283CEC">
        <w:t xml:space="preserve">Provide health, education, cultural and sporting facilities to meet local needs in locations </w:t>
      </w:r>
      <w:r w:rsidR="001C3AE8" w:rsidRPr="00283CEC">
        <w:t xml:space="preserve">that </w:t>
      </w:r>
      <w:r w:rsidRPr="00283CEC">
        <w:t>are accessible and convenient to the people who will use them</w:t>
      </w:r>
    </w:p>
    <w:p w:rsidR="006F5919" w:rsidRPr="00283CEC" w:rsidRDefault="006F5919" w:rsidP="00FD4D85">
      <w:pPr>
        <w:pStyle w:val="bt"/>
      </w:pPr>
      <w:r w:rsidRPr="00283CEC">
        <w:t xml:space="preserve">The timely provision of infrastructure and services </w:t>
      </w:r>
      <w:r w:rsidR="00B43130" w:rsidRPr="00283CEC">
        <w:t>is</w:t>
      </w:r>
      <w:r w:rsidRPr="00283CEC">
        <w:t xml:space="preserve"> required to support future growth and change</w:t>
      </w:r>
      <w:r w:rsidR="00455DBC" w:rsidRPr="00283CEC">
        <w:t xml:space="preserve"> in</w:t>
      </w:r>
      <w:r w:rsidR="00BC16DD" w:rsidRPr="00283CEC">
        <w:t xml:space="preserve"> </w:t>
      </w:r>
      <w:r w:rsidRPr="00283CEC">
        <w:t xml:space="preserve">the </w:t>
      </w:r>
      <w:r w:rsidR="00870A64" w:rsidRPr="00283CEC">
        <w:t xml:space="preserve">Gippsland </w:t>
      </w:r>
      <w:r w:rsidRPr="00283CEC">
        <w:t xml:space="preserve">region. </w:t>
      </w:r>
      <w:r w:rsidR="00002C5B" w:rsidRPr="00283CEC">
        <w:t>The delivery of an appropriate settlement pattern where population fluctuations are both predicted and sequenced is necessary to achieve growth in a sustainable manner</w:t>
      </w:r>
      <w:r w:rsidRPr="00283CEC">
        <w:t>. In some instances existing services and assets may have to be augmented or replicated to accommodate new levels of demand.</w:t>
      </w:r>
    </w:p>
    <w:p w:rsidR="009474C5" w:rsidRPr="00283CEC" w:rsidRDefault="003B0504" w:rsidP="00FD4D85">
      <w:pPr>
        <w:pStyle w:val="bt"/>
        <w:rPr>
          <w:szCs w:val="20"/>
        </w:rPr>
      </w:pPr>
      <w:r w:rsidRPr="00283CEC">
        <w:rPr>
          <w:szCs w:val="20"/>
        </w:rPr>
        <w:t>This p</w:t>
      </w:r>
      <w:r w:rsidR="00F722B6" w:rsidRPr="00283CEC">
        <w:rPr>
          <w:szCs w:val="20"/>
        </w:rPr>
        <w:t>lan</w:t>
      </w:r>
      <w:r w:rsidR="00D35E30" w:rsidRPr="00283CEC">
        <w:rPr>
          <w:szCs w:val="20"/>
        </w:rPr>
        <w:t xml:space="preserve"> </w:t>
      </w:r>
      <w:r w:rsidR="00B17D9D" w:rsidRPr="00283CEC">
        <w:rPr>
          <w:szCs w:val="20"/>
        </w:rPr>
        <w:t xml:space="preserve">aims to identify where there may be increased demand for infrastructure services based on projected population </w:t>
      </w:r>
      <w:r w:rsidR="009474C5" w:rsidRPr="00283CEC">
        <w:rPr>
          <w:szCs w:val="20"/>
        </w:rPr>
        <w:t xml:space="preserve">and housing </w:t>
      </w:r>
      <w:r w:rsidR="00B17D9D" w:rsidRPr="00283CEC">
        <w:rPr>
          <w:szCs w:val="20"/>
        </w:rPr>
        <w:t xml:space="preserve">growth, </w:t>
      </w:r>
      <w:r w:rsidR="009474C5" w:rsidRPr="00283CEC">
        <w:rPr>
          <w:szCs w:val="20"/>
        </w:rPr>
        <w:t xml:space="preserve">potential development of </w:t>
      </w:r>
      <w:r w:rsidR="00B17D9D" w:rsidRPr="00283CEC">
        <w:rPr>
          <w:szCs w:val="20"/>
        </w:rPr>
        <w:t>new industries or expansion of existing industries.</w:t>
      </w:r>
    </w:p>
    <w:p w:rsidR="00FB0B98" w:rsidRPr="00283CEC" w:rsidRDefault="00002C5B" w:rsidP="00FD4D85">
      <w:pPr>
        <w:pStyle w:val="bt"/>
        <w:rPr>
          <w:szCs w:val="20"/>
        </w:rPr>
      </w:pPr>
      <w:r w:rsidRPr="00283CEC">
        <w:rPr>
          <w:szCs w:val="20"/>
        </w:rPr>
        <w:t xml:space="preserve">The </w:t>
      </w:r>
      <w:r w:rsidR="003B0504" w:rsidRPr="00283CEC">
        <w:rPr>
          <w:szCs w:val="20"/>
        </w:rPr>
        <w:t>p</w:t>
      </w:r>
      <w:r w:rsidR="002D55AA" w:rsidRPr="00283CEC">
        <w:rPr>
          <w:szCs w:val="20"/>
        </w:rPr>
        <w:t xml:space="preserve">lan </w:t>
      </w:r>
      <w:r w:rsidRPr="00283CEC">
        <w:rPr>
          <w:szCs w:val="20"/>
        </w:rPr>
        <w:t xml:space="preserve">provides a framework to align </w:t>
      </w:r>
      <w:r w:rsidR="006D24EE" w:rsidRPr="00283CEC">
        <w:rPr>
          <w:szCs w:val="20"/>
        </w:rPr>
        <w:t xml:space="preserve">the </w:t>
      </w:r>
      <w:r w:rsidRPr="00283CEC">
        <w:rPr>
          <w:szCs w:val="20"/>
        </w:rPr>
        <w:t xml:space="preserve">supply and demand strategies of infrastructure service providers and their customers. The </w:t>
      </w:r>
      <w:r w:rsidR="003B0504" w:rsidRPr="00283CEC">
        <w:rPr>
          <w:szCs w:val="20"/>
        </w:rPr>
        <w:t>p</w:t>
      </w:r>
      <w:r w:rsidRPr="00283CEC">
        <w:rPr>
          <w:szCs w:val="20"/>
        </w:rPr>
        <w:t>lan promotes the importance of both demand management and augmentation of supply networks.</w:t>
      </w:r>
      <w:r w:rsidR="00496261" w:rsidRPr="00283CEC">
        <w:rPr>
          <w:szCs w:val="20"/>
        </w:rPr>
        <w:t xml:space="preserve"> </w:t>
      </w:r>
      <w:r w:rsidR="006D24EE" w:rsidRPr="00283CEC">
        <w:rPr>
          <w:szCs w:val="20"/>
        </w:rPr>
        <w:t xml:space="preserve">It </w:t>
      </w:r>
      <w:r w:rsidR="000E2B6B" w:rsidRPr="00283CEC">
        <w:rPr>
          <w:szCs w:val="20"/>
        </w:rPr>
        <w:t xml:space="preserve">also </w:t>
      </w:r>
      <w:r w:rsidR="00496261" w:rsidRPr="00283CEC">
        <w:rPr>
          <w:szCs w:val="20"/>
        </w:rPr>
        <w:t xml:space="preserve">supports the need for future infrastructure planning to ensure infrastructure delivery keeps pace with population and economic growth, and supports the role of the regional city and centres in accommodating this growth. </w:t>
      </w:r>
      <w:r w:rsidR="00975030" w:rsidRPr="00283CEC">
        <w:rPr>
          <w:szCs w:val="20"/>
        </w:rPr>
        <w:t xml:space="preserve"> </w:t>
      </w:r>
    </w:p>
    <w:p w:rsidR="00003949" w:rsidRPr="00283CEC" w:rsidRDefault="0012126F" w:rsidP="00FD4D85">
      <w:pPr>
        <w:pStyle w:val="Heading2"/>
        <w:rPr>
          <w:color w:val="auto"/>
        </w:rPr>
      </w:pPr>
      <w:bookmarkStart w:id="111" w:name="_Toc336871234"/>
      <w:bookmarkStart w:id="112" w:name="_Toc376791254"/>
      <w:bookmarkStart w:id="113" w:name="_Toc336871232"/>
      <w:r w:rsidRPr="00283CEC">
        <w:rPr>
          <w:color w:val="auto"/>
        </w:rPr>
        <w:t xml:space="preserve">Water, </w:t>
      </w:r>
      <w:r w:rsidR="005835B2" w:rsidRPr="00283CEC">
        <w:rPr>
          <w:color w:val="auto"/>
        </w:rPr>
        <w:t>e</w:t>
      </w:r>
      <w:r w:rsidR="00003949" w:rsidRPr="00283CEC">
        <w:rPr>
          <w:color w:val="auto"/>
        </w:rPr>
        <w:t xml:space="preserve">nergy and </w:t>
      </w:r>
      <w:bookmarkEnd w:id="111"/>
      <w:r w:rsidR="005835B2" w:rsidRPr="00283CEC">
        <w:rPr>
          <w:color w:val="auto"/>
        </w:rPr>
        <w:t>u</w:t>
      </w:r>
      <w:r w:rsidRPr="00283CEC">
        <w:rPr>
          <w:color w:val="auto"/>
        </w:rPr>
        <w:t>tilities</w:t>
      </w:r>
      <w:bookmarkEnd w:id="112"/>
    </w:p>
    <w:p w:rsidR="002D55AA" w:rsidRPr="00283CEC" w:rsidRDefault="00AA514A" w:rsidP="00FD4D85">
      <w:pPr>
        <w:pStyle w:val="bt"/>
      </w:pPr>
      <w:r w:rsidRPr="00283CEC">
        <w:t>Growth in settlements and economic activity throughout the Gippsland region will result in demand for additional water, energy and utility infrastructure.</w:t>
      </w:r>
      <w:r w:rsidR="006F5919" w:rsidRPr="00283CEC">
        <w:t xml:space="preserve"> Efficient use of existing systems and identification</w:t>
      </w:r>
      <w:r w:rsidR="00CC6E0F" w:rsidRPr="00283CEC">
        <w:t xml:space="preserve"> and protection</w:t>
      </w:r>
      <w:r w:rsidR="006F5919" w:rsidRPr="00283CEC">
        <w:t xml:space="preserve"> of utility infrastructure corridors have been considered</w:t>
      </w:r>
      <w:r w:rsidR="00D35E30" w:rsidRPr="00283CEC">
        <w:t xml:space="preserve">. </w:t>
      </w:r>
      <w:r w:rsidR="006F5919" w:rsidRPr="00283CEC">
        <w:t>The projected population and settlement pattern take into account high level planning for currently planned and anticipated service utilities</w:t>
      </w:r>
      <w:r w:rsidR="004421B9" w:rsidRPr="00283CEC">
        <w:t xml:space="preserve">. </w:t>
      </w:r>
    </w:p>
    <w:p w:rsidR="00003949" w:rsidRPr="00283CEC" w:rsidRDefault="008508AC" w:rsidP="00CC3A69">
      <w:pPr>
        <w:pStyle w:val="Heading4"/>
      </w:pPr>
      <w:r w:rsidRPr="00283CEC">
        <w:t>Gas and electricity</w:t>
      </w:r>
    </w:p>
    <w:p w:rsidR="0081432A" w:rsidRPr="0020053A" w:rsidRDefault="0081432A" w:rsidP="0020053A">
      <w:pPr>
        <w:pStyle w:val="bt"/>
      </w:pPr>
      <w:r w:rsidRPr="00283CEC">
        <w:t xml:space="preserve">The </w:t>
      </w:r>
      <w:r w:rsidR="006D24EE" w:rsidRPr="00283CEC">
        <w:t xml:space="preserve">Gippsland </w:t>
      </w:r>
      <w:r w:rsidRPr="00283CEC">
        <w:t>region has an extensive network of electricity and gas transmission infrastructure administered by asset managers and energy retailers. Electricity infrastructure is comprised of generating sources located in the Latrobe Valley, high voltage transmission lines, term</w:t>
      </w:r>
      <w:r w:rsidR="00D35E30" w:rsidRPr="00283CEC">
        <w:t>inal stations, sub</w:t>
      </w:r>
      <w:r w:rsidR="006D24EE" w:rsidRPr="00283CEC">
        <w:t>-</w:t>
      </w:r>
      <w:r w:rsidR="00D35E30" w:rsidRPr="00283CEC">
        <w:t>transmission</w:t>
      </w:r>
      <w:r w:rsidRPr="00283CEC">
        <w:t xml:space="preserve"> lines, and lower voltage distribution and connection </w:t>
      </w:r>
      <w:r w:rsidR="00C21F12" w:rsidRPr="00283CEC">
        <w:t xml:space="preserve">lines to energy users. There are some constraints in the electricity supply network, particularly for supply to areas east of Bairnsdale. </w:t>
      </w:r>
      <w:r w:rsidR="00AA514A" w:rsidRPr="00283CEC">
        <w:t xml:space="preserve">The region’s electricity network owner, SP </w:t>
      </w:r>
      <w:proofErr w:type="spellStart"/>
      <w:r w:rsidR="00AA514A" w:rsidRPr="00283CEC">
        <w:t>AusNet</w:t>
      </w:r>
      <w:proofErr w:type="spellEnd"/>
      <w:r w:rsidR="00AA514A" w:rsidRPr="00283CEC">
        <w:t xml:space="preserve">, has a </w:t>
      </w:r>
      <w:r w:rsidR="00AA514A" w:rsidRPr="0020053A">
        <w:t>long-term development plan outlining augmentation works required to meet expected load growth to 2041.</w:t>
      </w:r>
    </w:p>
    <w:p w:rsidR="001C3AE8" w:rsidRPr="0020053A" w:rsidRDefault="00CC6E0F" w:rsidP="0020053A">
      <w:pPr>
        <w:pStyle w:val="bt"/>
        <w:rPr>
          <w:rStyle w:val="Strong"/>
          <w:b w:val="0"/>
          <w:bCs w:val="0"/>
        </w:rPr>
      </w:pPr>
      <w:r w:rsidRPr="0020053A">
        <w:rPr>
          <w:rStyle w:val="Strong"/>
          <w:b w:val="0"/>
          <w:bCs w:val="0"/>
        </w:rPr>
        <w:t xml:space="preserve">Gas and electricity supply planning for the major urban centres and towns </w:t>
      </w:r>
      <w:r w:rsidR="006B4F4E" w:rsidRPr="0020053A">
        <w:rPr>
          <w:rStyle w:val="Strong"/>
          <w:b w:val="0"/>
          <w:bCs w:val="0"/>
        </w:rPr>
        <w:t>has allowed for anticipated population and economic growth (refer to</w:t>
      </w:r>
      <w:r w:rsidR="007E1048" w:rsidRPr="0020053A">
        <w:rPr>
          <w:rStyle w:val="Strong"/>
          <w:b w:val="0"/>
          <w:bCs w:val="0"/>
        </w:rPr>
        <w:t xml:space="preserve"> </w:t>
      </w:r>
      <w:fldSimple w:instr=" REF _Ref374014710 \h  \* MERGEFORMAT ">
        <w:r w:rsidR="001D67DE" w:rsidRPr="001D67DE">
          <w:rPr>
            <w:rStyle w:val="Strong"/>
            <w:b w:val="0"/>
            <w:bCs w:val="0"/>
          </w:rPr>
          <w:t>Table 4</w:t>
        </w:r>
      </w:fldSimple>
      <w:r w:rsidR="006B4F4E" w:rsidRPr="0020053A">
        <w:rPr>
          <w:rStyle w:val="Strong"/>
          <w:b w:val="0"/>
          <w:bCs w:val="0"/>
        </w:rPr>
        <w:t>). Despite overall planned utility provision and upgrades, there are known shortfalls with respect to some services for these key towns: electricity supply (Wonthaggi, Inverloch, Sale, Bairnsdale and Warragul/Drouin)</w:t>
      </w:r>
      <w:r w:rsidR="001C3AE8" w:rsidRPr="0020053A">
        <w:rPr>
          <w:rStyle w:val="Strong"/>
          <w:b w:val="0"/>
          <w:bCs w:val="0"/>
        </w:rPr>
        <w:t>;</w:t>
      </w:r>
      <w:r w:rsidR="006B4F4E" w:rsidRPr="0020053A">
        <w:rPr>
          <w:rStyle w:val="Strong"/>
          <w:b w:val="0"/>
          <w:bCs w:val="0"/>
        </w:rPr>
        <w:t xml:space="preserve"> and gas supply (Bairnsdale, Paynesville, Sale and Warragul/Drouin). </w:t>
      </w:r>
      <w:r w:rsidR="00AA514A" w:rsidRPr="0020053A">
        <w:rPr>
          <w:rStyle w:val="Strong"/>
          <w:b w:val="0"/>
          <w:bCs w:val="0"/>
        </w:rPr>
        <w:t>Securing a reticulated gas supply for Phillip Island has been identified as an important issue to facilitate further tourism and business investment on the island.</w:t>
      </w:r>
      <w:r w:rsidR="009E5D79" w:rsidRPr="0020053A">
        <w:rPr>
          <w:rStyle w:val="Strong"/>
          <w:b w:val="0"/>
          <w:bCs w:val="0"/>
        </w:rPr>
        <w:t xml:space="preserve"> </w:t>
      </w:r>
    </w:p>
    <w:p w:rsidR="00003949" w:rsidRPr="00283CEC" w:rsidRDefault="008508AC" w:rsidP="00CC3A69">
      <w:pPr>
        <w:pStyle w:val="Heading4"/>
      </w:pPr>
      <w:r w:rsidRPr="00283CEC">
        <w:t>Telecommunications (including National Broadband Network)</w:t>
      </w:r>
    </w:p>
    <w:p w:rsidR="00BF6E19" w:rsidRPr="00283CEC" w:rsidRDefault="00967CD9" w:rsidP="00FD4D85">
      <w:pPr>
        <w:pStyle w:val="bt"/>
      </w:pPr>
      <w:r w:rsidRPr="00283CEC">
        <w:t xml:space="preserve">Planning for future urban and economic growth should be flexible and responsive to make best use of new </w:t>
      </w:r>
      <w:r w:rsidR="00AF3556" w:rsidRPr="00283CEC">
        <w:t>tele</w:t>
      </w:r>
      <w:r w:rsidRPr="00283CEC">
        <w:t xml:space="preserve">communications technology and infrastructure as it becomes available. The introduction of the National Broadband Network will </w:t>
      </w:r>
      <w:r w:rsidR="00181D08" w:rsidRPr="00283CEC">
        <w:t xml:space="preserve">provide </w:t>
      </w:r>
      <w:r w:rsidRPr="00283CEC">
        <w:t>improve</w:t>
      </w:r>
      <w:r w:rsidR="00181D08" w:rsidRPr="00283CEC">
        <w:t>d</w:t>
      </w:r>
      <w:r w:rsidRPr="00283CEC">
        <w:t xml:space="preserve"> access to education</w:t>
      </w:r>
      <w:r w:rsidR="00181D08" w:rsidRPr="00283CEC">
        <w:t xml:space="preserve"> and health services, and provide businesses </w:t>
      </w:r>
      <w:r w:rsidR="006D24EE" w:rsidRPr="00283CEC">
        <w:t xml:space="preserve">with </w:t>
      </w:r>
      <w:r w:rsidR="00181D08" w:rsidRPr="00283CEC">
        <w:t xml:space="preserve">the opportunity to expand online sales and broaden their customer base to compete nationally and globally. </w:t>
      </w:r>
      <w:r w:rsidR="00D57729" w:rsidRPr="00283CEC">
        <w:t>Gippsland’s planning authorities should work with telecommunications providers to ensure a consistent approach for infrastructure design and placement in growth areas and to support the requirements of the national network.</w:t>
      </w:r>
    </w:p>
    <w:p w:rsidR="00003949" w:rsidRPr="00283CEC" w:rsidRDefault="008508AC" w:rsidP="00CC3A69">
      <w:pPr>
        <w:pStyle w:val="Heading4"/>
      </w:pPr>
      <w:r w:rsidRPr="00283CEC">
        <w:t>Water supply and management</w:t>
      </w:r>
    </w:p>
    <w:p w:rsidR="00D63C77" w:rsidRPr="00283CEC" w:rsidRDefault="002A2E08" w:rsidP="00FD4D85">
      <w:pPr>
        <w:pStyle w:val="bt"/>
      </w:pPr>
      <w:r w:rsidRPr="00283CEC">
        <w:t>The</w:t>
      </w:r>
      <w:r w:rsidR="00075888" w:rsidRPr="00283CEC">
        <w:t xml:space="preserve"> Gippsland</w:t>
      </w:r>
      <w:r w:rsidRPr="00283CEC">
        <w:t xml:space="preserve"> region has important </w:t>
      </w:r>
      <w:r w:rsidR="009474C5" w:rsidRPr="00283CEC">
        <w:t>water supply assets inclu</w:t>
      </w:r>
      <w:r w:rsidRPr="00283CEC">
        <w:t>ding</w:t>
      </w:r>
      <w:r w:rsidR="009474C5" w:rsidRPr="00283CEC">
        <w:t xml:space="preserve"> </w:t>
      </w:r>
      <w:r w:rsidR="00075888" w:rsidRPr="00283CEC">
        <w:t xml:space="preserve">a </w:t>
      </w:r>
      <w:r w:rsidR="00E1598E" w:rsidRPr="00283CEC">
        <w:t xml:space="preserve">network of reservoirs, the </w:t>
      </w:r>
      <w:r w:rsidR="00C254A9" w:rsidRPr="00283CEC">
        <w:t>d</w:t>
      </w:r>
      <w:r w:rsidR="009474C5" w:rsidRPr="00283CEC">
        <w:t xml:space="preserve">esalination </w:t>
      </w:r>
      <w:r w:rsidR="00C254A9" w:rsidRPr="00283CEC">
        <w:t>p</w:t>
      </w:r>
      <w:r w:rsidR="009474C5" w:rsidRPr="00283CEC">
        <w:t xml:space="preserve">lant near Wonthaggi, Gippsland Water Factory, and </w:t>
      </w:r>
      <w:r w:rsidR="007A2D51" w:rsidRPr="00283CEC">
        <w:t>the South Gippsland Water saline outfall transfer system</w:t>
      </w:r>
      <w:r w:rsidRPr="00283CEC">
        <w:t>.</w:t>
      </w:r>
    </w:p>
    <w:p w:rsidR="00D55A33" w:rsidRPr="00283CEC" w:rsidRDefault="007A2D51" w:rsidP="00FD4D85">
      <w:pPr>
        <w:pStyle w:val="bt"/>
      </w:pPr>
      <w:r w:rsidRPr="00283CEC">
        <w:t xml:space="preserve">Rural and urban water corporations have prepared </w:t>
      </w:r>
      <w:r w:rsidR="00280DCB" w:rsidRPr="00283CEC">
        <w:t>w</w:t>
      </w:r>
      <w:r w:rsidRPr="00283CEC">
        <w:t xml:space="preserve">ater </w:t>
      </w:r>
      <w:r w:rsidR="00280DCB" w:rsidRPr="00283CEC">
        <w:t>s</w:t>
      </w:r>
      <w:r w:rsidRPr="00283CEC">
        <w:t xml:space="preserve">upply </w:t>
      </w:r>
      <w:r w:rsidR="00280DCB" w:rsidRPr="00283CEC">
        <w:t>d</w:t>
      </w:r>
      <w:r w:rsidRPr="00283CEC">
        <w:t xml:space="preserve">emand </w:t>
      </w:r>
      <w:r w:rsidR="00280DCB" w:rsidRPr="00283CEC">
        <w:t>s</w:t>
      </w:r>
      <w:r w:rsidRPr="00283CEC">
        <w:t xml:space="preserve">trategies to manage future supplies of water for urban and industrial use with </w:t>
      </w:r>
      <w:r w:rsidR="00075888" w:rsidRPr="00283CEC">
        <w:t xml:space="preserve">the </w:t>
      </w:r>
      <w:r w:rsidRPr="00283CEC">
        <w:t>aim of maintaining rel</w:t>
      </w:r>
      <w:r w:rsidR="00F24211" w:rsidRPr="00283CEC">
        <w:t xml:space="preserve">iable </w:t>
      </w:r>
      <w:r w:rsidR="00D55A33" w:rsidRPr="00283CEC">
        <w:t xml:space="preserve">water supply. </w:t>
      </w:r>
      <w:r w:rsidR="009F1113" w:rsidRPr="00283CEC">
        <w:t>These strategies include demand management and priority for water conservation, and options to augment supply infrastructure.</w:t>
      </w:r>
      <w:r w:rsidR="00D55A33" w:rsidRPr="00283CEC">
        <w:t xml:space="preserve"> </w:t>
      </w:r>
      <w:r w:rsidR="001F12AA" w:rsidRPr="00283CEC">
        <w:t xml:space="preserve">When future </w:t>
      </w:r>
      <w:r w:rsidR="00B23ED9" w:rsidRPr="00283CEC">
        <w:t>i</w:t>
      </w:r>
      <w:r w:rsidR="001F12AA" w:rsidRPr="00283CEC">
        <w:t xml:space="preserve">ntegrated </w:t>
      </w:r>
      <w:r w:rsidR="00280DCB" w:rsidRPr="00283CEC">
        <w:t>w</w:t>
      </w:r>
      <w:r w:rsidR="001F12AA" w:rsidRPr="00283CEC">
        <w:t xml:space="preserve">ater </w:t>
      </w:r>
      <w:r w:rsidR="00280DCB" w:rsidRPr="00283CEC">
        <w:t>c</w:t>
      </w:r>
      <w:r w:rsidR="001F12AA" w:rsidRPr="00283CEC">
        <w:t xml:space="preserve">ycle </w:t>
      </w:r>
      <w:r w:rsidR="00280DCB" w:rsidRPr="00283CEC">
        <w:t>s</w:t>
      </w:r>
      <w:r w:rsidR="001F12AA" w:rsidRPr="00283CEC">
        <w:t>trategies</w:t>
      </w:r>
      <w:r w:rsidR="001F12AA" w:rsidRPr="00283CEC">
        <w:rPr>
          <w:rStyle w:val="FootnoteReference"/>
          <w:rFonts w:cs="Calibri"/>
          <w:szCs w:val="20"/>
        </w:rPr>
        <w:footnoteReference w:id="7"/>
      </w:r>
      <w:r w:rsidR="001F12AA" w:rsidRPr="00283CEC">
        <w:t xml:space="preserve"> are developed, they will need to consider the implications of the </w:t>
      </w:r>
      <w:r w:rsidR="00280DCB" w:rsidRPr="00283CEC">
        <w:t>p</w:t>
      </w:r>
      <w:r w:rsidR="001F12AA" w:rsidRPr="00283CEC">
        <w:t>lan on future water demand and supply.</w:t>
      </w:r>
    </w:p>
    <w:p w:rsidR="00ED274C" w:rsidRPr="00283CEC" w:rsidRDefault="006D39FD" w:rsidP="00FD4D85">
      <w:pPr>
        <w:pStyle w:val="bt"/>
      </w:pPr>
      <w:r w:rsidRPr="00283CEC">
        <w:t>Planning for future urban and economic development should incorporate measures to reduce demand for water where possible, including through water sensitive urban design and opportunities for urban water harvesting. New urban areas should include provision of recycled water to reduce dem</w:t>
      </w:r>
      <w:r w:rsidR="00E93CBF" w:rsidRPr="00283CEC">
        <w:t>and for potable water.</w:t>
      </w:r>
    </w:p>
    <w:p w:rsidR="00D412CF" w:rsidRPr="00283CEC" w:rsidRDefault="00D57729" w:rsidP="00FD4D85">
      <w:pPr>
        <w:pStyle w:val="bt"/>
      </w:pPr>
      <w:r w:rsidRPr="00283CEC">
        <w:t xml:space="preserve">Across Gippsland water supply has been assessed as meeting </w:t>
      </w:r>
      <w:r w:rsidR="00D138BD" w:rsidRPr="00283CEC">
        <w:t xml:space="preserve">domestic and commercial </w:t>
      </w:r>
      <w:r w:rsidRPr="00283CEC">
        <w:t>demand for the short</w:t>
      </w:r>
      <w:r w:rsidR="003A4E6C">
        <w:t>-</w:t>
      </w:r>
      <w:r w:rsidRPr="00283CEC">
        <w:t xml:space="preserve"> to medium</w:t>
      </w:r>
      <w:r w:rsidR="003A4E6C">
        <w:t>-</w:t>
      </w:r>
      <w:r w:rsidRPr="00283CEC">
        <w:t xml:space="preserve">term. </w:t>
      </w:r>
      <w:r w:rsidR="00AA514A" w:rsidRPr="00283CEC">
        <w:t>For Phillip Island and areas around Westernport, the supply system requires no immediate augmentation.</w:t>
      </w:r>
      <w:r w:rsidR="00E147EA" w:rsidRPr="00283CEC">
        <w:t xml:space="preserve"> </w:t>
      </w:r>
    </w:p>
    <w:p w:rsidR="00003949" w:rsidRPr="00283CEC" w:rsidRDefault="00AA514A" w:rsidP="00CC3A69">
      <w:pPr>
        <w:pStyle w:val="Heading4"/>
      </w:pPr>
      <w:r w:rsidRPr="00283CEC">
        <w:t>Recycled water</w:t>
      </w:r>
    </w:p>
    <w:p w:rsidR="007E1048" w:rsidRDefault="00DE4304" w:rsidP="00FD4D85">
      <w:pPr>
        <w:pStyle w:val="bt"/>
      </w:pPr>
      <w:r w:rsidRPr="00283CEC">
        <w:t xml:space="preserve">The Gippsland Water Factory is </w:t>
      </w:r>
      <w:r w:rsidR="00D76D8C" w:rsidRPr="00283CEC">
        <w:t xml:space="preserve">a </w:t>
      </w:r>
      <w:r w:rsidRPr="00283CEC">
        <w:t xml:space="preserve">key asset for treating wastewater and producing recycled water </w:t>
      </w:r>
      <w:r w:rsidR="007F493D" w:rsidRPr="00283CEC">
        <w:t>for a range of uses within the region. The region’s water authorities also produce recycled water for use in their operations. Continu</w:t>
      </w:r>
      <w:r w:rsidR="00D6760D" w:rsidRPr="00283CEC">
        <w:t xml:space="preserve">ed innovation and investment in recycled water </w:t>
      </w:r>
      <w:r w:rsidR="00075888" w:rsidRPr="00283CEC">
        <w:t xml:space="preserve">could </w:t>
      </w:r>
      <w:r w:rsidR="00D6760D" w:rsidRPr="00283CEC">
        <w:t>alleviate demand on potable water supply and enhance the long-term security of the region’s water supplies. The region should support opportunities to integrate recycled water supply networks within urban growth areas including commercial and industrial uses.</w:t>
      </w:r>
    </w:p>
    <w:p w:rsidR="00A53A53" w:rsidRPr="00283CEC" w:rsidRDefault="006B4F4E" w:rsidP="00177EF6">
      <w:pPr>
        <w:pStyle w:val="Caption"/>
      </w:pPr>
      <w:bookmarkStart w:id="114" w:name="_Ref374014710"/>
      <w:bookmarkStart w:id="115" w:name="_Toc374361099"/>
      <w:r w:rsidRPr="00283CEC">
        <w:t xml:space="preserve">Table </w:t>
      </w:r>
      <w:r w:rsidR="00E2132D" w:rsidRPr="00283CEC">
        <w:fldChar w:fldCharType="begin"/>
      </w:r>
      <w:r w:rsidR="007C710A" w:rsidRPr="00283CEC">
        <w:instrText xml:space="preserve"> SEQ Table \* ARABIC </w:instrText>
      </w:r>
      <w:r w:rsidR="00E2132D" w:rsidRPr="00283CEC">
        <w:fldChar w:fldCharType="separate"/>
      </w:r>
      <w:r w:rsidR="001D67DE">
        <w:rPr>
          <w:noProof/>
        </w:rPr>
        <w:t>4</w:t>
      </w:r>
      <w:r w:rsidR="00E2132D" w:rsidRPr="00283CEC">
        <w:rPr>
          <w:noProof/>
        </w:rPr>
        <w:fldChar w:fldCharType="end"/>
      </w:r>
      <w:bookmarkEnd w:id="114"/>
      <w:r w:rsidRPr="00283CEC">
        <w:t xml:space="preserve">: </w:t>
      </w:r>
      <w:r w:rsidRPr="007E1048">
        <w:rPr>
          <w:b w:val="0"/>
        </w:rPr>
        <w:t>Summary of infrastructure considerations</w:t>
      </w:r>
      <w:bookmarkEnd w:id="115"/>
    </w:p>
    <w:p w:rsidR="007E1048" w:rsidRPr="007E1048" w:rsidRDefault="007E1048" w:rsidP="007E1048">
      <w:pPr>
        <w:pStyle w:val="bt"/>
        <w:rPr>
          <w:rStyle w:val="Strong"/>
        </w:rPr>
      </w:pPr>
      <w:r w:rsidRPr="007E1048">
        <w:rPr>
          <w:rStyle w:val="Strong"/>
        </w:rPr>
        <w:t>Settlement:</w:t>
      </w:r>
    </w:p>
    <w:p w:rsidR="007E1048" w:rsidRPr="00283CEC" w:rsidRDefault="007E1048" w:rsidP="007E1048">
      <w:pPr>
        <w:pStyle w:val="bt"/>
      </w:pPr>
      <w:r w:rsidRPr="00283CEC">
        <w:t>Churchill</w:t>
      </w:r>
      <w:r>
        <w:t xml:space="preserve"> </w:t>
      </w:r>
      <w:r w:rsidRPr="00283CEC">
        <w:t>(part of Latrobe City)</w:t>
      </w:r>
    </w:p>
    <w:p w:rsidR="007E1048" w:rsidRPr="007E1048" w:rsidRDefault="007E1048" w:rsidP="007E1048">
      <w:pPr>
        <w:pStyle w:val="bt"/>
        <w:rPr>
          <w:rStyle w:val="Strong"/>
        </w:rPr>
      </w:pPr>
      <w:r w:rsidRPr="007E1048">
        <w:rPr>
          <w:rStyle w:val="Strong"/>
        </w:rPr>
        <w:t>Local road and drainage:</w:t>
      </w:r>
    </w:p>
    <w:p w:rsidR="007E1048" w:rsidRPr="00283CEC" w:rsidRDefault="007E1048" w:rsidP="007E1048">
      <w:pPr>
        <w:pStyle w:val="bt"/>
      </w:pPr>
      <w:r w:rsidRPr="00283CEC">
        <w:t>Capacity to acco</w:t>
      </w:r>
      <w:r>
        <w:t>mmodate growth to be determined</w:t>
      </w:r>
    </w:p>
    <w:p w:rsidR="007E1048" w:rsidRPr="00283CEC" w:rsidRDefault="007E1048" w:rsidP="007E1048">
      <w:pPr>
        <w:pStyle w:val="bt"/>
        <w:rPr>
          <w:rStyle w:val="Strong"/>
        </w:rPr>
      </w:pPr>
      <w:r w:rsidRPr="00283CEC">
        <w:rPr>
          <w:rStyle w:val="Strong"/>
        </w:rPr>
        <w:t>Water:</w:t>
      </w:r>
    </w:p>
    <w:p w:rsidR="007E1048" w:rsidRPr="00283CEC" w:rsidRDefault="007E1048" w:rsidP="007E1048">
      <w:pPr>
        <w:pStyle w:val="bt"/>
      </w:pPr>
      <w:r w:rsidRPr="00283CEC">
        <w:t xml:space="preserve">Capacity to accommodate growth to be determined </w:t>
      </w:r>
    </w:p>
    <w:p w:rsidR="007E1048" w:rsidRPr="00283CEC" w:rsidRDefault="007E1048" w:rsidP="007E1048">
      <w:pPr>
        <w:pStyle w:val="bt"/>
        <w:rPr>
          <w:rStyle w:val="Strong"/>
        </w:rPr>
      </w:pPr>
      <w:r w:rsidRPr="00283CEC">
        <w:rPr>
          <w:rStyle w:val="Strong"/>
        </w:rPr>
        <w:t>Sewerage:</w:t>
      </w:r>
    </w:p>
    <w:p w:rsidR="007E1048" w:rsidRPr="00283CEC" w:rsidRDefault="007E1048" w:rsidP="007E1048">
      <w:pPr>
        <w:pStyle w:val="bt"/>
      </w:pPr>
      <w:r w:rsidRPr="00283CEC">
        <w:t xml:space="preserve">May </w:t>
      </w:r>
      <w:proofErr w:type="gramStart"/>
      <w:r w:rsidRPr="00283CEC">
        <w:t xml:space="preserve">require </w:t>
      </w:r>
      <w:r>
        <w:t xml:space="preserve"> </w:t>
      </w:r>
      <w:r w:rsidR="00FD3393">
        <w:t>some</w:t>
      </w:r>
      <w:proofErr w:type="gramEnd"/>
      <w:r w:rsidR="00FD3393">
        <w:t xml:space="preserve"> upgrade/</w:t>
      </w:r>
      <w:r w:rsidRPr="00283CEC">
        <w:t>augmentation to support growth</w:t>
      </w:r>
    </w:p>
    <w:p w:rsidR="007E1048" w:rsidRPr="00283CEC" w:rsidRDefault="007E1048" w:rsidP="007E1048">
      <w:pPr>
        <w:pStyle w:val="bt"/>
        <w:rPr>
          <w:rStyle w:val="Strong"/>
        </w:rPr>
      </w:pPr>
      <w:r w:rsidRPr="00283CEC">
        <w:rPr>
          <w:rStyle w:val="Strong"/>
        </w:rPr>
        <w:t>Gas:</w:t>
      </w:r>
    </w:p>
    <w:p w:rsidR="007E1048" w:rsidRPr="00283CEC" w:rsidRDefault="007E1048" w:rsidP="007E1048">
      <w:pPr>
        <w:pStyle w:val="bt"/>
      </w:pPr>
      <w:r w:rsidRPr="00283CEC">
        <w:t>Capacity to accommodate growth to be determined</w:t>
      </w:r>
    </w:p>
    <w:p w:rsidR="007E1048" w:rsidRPr="00283CEC" w:rsidRDefault="007E1048" w:rsidP="007E1048">
      <w:pPr>
        <w:pStyle w:val="bt"/>
        <w:rPr>
          <w:rStyle w:val="Strong"/>
        </w:rPr>
      </w:pPr>
      <w:r w:rsidRPr="00283CEC">
        <w:rPr>
          <w:rStyle w:val="Strong"/>
        </w:rPr>
        <w:t>Electricity:</w:t>
      </w:r>
    </w:p>
    <w:p w:rsidR="007E1048" w:rsidRPr="00283CEC" w:rsidRDefault="007E1048" w:rsidP="007E1048">
      <w:pPr>
        <w:pStyle w:val="bt"/>
      </w:pPr>
      <w:r w:rsidRPr="00283CEC">
        <w:t>Network can support growth</w:t>
      </w:r>
    </w:p>
    <w:p w:rsidR="007E1048" w:rsidRPr="00283CEC" w:rsidRDefault="007E1048" w:rsidP="007E1048">
      <w:pPr>
        <w:pStyle w:val="bt"/>
        <w:rPr>
          <w:rStyle w:val="Strong"/>
        </w:rPr>
      </w:pPr>
      <w:r w:rsidRPr="00283CEC">
        <w:rPr>
          <w:rStyle w:val="Strong"/>
        </w:rPr>
        <w:t>Settlement:</w:t>
      </w:r>
    </w:p>
    <w:p w:rsidR="007E1048" w:rsidRPr="00283CEC" w:rsidRDefault="007E1048" w:rsidP="007E1048">
      <w:pPr>
        <w:pStyle w:val="bt"/>
      </w:pPr>
      <w:r w:rsidRPr="00283CEC">
        <w:t>Moe</w:t>
      </w:r>
      <w:r>
        <w:t xml:space="preserve"> </w:t>
      </w:r>
      <w:r w:rsidRPr="00283CEC">
        <w:t xml:space="preserve">(part </w:t>
      </w:r>
      <w:proofErr w:type="gramStart"/>
      <w:r w:rsidRPr="00283CEC">
        <w:t xml:space="preserve">of </w:t>
      </w:r>
      <w:r>
        <w:t xml:space="preserve"> </w:t>
      </w:r>
      <w:r w:rsidRPr="00283CEC">
        <w:t>Latrobe</w:t>
      </w:r>
      <w:proofErr w:type="gramEnd"/>
      <w:r w:rsidRPr="00283CEC">
        <w:t xml:space="preserve"> City)</w:t>
      </w:r>
    </w:p>
    <w:p w:rsidR="007E1048" w:rsidRPr="00283CEC" w:rsidRDefault="007E1048" w:rsidP="007E1048">
      <w:pPr>
        <w:pStyle w:val="bt"/>
        <w:rPr>
          <w:rStyle w:val="Strong"/>
        </w:rPr>
      </w:pPr>
      <w:r w:rsidRPr="00283CEC">
        <w:rPr>
          <w:rStyle w:val="Strong"/>
        </w:rPr>
        <w:t>Local road and drainage:</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Water:</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Sewerage:</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Gas:</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Electricity:</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Settlement:</w:t>
      </w:r>
    </w:p>
    <w:p w:rsidR="007E1048" w:rsidRPr="00283CEC" w:rsidRDefault="007E1048" w:rsidP="007E1048">
      <w:pPr>
        <w:pStyle w:val="bt"/>
      </w:pPr>
      <w:r w:rsidRPr="00283CEC">
        <w:t>Morwell</w:t>
      </w:r>
      <w:r>
        <w:t xml:space="preserve"> </w:t>
      </w:r>
      <w:r w:rsidRPr="00283CEC">
        <w:t>(part of Latrobe City)</w:t>
      </w:r>
    </w:p>
    <w:p w:rsidR="007E1048" w:rsidRPr="00283CEC" w:rsidRDefault="007E1048" w:rsidP="007E1048">
      <w:pPr>
        <w:pStyle w:val="bt"/>
        <w:rPr>
          <w:rStyle w:val="Strong"/>
        </w:rPr>
      </w:pPr>
      <w:r w:rsidRPr="00283CEC">
        <w:rPr>
          <w:rStyle w:val="Strong"/>
        </w:rPr>
        <w:t>Local road and drainage:</w:t>
      </w:r>
    </w:p>
    <w:p w:rsidR="007E1048" w:rsidRPr="00283CEC" w:rsidRDefault="007E1048" w:rsidP="007E1048">
      <w:pPr>
        <w:pStyle w:val="bt"/>
      </w:pPr>
      <w:r w:rsidRPr="00283CEC">
        <w:t>Significant infrastructure investment maybe needed to accommodate growth</w:t>
      </w:r>
    </w:p>
    <w:p w:rsidR="007E1048" w:rsidRPr="00283CEC" w:rsidRDefault="007E1048" w:rsidP="007E1048">
      <w:pPr>
        <w:pStyle w:val="bt"/>
        <w:rPr>
          <w:rStyle w:val="Strong"/>
        </w:rPr>
      </w:pPr>
      <w:r w:rsidRPr="00283CEC">
        <w:rPr>
          <w:rStyle w:val="Strong"/>
        </w:rPr>
        <w:t>Water:</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Sewerage:</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Gas:</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Electricity:</w:t>
      </w:r>
    </w:p>
    <w:p w:rsidR="007E1048" w:rsidRPr="00283CEC" w:rsidRDefault="007E1048" w:rsidP="007E1048">
      <w:pPr>
        <w:pStyle w:val="bt"/>
      </w:pPr>
      <w:r w:rsidRPr="00283CEC">
        <w:t xml:space="preserve">May </w:t>
      </w:r>
      <w:r w:rsidR="00FD3393">
        <w:t>require some upgrade/</w:t>
      </w:r>
      <w:r w:rsidRPr="00283CEC">
        <w:t>augmentation to support growth</w:t>
      </w:r>
    </w:p>
    <w:p w:rsidR="007E1048" w:rsidRPr="00283CEC" w:rsidRDefault="007E1048" w:rsidP="007E1048">
      <w:pPr>
        <w:pStyle w:val="bt"/>
        <w:rPr>
          <w:rStyle w:val="Strong"/>
        </w:rPr>
      </w:pPr>
      <w:r w:rsidRPr="00283CEC">
        <w:rPr>
          <w:rStyle w:val="Strong"/>
        </w:rPr>
        <w:t>Settlement:</w:t>
      </w:r>
    </w:p>
    <w:p w:rsidR="007E1048" w:rsidRPr="00283CEC" w:rsidRDefault="007E1048" w:rsidP="007E1048">
      <w:pPr>
        <w:pStyle w:val="bt"/>
      </w:pPr>
      <w:r w:rsidRPr="00283CEC">
        <w:t>Traralgon</w:t>
      </w:r>
      <w:r>
        <w:t xml:space="preserve"> </w:t>
      </w:r>
      <w:r w:rsidRPr="00283CEC">
        <w:t xml:space="preserve">(part </w:t>
      </w:r>
      <w:proofErr w:type="gramStart"/>
      <w:r w:rsidRPr="00283CEC">
        <w:t xml:space="preserve">of </w:t>
      </w:r>
      <w:r>
        <w:t xml:space="preserve"> </w:t>
      </w:r>
      <w:r w:rsidRPr="00283CEC">
        <w:t>Latrobe</w:t>
      </w:r>
      <w:proofErr w:type="gramEnd"/>
      <w:r w:rsidRPr="00283CEC">
        <w:t xml:space="preserve"> City)</w:t>
      </w:r>
    </w:p>
    <w:p w:rsidR="007E1048" w:rsidRPr="00283CEC" w:rsidRDefault="007E1048" w:rsidP="007E1048">
      <w:pPr>
        <w:pStyle w:val="bt"/>
        <w:rPr>
          <w:rStyle w:val="Strong"/>
        </w:rPr>
      </w:pPr>
      <w:r w:rsidRPr="00283CEC">
        <w:rPr>
          <w:rStyle w:val="Strong"/>
        </w:rPr>
        <w:t>Local road and drainage:</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Water:</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Sewerage:</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Gas:</w:t>
      </w:r>
    </w:p>
    <w:p w:rsidR="007E1048" w:rsidRPr="00283CEC" w:rsidRDefault="007E1048" w:rsidP="007E1048">
      <w:pPr>
        <w:pStyle w:val="bt"/>
      </w:pPr>
      <w:r w:rsidRPr="00283CEC">
        <w:t xml:space="preserve">Significant infrastructure investment </w:t>
      </w:r>
      <w:proofErr w:type="gramStart"/>
      <w:r w:rsidRPr="00283CEC">
        <w:t xml:space="preserve">may </w:t>
      </w:r>
      <w:r>
        <w:t xml:space="preserve"> </w:t>
      </w:r>
      <w:r w:rsidRPr="00283CEC">
        <w:t>be</w:t>
      </w:r>
      <w:proofErr w:type="gramEnd"/>
      <w:r w:rsidRPr="00283CEC">
        <w:t xml:space="preserve"> needed to accommodate growth</w:t>
      </w:r>
    </w:p>
    <w:p w:rsidR="007E1048" w:rsidRPr="00283CEC" w:rsidRDefault="007E1048" w:rsidP="007E1048">
      <w:pPr>
        <w:pStyle w:val="bt"/>
        <w:rPr>
          <w:rStyle w:val="Strong"/>
        </w:rPr>
      </w:pPr>
      <w:r w:rsidRPr="00283CEC">
        <w:rPr>
          <w:rStyle w:val="Strong"/>
        </w:rPr>
        <w:t>Electricity:</w:t>
      </w:r>
    </w:p>
    <w:p w:rsidR="007E1048" w:rsidRPr="00283CEC" w:rsidRDefault="007E1048" w:rsidP="007E1048">
      <w:pPr>
        <w:pStyle w:val="bt"/>
      </w:pPr>
      <w:r w:rsidRPr="00283CEC">
        <w:t xml:space="preserve">May </w:t>
      </w:r>
      <w:proofErr w:type="gramStart"/>
      <w:r w:rsidRPr="00283CEC">
        <w:t xml:space="preserve">require </w:t>
      </w:r>
      <w:r>
        <w:t xml:space="preserve"> </w:t>
      </w:r>
      <w:r w:rsidR="00FD3393">
        <w:t>some</w:t>
      </w:r>
      <w:proofErr w:type="gramEnd"/>
      <w:r w:rsidR="00FD3393">
        <w:t xml:space="preserve"> upgrade/</w:t>
      </w:r>
      <w:r w:rsidRPr="00283CEC">
        <w:t>augmentation to support growth</w:t>
      </w:r>
    </w:p>
    <w:p w:rsidR="007E1048" w:rsidRPr="00283CEC" w:rsidRDefault="007E1048" w:rsidP="007E1048">
      <w:pPr>
        <w:pStyle w:val="bt"/>
        <w:rPr>
          <w:rStyle w:val="Strong"/>
        </w:rPr>
      </w:pPr>
      <w:r w:rsidRPr="00283CEC">
        <w:rPr>
          <w:rStyle w:val="Strong"/>
        </w:rPr>
        <w:t>Settlement:</w:t>
      </w:r>
    </w:p>
    <w:p w:rsidR="007E1048" w:rsidRPr="00283CEC" w:rsidRDefault="007E1048" w:rsidP="007E1048">
      <w:pPr>
        <w:pStyle w:val="bt"/>
      </w:pPr>
      <w:r w:rsidRPr="00283CEC">
        <w:t>Bairnsdale</w:t>
      </w:r>
      <w:r>
        <w:t xml:space="preserve"> </w:t>
      </w:r>
      <w:r w:rsidRPr="00283CEC">
        <w:t>(Regional centre)</w:t>
      </w:r>
    </w:p>
    <w:p w:rsidR="007E1048" w:rsidRPr="00283CEC" w:rsidRDefault="007E1048" w:rsidP="007E1048">
      <w:pPr>
        <w:pStyle w:val="bt"/>
        <w:rPr>
          <w:rStyle w:val="Strong"/>
        </w:rPr>
      </w:pPr>
      <w:r w:rsidRPr="00283CEC">
        <w:rPr>
          <w:rStyle w:val="Strong"/>
        </w:rPr>
        <w:t>Local road and drainage:</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pPr>
      <w:r w:rsidRPr="00283CEC">
        <w:rPr>
          <w:rStyle w:val="Strong"/>
        </w:rPr>
        <w:t>Water:</w:t>
      </w:r>
    </w:p>
    <w:p w:rsidR="007E1048" w:rsidRPr="00283CEC" w:rsidRDefault="007E1048" w:rsidP="007E1048">
      <w:pPr>
        <w:pStyle w:val="bt"/>
      </w:pPr>
      <w:r w:rsidRPr="00283CEC">
        <w:t>Capacity to accommodate growth to be determined</w:t>
      </w:r>
    </w:p>
    <w:p w:rsidR="007E1048" w:rsidRPr="00283CEC" w:rsidRDefault="007E1048" w:rsidP="007E1048">
      <w:pPr>
        <w:pStyle w:val="bt"/>
        <w:rPr>
          <w:rStyle w:val="Strong"/>
        </w:rPr>
      </w:pPr>
      <w:r w:rsidRPr="00283CEC">
        <w:rPr>
          <w:rStyle w:val="Strong"/>
        </w:rPr>
        <w:t>Sewerage:</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Gas:</w:t>
      </w:r>
    </w:p>
    <w:p w:rsidR="007E1048" w:rsidRPr="00283CEC" w:rsidRDefault="007E1048" w:rsidP="007E1048">
      <w:pPr>
        <w:pStyle w:val="bt"/>
      </w:pPr>
      <w:r w:rsidRPr="00283CEC">
        <w:t>Capacity to accommodate growth to be determined</w:t>
      </w:r>
    </w:p>
    <w:p w:rsidR="007E1048" w:rsidRPr="00283CEC" w:rsidRDefault="007E1048" w:rsidP="007E1048">
      <w:pPr>
        <w:pStyle w:val="bt"/>
        <w:rPr>
          <w:rStyle w:val="Strong"/>
        </w:rPr>
      </w:pPr>
      <w:r w:rsidRPr="00283CEC">
        <w:rPr>
          <w:rStyle w:val="Strong"/>
        </w:rPr>
        <w:t>Electricity:</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Settlement:</w:t>
      </w:r>
    </w:p>
    <w:p w:rsidR="007E1048" w:rsidRPr="00283CEC" w:rsidRDefault="007E1048" w:rsidP="007E1048">
      <w:pPr>
        <w:pStyle w:val="bt"/>
      </w:pPr>
      <w:r w:rsidRPr="00283CEC">
        <w:t>Leongatha</w:t>
      </w:r>
      <w:r>
        <w:t xml:space="preserve"> </w:t>
      </w:r>
      <w:r w:rsidRPr="00283CEC">
        <w:t>(Regional centre)</w:t>
      </w:r>
    </w:p>
    <w:p w:rsidR="007E1048" w:rsidRPr="00283CEC" w:rsidRDefault="007E1048" w:rsidP="007E1048">
      <w:pPr>
        <w:pStyle w:val="bt"/>
        <w:rPr>
          <w:rStyle w:val="Strong"/>
        </w:rPr>
      </w:pPr>
      <w:r w:rsidRPr="00283CEC">
        <w:rPr>
          <w:rStyle w:val="Strong"/>
        </w:rPr>
        <w:t>Local road and drainage:</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Water:</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Sewerage:</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Gas:</w:t>
      </w:r>
    </w:p>
    <w:p w:rsidR="007E1048" w:rsidRPr="00283CEC" w:rsidRDefault="007E1048" w:rsidP="007E1048">
      <w:pPr>
        <w:pStyle w:val="bt"/>
      </w:pPr>
      <w:r w:rsidRPr="00283CEC">
        <w:t>Network can support growth</w:t>
      </w:r>
    </w:p>
    <w:p w:rsidR="007E1048" w:rsidRPr="00283CEC" w:rsidRDefault="007E1048" w:rsidP="007E1048">
      <w:pPr>
        <w:pStyle w:val="bt"/>
        <w:rPr>
          <w:rStyle w:val="Strong"/>
        </w:rPr>
      </w:pPr>
      <w:r w:rsidRPr="00283CEC">
        <w:rPr>
          <w:rStyle w:val="Strong"/>
        </w:rPr>
        <w:t>Electricity:</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Settlement:</w:t>
      </w:r>
    </w:p>
    <w:p w:rsidR="007E1048" w:rsidRPr="00283CEC" w:rsidRDefault="007E1048" w:rsidP="007E1048">
      <w:pPr>
        <w:pStyle w:val="bt"/>
      </w:pPr>
      <w:r w:rsidRPr="00283CEC">
        <w:t>Sale</w:t>
      </w:r>
      <w:r>
        <w:t xml:space="preserve"> </w:t>
      </w:r>
      <w:r w:rsidRPr="00283CEC">
        <w:t>(Regional centre)</w:t>
      </w:r>
    </w:p>
    <w:p w:rsidR="007E1048" w:rsidRPr="00283CEC" w:rsidRDefault="007E1048" w:rsidP="007E1048">
      <w:pPr>
        <w:pStyle w:val="bt"/>
        <w:rPr>
          <w:rStyle w:val="Strong"/>
        </w:rPr>
      </w:pPr>
      <w:r w:rsidRPr="00283CEC">
        <w:rPr>
          <w:rStyle w:val="Strong"/>
        </w:rPr>
        <w:t xml:space="preserve">Local road and drainage: </w:t>
      </w:r>
    </w:p>
    <w:p w:rsidR="007E1048" w:rsidRPr="00283CEC" w:rsidRDefault="007E1048" w:rsidP="007E1048">
      <w:pPr>
        <w:pStyle w:val="bt"/>
      </w:pPr>
      <w:r w:rsidRPr="00283CEC">
        <w:t>Capacity to accommodate growth to be determined</w:t>
      </w:r>
    </w:p>
    <w:p w:rsidR="007E1048" w:rsidRPr="00283CEC" w:rsidRDefault="007E1048" w:rsidP="007E1048">
      <w:pPr>
        <w:pStyle w:val="bt"/>
        <w:rPr>
          <w:rStyle w:val="Strong"/>
        </w:rPr>
      </w:pPr>
      <w:r w:rsidRPr="00283CEC">
        <w:rPr>
          <w:rStyle w:val="Strong"/>
        </w:rPr>
        <w:t>Water:</w:t>
      </w:r>
    </w:p>
    <w:p w:rsidR="007E1048" w:rsidRPr="00283CEC" w:rsidRDefault="007E1048" w:rsidP="007E1048">
      <w:pPr>
        <w:pStyle w:val="bt"/>
      </w:pPr>
      <w:r w:rsidRPr="00283CEC">
        <w:t>Network can support growth</w:t>
      </w:r>
    </w:p>
    <w:p w:rsidR="007E1048" w:rsidRPr="00283CEC" w:rsidRDefault="007E1048" w:rsidP="007E1048">
      <w:pPr>
        <w:pStyle w:val="bt"/>
        <w:rPr>
          <w:rStyle w:val="Strong"/>
        </w:rPr>
      </w:pPr>
      <w:r w:rsidRPr="00283CEC">
        <w:rPr>
          <w:rStyle w:val="Strong"/>
        </w:rPr>
        <w:t>Sewerage:</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Gas:</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Electricity:</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Settlement:</w:t>
      </w:r>
    </w:p>
    <w:p w:rsidR="007E1048" w:rsidRPr="00283CEC" w:rsidRDefault="007E1048" w:rsidP="007E1048">
      <w:pPr>
        <w:pStyle w:val="bt"/>
      </w:pPr>
      <w:r w:rsidRPr="00283CEC">
        <w:t>Warragul/Drouin</w:t>
      </w:r>
      <w:r>
        <w:t xml:space="preserve"> </w:t>
      </w:r>
      <w:r w:rsidRPr="00283CEC">
        <w:t>(Regional centre)</w:t>
      </w:r>
    </w:p>
    <w:p w:rsidR="007E1048" w:rsidRPr="00283CEC" w:rsidRDefault="007E1048" w:rsidP="007E1048">
      <w:pPr>
        <w:pStyle w:val="bt"/>
        <w:rPr>
          <w:rStyle w:val="Strong"/>
        </w:rPr>
      </w:pPr>
      <w:r w:rsidRPr="00283CEC">
        <w:rPr>
          <w:rStyle w:val="Strong"/>
        </w:rPr>
        <w:t>Local road and drainage:</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Water:</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Sewerage:</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Gas:</w:t>
      </w:r>
    </w:p>
    <w:p w:rsidR="007E1048" w:rsidRPr="00283CEC" w:rsidRDefault="007E1048" w:rsidP="007E1048">
      <w:pPr>
        <w:pStyle w:val="bt"/>
      </w:pPr>
      <w:r w:rsidRPr="00283CEC">
        <w:t>Capacity to accommodate growth to be determined</w:t>
      </w:r>
    </w:p>
    <w:p w:rsidR="007E1048" w:rsidRPr="00283CEC" w:rsidRDefault="007E1048" w:rsidP="007E1048">
      <w:pPr>
        <w:pStyle w:val="bt"/>
        <w:rPr>
          <w:rStyle w:val="Strong"/>
        </w:rPr>
      </w:pPr>
      <w:r w:rsidRPr="00283CEC">
        <w:rPr>
          <w:rStyle w:val="Strong"/>
        </w:rPr>
        <w:t>Electricity:</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Settlement:</w:t>
      </w:r>
    </w:p>
    <w:p w:rsidR="007E1048" w:rsidRPr="00283CEC" w:rsidRDefault="007E1048" w:rsidP="007E1048">
      <w:pPr>
        <w:pStyle w:val="bt"/>
      </w:pPr>
      <w:r w:rsidRPr="00283CEC">
        <w:t>Wonthaggi</w:t>
      </w:r>
      <w:r>
        <w:t xml:space="preserve"> </w:t>
      </w:r>
      <w:r w:rsidRPr="00283CEC">
        <w:t>(Regional centre)</w:t>
      </w:r>
    </w:p>
    <w:p w:rsidR="007E1048" w:rsidRPr="00283CEC" w:rsidRDefault="007E1048" w:rsidP="007E1048">
      <w:pPr>
        <w:pStyle w:val="bt"/>
        <w:rPr>
          <w:rStyle w:val="Strong"/>
        </w:rPr>
      </w:pPr>
      <w:r w:rsidRPr="00283CEC">
        <w:rPr>
          <w:rStyle w:val="Strong"/>
        </w:rPr>
        <w:t>Local road and drainage:</w:t>
      </w:r>
    </w:p>
    <w:p w:rsidR="007E1048" w:rsidRPr="00283CEC" w:rsidRDefault="007E1048" w:rsidP="007E1048">
      <w:pPr>
        <w:pStyle w:val="bt"/>
      </w:pPr>
      <w:r w:rsidRPr="00283CEC">
        <w:t>Significant infrastructure investment may be needed to accommodate growth</w:t>
      </w:r>
    </w:p>
    <w:p w:rsidR="007E1048" w:rsidRPr="00283CEC" w:rsidRDefault="007E1048" w:rsidP="007E1048">
      <w:pPr>
        <w:pStyle w:val="bt"/>
        <w:rPr>
          <w:rStyle w:val="Strong"/>
        </w:rPr>
      </w:pPr>
      <w:r w:rsidRPr="00283CEC">
        <w:rPr>
          <w:rStyle w:val="Strong"/>
        </w:rPr>
        <w:t>Water:</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Sewerage:</w:t>
      </w:r>
    </w:p>
    <w:p w:rsidR="007E1048" w:rsidRPr="00283CEC" w:rsidRDefault="007E1048" w:rsidP="007E1048">
      <w:pPr>
        <w:pStyle w:val="bt"/>
      </w:pPr>
      <w:r w:rsidRPr="00283CEC">
        <w:t xml:space="preserve">May require some </w:t>
      </w:r>
      <w:r w:rsidR="00FD3393">
        <w:t>upgrade/</w:t>
      </w:r>
      <w:r w:rsidRPr="00283CEC">
        <w:t>augmentation to support growth</w:t>
      </w:r>
    </w:p>
    <w:p w:rsidR="007E1048" w:rsidRPr="00283CEC" w:rsidRDefault="007E1048" w:rsidP="007E1048">
      <w:pPr>
        <w:pStyle w:val="bt"/>
        <w:rPr>
          <w:rStyle w:val="Strong"/>
        </w:rPr>
      </w:pPr>
      <w:r w:rsidRPr="00283CEC">
        <w:rPr>
          <w:rStyle w:val="Strong"/>
        </w:rPr>
        <w:t>Gas:</w:t>
      </w:r>
    </w:p>
    <w:p w:rsidR="007E1048" w:rsidRPr="00283CEC" w:rsidRDefault="00FD3393" w:rsidP="007E1048">
      <w:pPr>
        <w:pStyle w:val="bt"/>
      </w:pPr>
      <w:r>
        <w:t>May require some upgrade/</w:t>
      </w:r>
      <w:r w:rsidR="007E1048" w:rsidRPr="00283CEC">
        <w:t>augmentation to support growth</w:t>
      </w:r>
    </w:p>
    <w:p w:rsidR="007E1048" w:rsidRPr="00283CEC" w:rsidRDefault="007E1048" w:rsidP="007E1048">
      <w:pPr>
        <w:pStyle w:val="bt"/>
        <w:rPr>
          <w:rStyle w:val="Strong"/>
        </w:rPr>
      </w:pPr>
      <w:r w:rsidRPr="00283CEC">
        <w:rPr>
          <w:rStyle w:val="Strong"/>
        </w:rPr>
        <w:t>Electricity:</w:t>
      </w:r>
    </w:p>
    <w:p w:rsidR="007E1048" w:rsidRDefault="007E1048" w:rsidP="007E1048">
      <w:pPr>
        <w:pStyle w:val="bt"/>
      </w:pPr>
      <w:r w:rsidRPr="00283CEC">
        <w:t>Significant infrastructure investment may be needed to accommodate growth</w:t>
      </w:r>
    </w:p>
    <w:p w:rsidR="00003949" w:rsidRPr="00283CEC" w:rsidRDefault="008508AC" w:rsidP="00CC3A69">
      <w:pPr>
        <w:pStyle w:val="Heading4"/>
      </w:pPr>
      <w:r w:rsidRPr="00283CEC">
        <w:t>Waste management</w:t>
      </w:r>
    </w:p>
    <w:p w:rsidR="00E853EC" w:rsidRPr="00283CEC" w:rsidRDefault="00E853EC" w:rsidP="00FD4D85">
      <w:pPr>
        <w:pStyle w:val="bt"/>
      </w:pPr>
      <w:r w:rsidRPr="00283CEC">
        <w:t>The region has an existing framework to manage municipal and solid industrial waste through the functions of the Gippsland Regional Waste Management Group</w:t>
      </w:r>
      <w:r w:rsidR="00280DCB" w:rsidRPr="00283CEC">
        <w:t xml:space="preserve">. </w:t>
      </w:r>
      <w:r w:rsidR="00D8573D" w:rsidRPr="00283CEC">
        <w:t>Under s</w:t>
      </w:r>
      <w:r w:rsidRPr="00283CEC">
        <w:t xml:space="preserve">tate </w:t>
      </w:r>
      <w:r w:rsidR="0047376E" w:rsidRPr="00283CEC">
        <w:t xml:space="preserve">government </w:t>
      </w:r>
      <w:r w:rsidRPr="00283CEC">
        <w:t>legislation</w:t>
      </w:r>
      <w:r w:rsidR="00D8573D" w:rsidRPr="00283CEC">
        <w:t>,</w:t>
      </w:r>
      <w:r w:rsidRPr="00283CEC">
        <w:t xml:space="preserve"> the </w:t>
      </w:r>
      <w:r w:rsidR="00280DCB" w:rsidRPr="00283CEC">
        <w:t xml:space="preserve">Gippsland Regional Waste Management Group </w:t>
      </w:r>
      <w:r w:rsidR="00D8573D" w:rsidRPr="00283CEC">
        <w:t>i</w:t>
      </w:r>
      <w:r w:rsidRPr="00283CEC">
        <w:t xml:space="preserve">s </w:t>
      </w:r>
      <w:r w:rsidR="00D8573D" w:rsidRPr="00283CEC">
        <w:t xml:space="preserve">responsible for </w:t>
      </w:r>
      <w:r w:rsidRPr="00283CEC">
        <w:t>planning for the management of municipal waste through partnerships within the region, and support</w:t>
      </w:r>
      <w:r w:rsidR="00D8573D" w:rsidRPr="00283CEC">
        <w:t>ing</w:t>
      </w:r>
      <w:r w:rsidRPr="00283CEC">
        <w:t xml:space="preserve"> and implement</w:t>
      </w:r>
      <w:r w:rsidR="00D8573D" w:rsidRPr="00283CEC">
        <w:t>ing</w:t>
      </w:r>
      <w:r w:rsidRPr="00283CEC">
        <w:t xml:space="preserve"> </w:t>
      </w:r>
      <w:r w:rsidR="0047376E" w:rsidRPr="00283CEC">
        <w:t xml:space="preserve">state government </w:t>
      </w:r>
      <w:r w:rsidRPr="00283CEC">
        <w:t>policies and strategies relating to waste.</w:t>
      </w:r>
    </w:p>
    <w:p w:rsidR="00E853EC" w:rsidRPr="00283CEC" w:rsidRDefault="00E853EC" w:rsidP="00FD4D85">
      <w:pPr>
        <w:pStyle w:val="bt"/>
      </w:pPr>
      <w:r w:rsidRPr="00283CEC">
        <w:t xml:space="preserve">The region has an existing network of solid waste management infrastructure comprising </w:t>
      </w:r>
      <w:r w:rsidR="000A431C" w:rsidRPr="00283CEC">
        <w:t>council landfills, resource recovery centres, materials recovery facilities, organics processors, and construction and demolition resource recovery.</w:t>
      </w:r>
    </w:p>
    <w:p w:rsidR="00E853EC" w:rsidRPr="00283CEC" w:rsidRDefault="00E853EC" w:rsidP="00FD4D85">
      <w:pPr>
        <w:pStyle w:val="bt"/>
      </w:pPr>
      <w:r w:rsidRPr="00283CEC">
        <w:t xml:space="preserve">One of the challenges for the region is dealing with the large increase in waste generation that corresponds with the summer peak tourist season. The capacity of public waste infrastructure is strained during these peak periods and </w:t>
      </w:r>
      <w:r w:rsidR="00075888" w:rsidRPr="00283CEC">
        <w:t xml:space="preserve">this </w:t>
      </w:r>
      <w:r w:rsidRPr="00283CEC">
        <w:t xml:space="preserve">limits opportunities to recover and divert waste from landfill. Other challenges relate to the mix of urban </w:t>
      </w:r>
      <w:r w:rsidR="00AC5E57" w:rsidRPr="00283CEC">
        <w:t xml:space="preserve">settlements </w:t>
      </w:r>
      <w:r w:rsidRPr="00283CEC">
        <w:t xml:space="preserve">and rural </w:t>
      </w:r>
      <w:r w:rsidR="00AC5E57" w:rsidRPr="00283CEC">
        <w:t xml:space="preserve">areas </w:t>
      </w:r>
      <w:r w:rsidRPr="00283CEC">
        <w:t>within the region and the diverse streams of domestic and industrial waste this produces.</w:t>
      </w:r>
    </w:p>
    <w:p w:rsidR="00374CFB" w:rsidRPr="00283CEC" w:rsidRDefault="000A431C" w:rsidP="00FD4D85">
      <w:pPr>
        <w:pStyle w:val="bt"/>
      </w:pPr>
      <w:r w:rsidRPr="00283CEC">
        <w:t xml:space="preserve">The </w:t>
      </w:r>
      <w:r w:rsidR="00280DCB" w:rsidRPr="00283CEC">
        <w:t xml:space="preserve">Gippsland Regional Waste Management Group </w:t>
      </w:r>
      <w:r w:rsidRPr="00283CEC">
        <w:t>has set out future directions and priorities to upgrade many existing facilities to improve service delivery and broaden the suite of material recovered. A number of smaller</w:t>
      </w:r>
      <w:r w:rsidR="00374CFB" w:rsidRPr="00283CEC">
        <w:t xml:space="preserve"> landfill sites are expected to reach capacity over the next five years and will require rehabilitation measures. Some of these facilities will be replaced by resource recovery centres. </w:t>
      </w:r>
    </w:p>
    <w:p w:rsidR="000258BA" w:rsidRPr="00283CEC" w:rsidRDefault="00374CFB" w:rsidP="00FD4D85">
      <w:pPr>
        <w:pStyle w:val="bt"/>
      </w:pPr>
      <w:r w:rsidRPr="00283CEC">
        <w:t>T</w:t>
      </w:r>
      <w:r w:rsidR="00CC27AC" w:rsidRPr="00283CEC">
        <w:t>h</w:t>
      </w:r>
      <w:r w:rsidR="00280DCB" w:rsidRPr="00283CEC">
        <w:t>is</w:t>
      </w:r>
      <w:r w:rsidR="008E0368" w:rsidRPr="00283CEC">
        <w:t xml:space="preserve"> </w:t>
      </w:r>
      <w:r w:rsidR="00280DCB" w:rsidRPr="00283CEC">
        <w:t>p</w:t>
      </w:r>
      <w:r w:rsidR="00CC27AC" w:rsidRPr="00283CEC">
        <w:t>lan supports an ongoing</w:t>
      </w:r>
      <w:r w:rsidR="00075888" w:rsidRPr="00283CEC">
        <w:t>,</w:t>
      </w:r>
      <w:r w:rsidR="00CC27AC" w:rsidRPr="00283CEC">
        <w:t xml:space="preserve"> coordinated approach to managing solid waste through a network of landfill and recovery centres that are accessible for domestic and industrial users. Local strategic planning should support and facilitate the development of waste facilities including appropriate amenity buffers to secure the</w:t>
      </w:r>
      <w:r w:rsidR="00836177" w:rsidRPr="00283CEC">
        <w:t>ir</w:t>
      </w:r>
      <w:r w:rsidR="00CC27AC" w:rsidRPr="00283CEC">
        <w:t xml:space="preserve"> </w:t>
      </w:r>
      <w:r w:rsidR="00836177" w:rsidRPr="00283CEC">
        <w:t xml:space="preserve">operations in the </w:t>
      </w:r>
      <w:r w:rsidR="00CC27AC" w:rsidRPr="00283CEC">
        <w:t>long</w:t>
      </w:r>
      <w:r w:rsidR="00075888" w:rsidRPr="00283CEC">
        <w:t xml:space="preserve"> </w:t>
      </w:r>
      <w:r w:rsidR="00CC27AC" w:rsidRPr="00283CEC">
        <w:t>term</w:t>
      </w:r>
      <w:r w:rsidR="00836177" w:rsidRPr="00283CEC">
        <w:t>.</w:t>
      </w:r>
      <w:r w:rsidR="00D74230" w:rsidRPr="00283CEC">
        <w:t xml:space="preserve"> Further information about future waste management and infrastructure is included in </w:t>
      </w:r>
      <w:r w:rsidR="004C37A2" w:rsidRPr="00283CEC">
        <w:t>Getting Full Value – The Victorian Waste and Resource Recovery Policy</w:t>
      </w:r>
      <w:r w:rsidR="00D74230" w:rsidRPr="00283CEC">
        <w:t>.</w:t>
      </w:r>
      <w:r w:rsidR="000258BA" w:rsidRPr="00283CEC">
        <w:t xml:space="preserve"> </w:t>
      </w:r>
    </w:p>
    <w:p w:rsidR="00FD4D85" w:rsidRPr="00283CEC" w:rsidRDefault="00FD4D85" w:rsidP="00FD4D85">
      <w:pPr>
        <w:pStyle w:val="bt"/>
        <w:rPr>
          <w:rStyle w:val="Strong"/>
        </w:rPr>
      </w:pPr>
      <w:r w:rsidRPr="00283CEC">
        <w:rPr>
          <w:rStyle w:val="Strong"/>
        </w:rPr>
        <w:t>Strategies for future land use</w:t>
      </w:r>
    </w:p>
    <w:p w:rsidR="00FD4D85" w:rsidRPr="00283CEC" w:rsidRDefault="00FD4D85" w:rsidP="00767431">
      <w:pPr>
        <w:pStyle w:val="btbullet"/>
      </w:pPr>
      <w:r w:rsidRPr="00283CEC">
        <w:t>Work with water, drainage, energy, and telecommunications agencies to prepare strategic infrastructure plans to provide utility servicing infrastructure to growth areas across the region</w:t>
      </w:r>
    </w:p>
    <w:p w:rsidR="00FD4D85" w:rsidRPr="00283CEC" w:rsidRDefault="00FD4D85" w:rsidP="00767431">
      <w:pPr>
        <w:pStyle w:val="btbullet"/>
      </w:pPr>
      <w:r w:rsidRPr="00283CEC">
        <w:t>Support ongoing investment in water infrastructure and management of water resources to enhance security and efficiency of water supply to industry and urban areas</w:t>
      </w:r>
    </w:p>
    <w:p w:rsidR="00FD4D85" w:rsidRPr="00283CEC" w:rsidRDefault="00FD4D85" w:rsidP="00767431">
      <w:pPr>
        <w:pStyle w:val="btbullet"/>
      </w:pPr>
      <w:r w:rsidRPr="00283CEC">
        <w:t>Support the provision of adequate facilities to manage the region’s solid waste</w:t>
      </w:r>
    </w:p>
    <w:p w:rsidR="00FD4D85" w:rsidRPr="00283CEC" w:rsidRDefault="00FD4D85" w:rsidP="00767431">
      <w:pPr>
        <w:pStyle w:val="btbullet"/>
      </w:pPr>
      <w:r w:rsidRPr="00283CEC">
        <w:t xml:space="preserve">Give priority to development proposals that maximise the use of existing infrastructure and minimise the need for </w:t>
      </w:r>
      <w:r w:rsidR="0033477C" w:rsidRPr="00283CEC">
        <w:t xml:space="preserve">new </w:t>
      </w:r>
      <w:r w:rsidRPr="00283CEC">
        <w:t>infrastructure</w:t>
      </w:r>
    </w:p>
    <w:p w:rsidR="0076465A" w:rsidRPr="00283CEC" w:rsidRDefault="0076465A" w:rsidP="00FD4D85">
      <w:pPr>
        <w:pStyle w:val="Heading2"/>
        <w:rPr>
          <w:color w:val="auto"/>
        </w:rPr>
      </w:pPr>
      <w:bookmarkStart w:id="116" w:name="_Toc376791255"/>
      <w:bookmarkStart w:id="117" w:name="_Toc336871233"/>
      <w:bookmarkEnd w:id="113"/>
      <w:r w:rsidRPr="00283CEC">
        <w:rPr>
          <w:color w:val="auto"/>
        </w:rPr>
        <w:t xml:space="preserve">Transport </w:t>
      </w:r>
      <w:r w:rsidR="00D979A2" w:rsidRPr="00283CEC">
        <w:rPr>
          <w:color w:val="auto"/>
        </w:rPr>
        <w:t>n</w:t>
      </w:r>
      <w:r w:rsidRPr="00283CEC">
        <w:rPr>
          <w:color w:val="auto"/>
        </w:rPr>
        <w:t>etworks</w:t>
      </w:r>
      <w:bookmarkEnd w:id="116"/>
    </w:p>
    <w:p w:rsidR="0076465A" w:rsidRPr="00283CEC" w:rsidRDefault="0076465A" w:rsidP="00FD4D85">
      <w:pPr>
        <w:pStyle w:val="bt"/>
      </w:pPr>
      <w:r w:rsidRPr="00283CEC">
        <w:t xml:space="preserve">The Gippsland transport network requires ongoing planning and review to ensure it remains efficient, well connected and reliable. It is critical </w:t>
      </w:r>
      <w:r w:rsidR="00075888" w:rsidRPr="00283CEC">
        <w:t xml:space="preserve">for </w:t>
      </w:r>
      <w:r w:rsidRPr="00283CEC">
        <w:t xml:space="preserve">the network </w:t>
      </w:r>
      <w:r w:rsidR="00075888" w:rsidRPr="00283CEC">
        <w:t xml:space="preserve">to </w:t>
      </w:r>
      <w:r w:rsidRPr="00283CEC">
        <w:t>enable region</w:t>
      </w:r>
      <w:r w:rsidR="00075888" w:rsidRPr="00283CEC">
        <w:t>al</w:t>
      </w:r>
      <w:r w:rsidRPr="00283CEC">
        <w:t xml:space="preserve"> businesses to efficiently manage their supply chain requirements and for the community to conveniently access employment, services and recreational activities</w:t>
      </w:r>
      <w:r w:rsidR="00075888" w:rsidRPr="00283CEC">
        <w:t>,</w:t>
      </w:r>
      <w:r w:rsidRPr="00283CEC">
        <w:t xml:space="preserve"> and visit family and friends.  </w:t>
      </w:r>
    </w:p>
    <w:p w:rsidR="0076465A" w:rsidRPr="00283CEC" w:rsidRDefault="0076465A" w:rsidP="00FD4D85">
      <w:pPr>
        <w:pStyle w:val="bt"/>
      </w:pPr>
      <w:r w:rsidRPr="00283CEC">
        <w:t>Business</w:t>
      </w:r>
      <w:r w:rsidR="00075888" w:rsidRPr="00283CEC">
        <w:t>es</w:t>
      </w:r>
      <w:r w:rsidRPr="00283CEC">
        <w:t xml:space="preserve"> and the regional economy rely on a mature freight system including Victoria’s connectivity to the Australia</w:t>
      </w:r>
      <w:r w:rsidR="00075888" w:rsidRPr="00283CEC">
        <w:t>-</w:t>
      </w:r>
      <w:r w:rsidRPr="00283CEC">
        <w:t>wide system. Regional connections to port facilities in Melbourne and other hubs such as Portland, Geelong, Hastings and interstate to Eden are essential, as are linkage</w:t>
      </w:r>
      <w:r w:rsidR="0047376E" w:rsidRPr="00283CEC">
        <w:t>s</w:t>
      </w:r>
      <w:r w:rsidRPr="00283CEC">
        <w:t xml:space="preserve"> to Melbourne Airport, and increasingly to Avalon Airport and </w:t>
      </w:r>
      <w:r w:rsidR="00075888" w:rsidRPr="00283CEC">
        <w:t xml:space="preserve">other </w:t>
      </w:r>
      <w:r w:rsidRPr="00283CEC">
        <w:t xml:space="preserve">regional airports. </w:t>
      </w:r>
    </w:p>
    <w:p w:rsidR="0076465A" w:rsidRPr="00283CEC" w:rsidRDefault="0076465A" w:rsidP="00FD4D85">
      <w:pPr>
        <w:pStyle w:val="bt"/>
      </w:pPr>
      <w:r w:rsidRPr="00283CEC">
        <w:t xml:space="preserve">Regional ports and airports </w:t>
      </w:r>
      <w:r w:rsidR="00E4113E" w:rsidRPr="00283CEC">
        <w:t xml:space="preserve">also </w:t>
      </w:r>
      <w:r w:rsidRPr="00283CEC">
        <w:t xml:space="preserve">host important local services. </w:t>
      </w:r>
      <w:r w:rsidR="00E4113E" w:rsidRPr="00283CEC">
        <w:t xml:space="preserve">For Gippsland this </w:t>
      </w:r>
      <w:r w:rsidRPr="00283CEC">
        <w:t xml:space="preserve">includes the East Sale Royal Australian Air Force </w:t>
      </w:r>
      <w:r w:rsidR="0067112E" w:rsidRPr="00283CEC">
        <w:t>B</w:t>
      </w:r>
      <w:r w:rsidRPr="00283CEC">
        <w:t xml:space="preserve">ase, aircraft manufacturing at Latrobe Regional Airport, light aircraft charter services at Latrobe and West Sale </w:t>
      </w:r>
      <w:r w:rsidR="00E4113E" w:rsidRPr="00283CEC">
        <w:t>airports</w:t>
      </w:r>
      <w:r w:rsidR="0067112E" w:rsidRPr="00283CEC">
        <w:t>,</w:t>
      </w:r>
      <w:r w:rsidR="00E4113E" w:rsidRPr="00283CEC">
        <w:t xml:space="preserve"> </w:t>
      </w:r>
      <w:r w:rsidRPr="00283CEC">
        <w:t xml:space="preserve">and recreational </w:t>
      </w:r>
      <w:r w:rsidR="0067112E" w:rsidRPr="00283CEC">
        <w:t xml:space="preserve">or </w:t>
      </w:r>
      <w:r w:rsidRPr="00283CEC">
        <w:t>agricultural crop spraying flights from small airports throughout Gippsland. Local ports include the Barry Be</w:t>
      </w:r>
      <w:r w:rsidR="00BC16DD" w:rsidRPr="00283CEC">
        <w:t>ach Marine Terminal at Corner In</w:t>
      </w:r>
      <w:r w:rsidRPr="00283CEC">
        <w:t>let</w:t>
      </w:r>
      <w:r w:rsidR="001E54CD" w:rsidRPr="00283CEC">
        <w:t>,</w:t>
      </w:r>
      <w:r w:rsidRPr="00283CEC">
        <w:t xml:space="preserve"> which handles offshore oil and gas provisioning and a number of ports </w:t>
      </w:r>
      <w:r w:rsidR="001E54CD" w:rsidRPr="00283CEC">
        <w:t xml:space="preserve">that </w:t>
      </w:r>
      <w:r w:rsidRPr="00283CEC">
        <w:t>support commercial fishing fleets</w:t>
      </w:r>
      <w:r w:rsidR="00EE0F41" w:rsidRPr="00283CEC">
        <w:t xml:space="preserve"> including Lakes Entrance</w:t>
      </w:r>
      <w:r w:rsidR="001E54CD" w:rsidRPr="00283CEC">
        <w:t>,</w:t>
      </w:r>
      <w:r w:rsidR="00EE0F41" w:rsidRPr="00283CEC">
        <w:t xml:space="preserve"> which is home to the largest commercial fishing fleet in Victoria</w:t>
      </w:r>
      <w:r w:rsidRPr="00283CEC">
        <w:t xml:space="preserve">. </w:t>
      </w:r>
    </w:p>
    <w:p w:rsidR="0076465A" w:rsidRPr="00283CEC" w:rsidRDefault="0067112E" w:rsidP="00FD4D85">
      <w:pPr>
        <w:pStyle w:val="bt"/>
      </w:pPr>
      <w:r w:rsidRPr="00283CEC">
        <w:t>This p</w:t>
      </w:r>
      <w:r w:rsidR="0076465A" w:rsidRPr="00283CEC">
        <w:t xml:space="preserve">lan considers the community’s transport access in a growing Gippsland, including the need to </w:t>
      </w:r>
      <w:r w:rsidR="0076465A" w:rsidRPr="00283CEC">
        <w:rPr>
          <w:rFonts w:cs="Calibri"/>
          <w:szCs w:val="20"/>
        </w:rPr>
        <w:t>travel within the region to access employment, recreation and services</w:t>
      </w:r>
      <w:r w:rsidRPr="00283CEC">
        <w:rPr>
          <w:rFonts w:cs="Calibri"/>
          <w:szCs w:val="20"/>
        </w:rPr>
        <w:t xml:space="preserve"> such as </w:t>
      </w:r>
      <w:r w:rsidR="00E010D2" w:rsidRPr="00283CEC">
        <w:rPr>
          <w:rFonts w:cs="Calibri"/>
          <w:szCs w:val="20"/>
        </w:rPr>
        <w:t xml:space="preserve">the </w:t>
      </w:r>
      <w:r w:rsidR="009418D9" w:rsidRPr="00283CEC">
        <w:t>u</w:t>
      </w:r>
      <w:r w:rsidR="00E058AB" w:rsidRPr="00283CEC">
        <w:t>niversity campus</w:t>
      </w:r>
      <w:r w:rsidR="0076465A" w:rsidRPr="00283CEC">
        <w:rPr>
          <w:rFonts w:cs="Calibri"/>
          <w:szCs w:val="20"/>
        </w:rPr>
        <w:t xml:space="preserve"> </w:t>
      </w:r>
      <w:r w:rsidR="00504D84" w:rsidRPr="00283CEC">
        <w:rPr>
          <w:rFonts w:cs="Calibri"/>
          <w:szCs w:val="20"/>
        </w:rPr>
        <w:t>at</w:t>
      </w:r>
      <w:r w:rsidR="0076465A" w:rsidRPr="00283CEC">
        <w:rPr>
          <w:rFonts w:cs="Calibri"/>
          <w:szCs w:val="20"/>
        </w:rPr>
        <w:t xml:space="preserve"> Churchill and </w:t>
      </w:r>
      <w:r w:rsidR="00761147" w:rsidRPr="00283CEC">
        <w:rPr>
          <w:rFonts w:cs="Calibri"/>
          <w:szCs w:val="20"/>
        </w:rPr>
        <w:t>regional hospitals at Bairnsdale, Morwell, Sale, Traralgon and Warragul.</w:t>
      </w:r>
      <w:r w:rsidR="0076465A" w:rsidRPr="00283CEC">
        <w:rPr>
          <w:rFonts w:cs="Calibri"/>
          <w:szCs w:val="20"/>
        </w:rPr>
        <w:t xml:space="preserve"> It also considers </w:t>
      </w:r>
      <w:r w:rsidR="0076465A" w:rsidRPr="00283CEC">
        <w:t xml:space="preserve">the need to </w:t>
      </w:r>
      <w:r w:rsidR="0076465A" w:rsidRPr="00283CEC">
        <w:rPr>
          <w:rFonts w:cs="Calibri"/>
          <w:szCs w:val="20"/>
        </w:rPr>
        <w:t>access higher order services outside the region, particularly Melbourne Airport for domestic and international flights</w:t>
      </w:r>
      <w:r w:rsidR="0076465A" w:rsidRPr="00283CEC">
        <w:t>.</w:t>
      </w:r>
      <w:r w:rsidR="0076465A" w:rsidRPr="00283CEC">
        <w:rPr>
          <w:rFonts w:cs="Calibri"/>
          <w:szCs w:val="20"/>
        </w:rPr>
        <w:t xml:space="preserve">  </w:t>
      </w:r>
    </w:p>
    <w:p w:rsidR="0076465A" w:rsidRPr="00283CEC" w:rsidRDefault="0076465A" w:rsidP="004426FD">
      <w:pPr>
        <w:pStyle w:val="bt"/>
      </w:pPr>
      <w:r w:rsidRPr="00283CEC">
        <w:t>Through the following future directions</w:t>
      </w:r>
      <w:r w:rsidR="00B23ED9" w:rsidRPr="00283CEC">
        <w:t xml:space="preserve"> </w:t>
      </w:r>
      <w:r w:rsidR="008508AC" w:rsidRPr="00283CEC">
        <w:t>(</w:t>
      </w:r>
      <w:r w:rsidR="00D76D8C" w:rsidRPr="00283CEC">
        <w:t>illustrated</w:t>
      </w:r>
      <w:r w:rsidR="008508AC" w:rsidRPr="00283CEC">
        <w:t xml:space="preserve"> </w:t>
      </w:r>
      <w:r w:rsidR="008A11D6">
        <w:t xml:space="preserve">on </w:t>
      </w:r>
      <w:r w:rsidR="00AD704A">
        <w:t>Map 16</w:t>
      </w:r>
      <w:r w:rsidR="008508AC" w:rsidRPr="00283CEC">
        <w:t>)</w:t>
      </w:r>
      <w:r w:rsidRPr="00283CEC">
        <w:t xml:space="preserve">, the </w:t>
      </w:r>
      <w:r w:rsidR="0067112E" w:rsidRPr="00283CEC">
        <w:t>p</w:t>
      </w:r>
      <w:r w:rsidRPr="00283CEC">
        <w:t xml:space="preserve">lan identifies regionally significant transport opportunities that will help manage and promote regional growth.  </w:t>
      </w:r>
    </w:p>
    <w:p w:rsidR="0076465A" w:rsidRPr="00283CEC" w:rsidRDefault="0076465A" w:rsidP="00CC3A69">
      <w:pPr>
        <w:pStyle w:val="Heading4"/>
      </w:pPr>
      <w:r w:rsidRPr="00283CEC">
        <w:t xml:space="preserve">Network capacity and efficiency </w:t>
      </w:r>
    </w:p>
    <w:p w:rsidR="0076465A" w:rsidRPr="00283CEC" w:rsidRDefault="0076465A" w:rsidP="00FD4D85">
      <w:pPr>
        <w:pStyle w:val="bt"/>
      </w:pPr>
      <w:r w:rsidRPr="00283CEC">
        <w:t xml:space="preserve">As Gippsland grows, sufficient network capacity must be available to ensure efficient transport both to and from the region. This </w:t>
      </w:r>
      <w:r w:rsidR="00BF09D8" w:rsidRPr="00283CEC">
        <w:t xml:space="preserve">is especially important for </w:t>
      </w:r>
      <w:r w:rsidRPr="00283CEC">
        <w:t xml:space="preserve">the major transport corridors of the Princes and South Gippsland </w:t>
      </w:r>
      <w:r w:rsidR="00BF09D8" w:rsidRPr="00283CEC">
        <w:t>h</w:t>
      </w:r>
      <w:r w:rsidRPr="00283CEC">
        <w:t xml:space="preserve">ighways and the Gippsland </w:t>
      </w:r>
      <w:r w:rsidR="00BF09D8" w:rsidRPr="00283CEC">
        <w:t>rail line</w:t>
      </w:r>
      <w:r w:rsidRPr="00283CEC">
        <w:t>.</w:t>
      </w:r>
    </w:p>
    <w:p w:rsidR="00EE0F41" w:rsidRPr="00283CEC" w:rsidRDefault="00AA514A" w:rsidP="00FD4D85">
      <w:pPr>
        <w:pStyle w:val="bt"/>
      </w:pPr>
      <w:r w:rsidRPr="00283CEC">
        <w:t>The Australian Government is undertaking a strategic study regarding the implementation of high-speed rail (HSR) on the east coast of Australia. Once fully operational, express journey times of less than three hours between Melbourne-Sydney could be achievable. Phase two of the study depicts a preferred alignment for the HSR system between Melbourne, Canberra, Sydney and Brisbane. The Gippsland Regional Development Australia Committee and the Gippsland Regional Management Forum support a route that traverses the Gippsland region.</w:t>
      </w:r>
    </w:p>
    <w:p w:rsidR="0076465A" w:rsidRPr="00283CEC" w:rsidRDefault="0076465A" w:rsidP="00FD4D85">
      <w:pPr>
        <w:pStyle w:val="bt"/>
      </w:pPr>
      <w:r w:rsidRPr="00283CEC">
        <w:t xml:space="preserve">The national freight task is projected to double over the next decade and this </w:t>
      </w:r>
      <w:r w:rsidR="00BF09D8" w:rsidRPr="00283CEC">
        <w:t xml:space="preserve">is likely to put additional </w:t>
      </w:r>
      <w:r w:rsidRPr="00283CEC">
        <w:t>strain on Gippsland’s road network as freight such as fresh and processed food is likely to continue to be moved by road.</w:t>
      </w:r>
    </w:p>
    <w:p w:rsidR="0076465A" w:rsidRPr="00283CEC" w:rsidRDefault="0076465A" w:rsidP="00FD4D85">
      <w:pPr>
        <w:pStyle w:val="bt"/>
      </w:pPr>
      <w:r w:rsidRPr="00283CEC">
        <w:t xml:space="preserve">A number of transport projects are being planned and developed </w:t>
      </w:r>
      <w:r w:rsidR="00BF09D8" w:rsidRPr="00283CEC">
        <w:t xml:space="preserve">that </w:t>
      </w:r>
      <w:r w:rsidRPr="00283CEC">
        <w:t xml:space="preserve">may </w:t>
      </w:r>
      <w:r w:rsidR="00BF09D8" w:rsidRPr="00283CEC">
        <w:t xml:space="preserve">help </w:t>
      </w:r>
      <w:r w:rsidRPr="00283CEC">
        <w:t>improv</w:t>
      </w:r>
      <w:r w:rsidR="00BF09D8" w:rsidRPr="00283CEC">
        <w:t>e</w:t>
      </w:r>
      <w:r w:rsidRPr="00283CEC">
        <w:t xml:space="preserve"> the capacity and efficiency of the region’s transport system. These include:</w:t>
      </w:r>
    </w:p>
    <w:p w:rsidR="0076465A" w:rsidRPr="00283CEC" w:rsidRDefault="00BF09D8" w:rsidP="00767431">
      <w:pPr>
        <w:pStyle w:val="btbullet"/>
      </w:pPr>
      <w:r w:rsidRPr="00283CEC">
        <w:t>e</w:t>
      </w:r>
      <w:r w:rsidR="0076465A" w:rsidRPr="00283CEC">
        <w:t xml:space="preserve">xpanding road space such as the duplication of the Princes Highway between Traralgon and Sale, and a potential Princes Highway Traralgon </w:t>
      </w:r>
      <w:r w:rsidR="00872725" w:rsidRPr="00283CEC">
        <w:t>B</w:t>
      </w:r>
      <w:r w:rsidR="0076465A" w:rsidRPr="00283CEC">
        <w:t>ypass</w:t>
      </w:r>
      <w:r w:rsidR="003A4E6C">
        <w:t xml:space="preserve"> for which </w:t>
      </w:r>
      <w:r w:rsidR="0076465A" w:rsidRPr="00283CEC">
        <w:t xml:space="preserve">land has been reserved in the Latrobe Planning Scheme through a </w:t>
      </w:r>
      <w:r w:rsidR="003A4E6C">
        <w:t>P</w:t>
      </w:r>
      <w:r w:rsidR="003A4E6C" w:rsidRPr="00283CEC">
        <w:t xml:space="preserve">ublic </w:t>
      </w:r>
      <w:r w:rsidR="003A4E6C">
        <w:t>A</w:t>
      </w:r>
      <w:r w:rsidR="003A4E6C" w:rsidRPr="00283CEC">
        <w:t xml:space="preserve">cquisition </w:t>
      </w:r>
      <w:r w:rsidR="003A4E6C">
        <w:t>O</w:t>
      </w:r>
      <w:r w:rsidR="003A4E6C" w:rsidRPr="00283CEC">
        <w:t>verlay</w:t>
      </w:r>
    </w:p>
    <w:p w:rsidR="0076465A" w:rsidRPr="00283CEC" w:rsidRDefault="00BF09D8" w:rsidP="00767431">
      <w:pPr>
        <w:pStyle w:val="btbullet"/>
      </w:pPr>
      <w:r w:rsidRPr="00283CEC">
        <w:t>i</w:t>
      </w:r>
      <w:r w:rsidR="0076465A" w:rsidRPr="00283CEC">
        <w:t>mproving and modifying the network of public transport services to better meet market needs</w:t>
      </w:r>
    </w:p>
    <w:p w:rsidR="0076465A" w:rsidRPr="00283CEC" w:rsidRDefault="00BF09D8" w:rsidP="00767431">
      <w:pPr>
        <w:pStyle w:val="btbullet"/>
      </w:pPr>
      <w:r w:rsidRPr="00283CEC">
        <w:t>i</w:t>
      </w:r>
      <w:r w:rsidR="0076465A" w:rsidRPr="00283CEC">
        <w:t>mproving and modifying the network of cycling and walking tracks and trails</w:t>
      </w:r>
    </w:p>
    <w:p w:rsidR="0076465A" w:rsidRPr="00283CEC" w:rsidRDefault="00BF09D8" w:rsidP="00767431">
      <w:pPr>
        <w:pStyle w:val="btbullet"/>
      </w:pPr>
      <w:r w:rsidRPr="00283CEC">
        <w:t>m</w:t>
      </w:r>
      <w:r w:rsidR="0076465A" w:rsidRPr="00283CEC">
        <w:t xml:space="preserve">aximising use of existing infrastructure </w:t>
      </w:r>
      <w:r w:rsidRPr="00283CEC">
        <w:t xml:space="preserve">such as </w:t>
      </w:r>
      <w:r w:rsidR="0076465A" w:rsidRPr="00283CEC">
        <w:t>higher productivity freight vehicles on designated routes, encouraging road freight to operate in non</w:t>
      </w:r>
      <w:r w:rsidRPr="00283CEC">
        <w:t>-</w:t>
      </w:r>
      <w:r w:rsidR="0076465A" w:rsidRPr="00283CEC">
        <w:t>peak periods and timetabling e</w:t>
      </w:r>
      <w:r w:rsidR="00AB724B" w:rsidRPr="00283CEC">
        <w:t>nhancements on the rail network</w:t>
      </w:r>
    </w:p>
    <w:p w:rsidR="0076465A" w:rsidRPr="00283CEC" w:rsidRDefault="00BF09D8" w:rsidP="00767431">
      <w:pPr>
        <w:pStyle w:val="btbullet"/>
      </w:pPr>
      <w:r w:rsidRPr="00283CEC">
        <w:t>t</w:t>
      </w:r>
      <w:r w:rsidR="0076465A" w:rsidRPr="00283CEC">
        <w:t xml:space="preserve">he proposed </w:t>
      </w:r>
      <w:r w:rsidR="009B2677" w:rsidRPr="00283CEC">
        <w:t>East West Link</w:t>
      </w:r>
      <w:r w:rsidR="0076465A" w:rsidRPr="00283CEC">
        <w:t xml:space="preserve"> to improve access to the Port of Melbourne and Melbourne Airport</w:t>
      </w:r>
      <w:r w:rsidR="0067112E" w:rsidRPr="00283CEC">
        <w:t>,</w:t>
      </w:r>
      <w:r w:rsidR="0076465A" w:rsidRPr="00283CEC">
        <w:t xml:space="preserve"> and support access for a growing population in Gippsland and Melbourne’s south-east growth corridor</w:t>
      </w:r>
    </w:p>
    <w:p w:rsidR="0076465A" w:rsidRPr="00283CEC" w:rsidRDefault="00BF09D8" w:rsidP="00767431">
      <w:pPr>
        <w:pStyle w:val="btbullet"/>
      </w:pPr>
      <w:r w:rsidRPr="00283CEC">
        <w:t>e</w:t>
      </w:r>
      <w:r w:rsidR="0076465A" w:rsidRPr="00283CEC">
        <w:t xml:space="preserve">nhancing rail capacity </w:t>
      </w:r>
      <w:r w:rsidR="00CD5208" w:rsidRPr="00283CEC">
        <w:t>via</w:t>
      </w:r>
      <w:r w:rsidR="0076465A" w:rsidRPr="00283CEC">
        <w:t xml:space="preserve"> passing loops in conjunction with the </w:t>
      </w:r>
      <w:r w:rsidR="009B2677" w:rsidRPr="00283CEC">
        <w:t xml:space="preserve">Dandenong Rail Capacity Program </w:t>
      </w:r>
      <w:r w:rsidR="00CD5208" w:rsidRPr="00283CEC">
        <w:t xml:space="preserve">and providing additional train paths to retain direct linkages to Melbourne’s </w:t>
      </w:r>
      <w:r w:rsidR="003A4E6C">
        <w:t>central business district</w:t>
      </w:r>
      <w:r w:rsidR="003A4E6C" w:rsidRPr="00283CEC">
        <w:t xml:space="preserve"> </w:t>
      </w:r>
      <w:r w:rsidR="00CD5208" w:rsidRPr="00283CEC">
        <w:t>through</w:t>
      </w:r>
      <w:r w:rsidR="009B2677" w:rsidRPr="00283CEC">
        <w:t xml:space="preserve"> the Melbourne Metro</w:t>
      </w:r>
      <w:r w:rsidR="0076465A" w:rsidRPr="00283CEC">
        <w:t xml:space="preserve"> project </w:t>
      </w:r>
    </w:p>
    <w:p w:rsidR="0036056A" w:rsidRPr="00283CEC" w:rsidRDefault="00AA514A" w:rsidP="00767431">
      <w:pPr>
        <w:pStyle w:val="btbullet"/>
      </w:pPr>
      <w:r w:rsidRPr="00283CEC">
        <w:t>developing the Port of Hastings as Victoria’s next container port</w:t>
      </w:r>
    </w:p>
    <w:p w:rsidR="00906DB8" w:rsidRPr="00283CEC" w:rsidRDefault="00AA514A" w:rsidP="00767431">
      <w:pPr>
        <w:pStyle w:val="btbullet"/>
      </w:pPr>
      <w:proofErr w:type="gramStart"/>
      <w:r w:rsidRPr="00283CEC">
        <w:t>support</w:t>
      </w:r>
      <w:proofErr w:type="gramEnd"/>
      <w:r w:rsidRPr="00283CEC">
        <w:t xml:space="preserve"> the Port of Hastings transport studies to plan for efficient transport access based on industry needs associated with the port’s development.</w:t>
      </w:r>
    </w:p>
    <w:p w:rsidR="0076465A" w:rsidRPr="00283CEC" w:rsidRDefault="0076465A" w:rsidP="00CC3A69">
      <w:pPr>
        <w:pStyle w:val="Heading4"/>
      </w:pPr>
      <w:r w:rsidRPr="00283CEC">
        <w:t xml:space="preserve">Access and connectivity </w:t>
      </w:r>
    </w:p>
    <w:p w:rsidR="0076465A" w:rsidRPr="00283CEC" w:rsidRDefault="0076465A" w:rsidP="00FD4D85">
      <w:pPr>
        <w:pStyle w:val="bt"/>
      </w:pPr>
      <w:r w:rsidRPr="00283CEC">
        <w:t>Efficient transport connections are needed to provide access to services and employment across Gippsland</w:t>
      </w:r>
      <w:r w:rsidR="00F114BF" w:rsidRPr="00283CEC">
        <w:t xml:space="preserve"> as well as inter-regional destinations</w:t>
      </w:r>
      <w:r w:rsidRPr="00283CEC">
        <w:t xml:space="preserve">. As </w:t>
      </w:r>
      <w:r w:rsidR="002C2D3D" w:rsidRPr="00283CEC">
        <w:t xml:space="preserve">the region’s </w:t>
      </w:r>
      <w:r w:rsidRPr="00283CEC">
        <w:t>population continues to grow</w:t>
      </w:r>
      <w:r w:rsidR="00F114BF" w:rsidRPr="00283CEC">
        <w:t xml:space="preserve"> and change</w:t>
      </w:r>
      <w:r w:rsidRPr="00283CEC">
        <w:t>, it is important to plan transport infrastructure projects to promote enhanced connectivity</w:t>
      </w:r>
      <w:r w:rsidR="00F114BF" w:rsidRPr="00283CEC">
        <w:t>, capitalise on economic opportunities</w:t>
      </w:r>
      <w:r w:rsidRPr="00283CEC">
        <w:t xml:space="preserve"> and monitor the demand</w:t>
      </w:r>
      <w:r w:rsidR="00872725" w:rsidRPr="00283CEC">
        <w:t xml:space="preserve"> and the </w:t>
      </w:r>
      <w:r w:rsidRPr="00283CEC">
        <w:t xml:space="preserve">viability of providing additional public transport services. Planning for new residential developments, industry and employment areas should be integrated </w:t>
      </w:r>
      <w:r w:rsidR="00CD5208" w:rsidRPr="00283CEC">
        <w:t>in</w:t>
      </w:r>
      <w:r w:rsidRPr="00283CEC">
        <w:t>to the existing transport network</w:t>
      </w:r>
      <w:r w:rsidR="00CD5208" w:rsidRPr="00283CEC">
        <w:t xml:space="preserve"> and </w:t>
      </w:r>
      <w:r w:rsidRPr="00283CEC">
        <w:t xml:space="preserve">designed with good pedestrian permeability and internal road layouts conducive to public transport provision.  </w:t>
      </w:r>
    </w:p>
    <w:p w:rsidR="0076465A" w:rsidRPr="00283CEC" w:rsidRDefault="0076465A" w:rsidP="00FD4D85">
      <w:pPr>
        <w:pStyle w:val="bt"/>
      </w:pPr>
      <w:r w:rsidRPr="00283CEC">
        <w:t xml:space="preserve">Improved access to markets is critical </w:t>
      </w:r>
      <w:r w:rsidR="00CD5208" w:rsidRPr="00283CEC">
        <w:t xml:space="preserve">for </w:t>
      </w:r>
      <w:r w:rsidRPr="00283CEC">
        <w:t xml:space="preserve">the prosperity of the region’s agricultural, forestry and earth resources sectors. </w:t>
      </w:r>
      <w:r w:rsidR="002C2D3D" w:rsidRPr="00283CEC">
        <w:t xml:space="preserve">To enable </w:t>
      </w:r>
      <w:r w:rsidRPr="00283CEC">
        <w:t xml:space="preserve">processed products </w:t>
      </w:r>
      <w:r w:rsidR="002C2D3D" w:rsidRPr="00283CEC">
        <w:t xml:space="preserve">to </w:t>
      </w:r>
      <w:r w:rsidRPr="00283CEC">
        <w:t xml:space="preserve">be </w:t>
      </w:r>
      <w:r w:rsidR="002C2D3D" w:rsidRPr="00283CEC">
        <w:t xml:space="preserve">exported </w:t>
      </w:r>
      <w:r w:rsidRPr="00283CEC">
        <w:t xml:space="preserve">from the region, there </w:t>
      </w:r>
      <w:r w:rsidR="002C2D3D" w:rsidRPr="00283CEC">
        <w:t xml:space="preserve">is </w:t>
      </w:r>
      <w:r w:rsidRPr="00283CEC">
        <w:t xml:space="preserve">a need for good transport access to port facilities. This </w:t>
      </w:r>
      <w:r w:rsidR="002C2D3D" w:rsidRPr="00283CEC">
        <w:t xml:space="preserve">could </w:t>
      </w:r>
      <w:r w:rsidRPr="00283CEC">
        <w:t xml:space="preserve">be achieved by integrated use of the existing road and rail </w:t>
      </w:r>
      <w:r w:rsidR="002C2D3D" w:rsidRPr="00283CEC">
        <w:t xml:space="preserve">network </w:t>
      </w:r>
      <w:r w:rsidRPr="00283CEC">
        <w:t>or potentially the development of new facilities such as a rail link from the region to the Port of Hastings.</w:t>
      </w:r>
    </w:p>
    <w:p w:rsidR="0076465A" w:rsidRPr="00283CEC" w:rsidRDefault="00DC2E18" w:rsidP="0020053A">
      <w:pPr>
        <w:pStyle w:val="bt"/>
      </w:pPr>
      <w:r w:rsidRPr="00283CEC">
        <w:t>O</w:t>
      </w:r>
      <w:r w:rsidR="0076465A" w:rsidRPr="00283CEC">
        <w:t>pportunities for ensuring access and connectivity exist around:</w:t>
      </w:r>
    </w:p>
    <w:p w:rsidR="0076465A" w:rsidRPr="00283CEC" w:rsidRDefault="002C2D3D" w:rsidP="00767431">
      <w:pPr>
        <w:pStyle w:val="btbullet"/>
        <w:rPr>
          <w:b/>
        </w:rPr>
      </w:pPr>
      <w:proofErr w:type="gramStart"/>
      <w:r w:rsidRPr="00283CEC">
        <w:t>c</w:t>
      </w:r>
      <w:r w:rsidR="0076465A" w:rsidRPr="00283CEC">
        <w:t>onnecting</w:t>
      </w:r>
      <w:proofErr w:type="gramEnd"/>
      <w:r w:rsidR="0076465A" w:rsidRPr="00283CEC">
        <w:t xml:space="preserve"> the region to key gateways and markets within and outside the region </w:t>
      </w:r>
      <w:r w:rsidR="00024045" w:rsidRPr="00283CEC">
        <w:t xml:space="preserve">such as </w:t>
      </w:r>
      <w:r w:rsidR="0076465A" w:rsidRPr="00283CEC">
        <w:t>Melbourne, international gateways, interstate and other regional cities</w:t>
      </w:r>
      <w:r w:rsidRPr="00283CEC">
        <w:t xml:space="preserve">. One </w:t>
      </w:r>
      <w:r w:rsidR="0076465A" w:rsidRPr="00283CEC">
        <w:t xml:space="preserve">example </w:t>
      </w:r>
      <w:r w:rsidRPr="00283CEC">
        <w:t xml:space="preserve">in </w:t>
      </w:r>
      <w:r w:rsidR="0076465A" w:rsidRPr="00283CEC">
        <w:t xml:space="preserve">the Gippsland region is </w:t>
      </w:r>
      <w:r w:rsidRPr="00283CEC">
        <w:t xml:space="preserve">to use </w:t>
      </w:r>
      <w:r w:rsidR="0076465A" w:rsidRPr="00283CEC">
        <w:t xml:space="preserve">overtaking lanes on the </w:t>
      </w:r>
      <w:r w:rsidR="0076465A" w:rsidRPr="00283CEC">
        <w:rPr>
          <w:rFonts w:cs="Calibri"/>
        </w:rPr>
        <w:t xml:space="preserve">Strzelecki and Hyland </w:t>
      </w:r>
      <w:r w:rsidRPr="00283CEC">
        <w:rPr>
          <w:rFonts w:cs="Calibri"/>
        </w:rPr>
        <w:t>h</w:t>
      </w:r>
      <w:r w:rsidR="0076465A" w:rsidRPr="00283CEC">
        <w:rPr>
          <w:rFonts w:cs="Calibri"/>
        </w:rPr>
        <w:t>ighways</w:t>
      </w:r>
      <w:r w:rsidR="0076465A" w:rsidRPr="00283CEC">
        <w:rPr>
          <w:rFonts w:ascii="Arial" w:hAnsi="Arial" w:cs="Arial"/>
        </w:rPr>
        <w:t xml:space="preserve"> </w:t>
      </w:r>
      <w:r w:rsidRPr="00283CEC">
        <w:t xml:space="preserve">to improve access to </w:t>
      </w:r>
      <w:r w:rsidR="0076465A" w:rsidRPr="00283CEC">
        <w:t>Gippsland’s dairy industry</w:t>
      </w:r>
    </w:p>
    <w:p w:rsidR="0076465A" w:rsidRPr="00283CEC" w:rsidRDefault="002C2D3D" w:rsidP="00767431">
      <w:pPr>
        <w:pStyle w:val="btbullet"/>
      </w:pPr>
      <w:r w:rsidRPr="00283CEC">
        <w:t>h</w:t>
      </w:r>
      <w:r w:rsidR="0076465A" w:rsidRPr="00283CEC">
        <w:t>armonising cross-border vehicle legislation and rules</w:t>
      </w:r>
    </w:p>
    <w:p w:rsidR="0076465A" w:rsidRPr="00283CEC" w:rsidRDefault="002C2D3D" w:rsidP="00767431">
      <w:pPr>
        <w:pStyle w:val="btbullet"/>
      </w:pPr>
      <w:r w:rsidRPr="00283CEC">
        <w:t>d</w:t>
      </w:r>
      <w:r w:rsidR="0076465A" w:rsidRPr="00283CEC">
        <w:t>evelop</w:t>
      </w:r>
      <w:r w:rsidRPr="00283CEC">
        <w:t>ing</w:t>
      </w:r>
      <w:r w:rsidR="0076465A" w:rsidRPr="00283CEC">
        <w:t xml:space="preserve"> enhanced community transport and mobile provision of essential services for remote, sparsely populat</w:t>
      </w:r>
      <w:r w:rsidR="00AB724B" w:rsidRPr="00283CEC">
        <w:t>ed areas of high community need</w:t>
      </w:r>
    </w:p>
    <w:p w:rsidR="0076465A" w:rsidRPr="00283CEC" w:rsidRDefault="002C2D3D" w:rsidP="00767431">
      <w:pPr>
        <w:pStyle w:val="btbullet"/>
      </w:pPr>
      <w:r w:rsidRPr="00283CEC">
        <w:t>i</w:t>
      </w:r>
      <w:r w:rsidR="0076465A" w:rsidRPr="00283CEC">
        <w:t>mproving and modifying public transport services to better meet market needs</w:t>
      </w:r>
      <w:r w:rsidR="0047376E" w:rsidRPr="00283CEC">
        <w:t xml:space="preserve"> and planning n</w:t>
      </w:r>
      <w:r w:rsidRPr="00283CEC">
        <w:t xml:space="preserve">ew </w:t>
      </w:r>
      <w:r w:rsidR="0076465A" w:rsidRPr="00283CEC">
        <w:t>residential developments to integrate with public transport services</w:t>
      </w:r>
    </w:p>
    <w:p w:rsidR="0076465A" w:rsidRPr="00283CEC" w:rsidRDefault="002C2D3D" w:rsidP="00767431">
      <w:pPr>
        <w:pStyle w:val="btbullet"/>
      </w:pPr>
      <w:r w:rsidRPr="00283CEC">
        <w:t>improving the a</w:t>
      </w:r>
      <w:r w:rsidR="0076465A" w:rsidRPr="00283CEC">
        <w:t>ccessibility</w:t>
      </w:r>
      <w:r w:rsidRPr="00283CEC">
        <w:t xml:space="preserve"> of public transport facilities through </w:t>
      </w:r>
      <w:r w:rsidR="009B2677" w:rsidRPr="00283CEC">
        <w:rPr>
          <w:rStyle w:val="Emphasis"/>
        </w:rPr>
        <w:t>Disability Discrimination Act</w:t>
      </w:r>
      <w:r w:rsidRPr="00283CEC">
        <w:rPr>
          <w:rStyle w:val="Emphasis"/>
        </w:rPr>
        <w:t xml:space="preserve"> 1992</w:t>
      </w:r>
      <w:r w:rsidRPr="00283CEC">
        <w:rPr>
          <w:i/>
        </w:rPr>
        <w:t xml:space="preserve"> </w:t>
      </w:r>
      <w:r w:rsidR="0076465A" w:rsidRPr="00283CEC">
        <w:t xml:space="preserve">compliance </w:t>
      </w:r>
      <w:r w:rsidR="00AE0E58" w:rsidRPr="00283CEC">
        <w:t>and</w:t>
      </w:r>
      <w:r w:rsidRPr="00283CEC">
        <w:t xml:space="preserve"> bicycle access</w:t>
      </w:r>
    </w:p>
    <w:p w:rsidR="00FB7E4F" w:rsidRPr="00283CEC" w:rsidRDefault="00FB7E4F" w:rsidP="00767431">
      <w:pPr>
        <w:pStyle w:val="btbullet"/>
      </w:pPr>
      <w:r w:rsidRPr="00283CEC">
        <w:t xml:space="preserve">Supporting the Port of Hastings transport studies to plan for efficient transport access based on industry needs associated with the </w:t>
      </w:r>
      <w:r w:rsidR="00E058AB" w:rsidRPr="00283CEC">
        <w:t>p</w:t>
      </w:r>
      <w:r w:rsidRPr="00283CEC">
        <w:t>ort’s development.</w:t>
      </w:r>
    </w:p>
    <w:p w:rsidR="0076465A" w:rsidRPr="00283CEC" w:rsidRDefault="0076465A" w:rsidP="00CC3A69">
      <w:pPr>
        <w:pStyle w:val="Heading4"/>
      </w:pPr>
      <w:r w:rsidRPr="00283CEC">
        <w:t>Freight and logistics precincts</w:t>
      </w:r>
    </w:p>
    <w:p w:rsidR="00911624" w:rsidRPr="00283CEC" w:rsidRDefault="00911624" w:rsidP="00FD4D85">
      <w:pPr>
        <w:pStyle w:val="bt"/>
      </w:pPr>
      <w:r w:rsidRPr="00283CEC">
        <w:t xml:space="preserve">Gippsland relies on good access to freight gateways to deliver products to market and receive goods. Transport access to Melbourne Airport, </w:t>
      </w:r>
      <w:r w:rsidR="00B628B9" w:rsidRPr="00283CEC">
        <w:t xml:space="preserve">the </w:t>
      </w:r>
      <w:r w:rsidRPr="00283CEC">
        <w:t xml:space="preserve">Port of Melbourne and </w:t>
      </w:r>
      <w:r w:rsidR="00B628B9" w:rsidRPr="00283CEC">
        <w:t xml:space="preserve">the Port of </w:t>
      </w:r>
      <w:r w:rsidRPr="00283CEC">
        <w:t xml:space="preserve">Geelong is essential for air and sea freight. </w:t>
      </w:r>
      <w:r w:rsidR="0080181A" w:rsidRPr="00283CEC">
        <w:rPr>
          <w:bCs/>
        </w:rPr>
        <w:t>These outcomes are under</w:t>
      </w:r>
      <w:r w:rsidRPr="00283CEC">
        <w:rPr>
          <w:bCs/>
        </w:rPr>
        <w:t xml:space="preserve">pinned by relevant policies such as the </w:t>
      </w:r>
      <w:r w:rsidR="00804CAA" w:rsidRPr="00283CEC">
        <w:rPr>
          <w:rStyle w:val="Emphasis"/>
          <w:i w:val="0"/>
        </w:rPr>
        <w:t>Gippsland Freight Strategy</w:t>
      </w:r>
      <w:r w:rsidRPr="00283CEC">
        <w:rPr>
          <w:bCs/>
        </w:rPr>
        <w:t>. Planning should build on transport policy direction and support important freight and logistics precincts and their access</w:t>
      </w:r>
      <w:r w:rsidRPr="00283CEC">
        <w:t>. This includes the need to protect Gippsland’s existing transport facilities and their surroundings from encroachment</w:t>
      </w:r>
      <w:r w:rsidR="00024045" w:rsidRPr="00283CEC">
        <w:t xml:space="preserve">. It also involves </w:t>
      </w:r>
      <w:r w:rsidRPr="00283CEC">
        <w:t xml:space="preserve">retaining flexibility for possible future expansion and additional freight facility requirements due to </w:t>
      </w:r>
      <w:r w:rsidR="00E21D2C" w:rsidRPr="00283CEC">
        <w:t xml:space="preserve">export </w:t>
      </w:r>
      <w:r w:rsidRPr="00283CEC">
        <w:t xml:space="preserve">opportunities </w:t>
      </w:r>
      <w:r w:rsidR="00E21D2C" w:rsidRPr="00283CEC">
        <w:t xml:space="preserve">for </w:t>
      </w:r>
      <w:r w:rsidRPr="00283CEC">
        <w:t>natural resource commodities.</w:t>
      </w:r>
    </w:p>
    <w:p w:rsidR="0076465A" w:rsidRPr="00283CEC" w:rsidRDefault="0076465A" w:rsidP="00FD4D85">
      <w:pPr>
        <w:pStyle w:val="bt"/>
      </w:pPr>
      <w:r w:rsidRPr="00283CEC">
        <w:t xml:space="preserve">The </w:t>
      </w:r>
      <w:r w:rsidR="00F44FE4" w:rsidRPr="00283CEC">
        <w:t xml:space="preserve">State Government </w:t>
      </w:r>
      <w:r w:rsidRPr="00283CEC">
        <w:t>has identified the Port of Hastings as a future container terminal port. The expanded Port of Hastings facility could provide an alternative export gateway for Gippsland’s container freight task.</w:t>
      </w:r>
    </w:p>
    <w:p w:rsidR="0076465A" w:rsidRPr="00283CEC" w:rsidRDefault="0076465A" w:rsidP="00FD4D85">
      <w:pPr>
        <w:pStyle w:val="bt"/>
      </w:pPr>
      <w:r w:rsidRPr="00283CEC">
        <w:t>Existing infrastructure facilities such as rail freight facilities in Morwell could provide for the interchange of freight between road and rail transport</w:t>
      </w:r>
      <w:r w:rsidR="00E21D2C" w:rsidRPr="00283CEC">
        <w:t xml:space="preserve">, and </w:t>
      </w:r>
      <w:r w:rsidRPr="00283CEC">
        <w:t>would benefit from the development of a freight and logistics precinct in and around those facilities. This would enable the potential consolidation of freight activities and opportunities to increase the use of rail</w:t>
      </w:r>
      <w:r w:rsidR="00024045" w:rsidRPr="00283CEC">
        <w:t>,</w:t>
      </w:r>
      <w:r w:rsidRPr="00283CEC">
        <w:t xml:space="preserve"> when available.</w:t>
      </w:r>
      <w:r w:rsidR="00024045" w:rsidRPr="00283CEC">
        <w:t xml:space="preserve"> In addition</w:t>
      </w:r>
      <w:r w:rsidRPr="00283CEC">
        <w:t xml:space="preserve">, the potential to develop a freight precinct </w:t>
      </w:r>
      <w:r w:rsidR="00585CAC" w:rsidRPr="00283CEC">
        <w:t xml:space="preserve">with intermodal facilities </w:t>
      </w:r>
      <w:r w:rsidRPr="00283CEC">
        <w:t>at Lyndhurst</w:t>
      </w:r>
      <w:r w:rsidR="00024045" w:rsidRPr="00283CEC">
        <w:t>,</w:t>
      </w:r>
      <w:r w:rsidRPr="00283CEC">
        <w:t xml:space="preserve"> in metropolitan</w:t>
      </w:r>
      <w:r w:rsidR="00E21D2C" w:rsidRPr="00283CEC">
        <w:t xml:space="preserve"> Melbourne</w:t>
      </w:r>
      <w:r w:rsidR="00024045" w:rsidRPr="00283CEC">
        <w:t>,</w:t>
      </w:r>
      <w:r w:rsidRPr="00283CEC">
        <w:t xml:space="preserve"> could enhance access to key transport corridors and ports for Gippsland commodities. Gippsland has a number of food producing facilities </w:t>
      </w:r>
      <w:r w:rsidR="00F44FE4" w:rsidRPr="00283CEC">
        <w:t xml:space="preserve">that </w:t>
      </w:r>
      <w:r w:rsidRPr="00283CEC">
        <w:t>generate significant road freight. Transport planning to improve access to these facilities would reduce cost</w:t>
      </w:r>
      <w:r w:rsidR="00AA7C33" w:rsidRPr="00283CEC">
        <w:t>s</w:t>
      </w:r>
      <w:r w:rsidRPr="00283CEC">
        <w:t xml:space="preserve"> to business and enhance their competitiveness.</w:t>
      </w:r>
    </w:p>
    <w:p w:rsidR="0076465A" w:rsidRPr="00283CEC" w:rsidRDefault="00E21D2C" w:rsidP="00FD4D85">
      <w:pPr>
        <w:pStyle w:val="bt"/>
      </w:pPr>
      <w:r w:rsidRPr="00283CEC">
        <w:t>O</w:t>
      </w:r>
      <w:r w:rsidR="0076465A" w:rsidRPr="00283CEC">
        <w:t>pportunities for developing freight and logistics precincts could include:</w:t>
      </w:r>
    </w:p>
    <w:p w:rsidR="0076465A" w:rsidRPr="00283CEC" w:rsidRDefault="00E21D2C" w:rsidP="00767431">
      <w:pPr>
        <w:pStyle w:val="btbullet"/>
      </w:pPr>
      <w:r w:rsidRPr="00283CEC">
        <w:t>s</w:t>
      </w:r>
      <w:r w:rsidR="0076465A" w:rsidRPr="00283CEC">
        <w:t>eaports</w:t>
      </w:r>
      <w:r w:rsidRPr="00283CEC">
        <w:t xml:space="preserve"> such as </w:t>
      </w:r>
      <w:r w:rsidR="0076465A" w:rsidRPr="00283CEC">
        <w:t xml:space="preserve">container, bulk, </w:t>
      </w:r>
      <w:r w:rsidR="00F44FE4" w:rsidRPr="00283CEC">
        <w:t xml:space="preserve">and </w:t>
      </w:r>
      <w:r w:rsidR="0076465A" w:rsidRPr="00283CEC">
        <w:t>general cargo in Gippsland</w:t>
      </w:r>
      <w:r w:rsidRPr="00283CEC">
        <w:t xml:space="preserve">, which </w:t>
      </w:r>
      <w:r w:rsidR="0076465A" w:rsidRPr="00283CEC">
        <w:t xml:space="preserve">could include </w:t>
      </w:r>
      <w:r w:rsidR="009B2677" w:rsidRPr="00283CEC">
        <w:t xml:space="preserve">a rail corridor reservation from the Gippsland </w:t>
      </w:r>
      <w:r w:rsidR="009E2E6C" w:rsidRPr="00283CEC">
        <w:t>r</w:t>
      </w:r>
      <w:r w:rsidR="009B2677" w:rsidRPr="00283CEC">
        <w:t xml:space="preserve">ail </w:t>
      </w:r>
      <w:r w:rsidR="009E2E6C" w:rsidRPr="00283CEC">
        <w:t>l</w:t>
      </w:r>
      <w:r w:rsidR="009B2677" w:rsidRPr="00283CEC">
        <w:t>ine to the Port of Hastings</w:t>
      </w:r>
    </w:p>
    <w:p w:rsidR="0076465A" w:rsidRPr="00283CEC" w:rsidRDefault="00E21D2C" w:rsidP="00767431">
      <w:pPr>
        <w:pStyle w:val="btbullet"/>
      </w:pPr>
      <w:r w:rsidRPr="00283CEC">
        <w:t>a</w:t>
      </w:r>
      <w:r w:rsidR="0076465A" w:rsidRPr="00283CEC">
        <w:t>irports</w:t>
      </w:r>
      <w:r w:rsidR="0047376E" w:rsidRPr="00283CEC">
        <w:t>,</w:t>
      </w:r>
      <w:r w:rsidR="0076465A" w:rsidRPr="00283CEC">
        <w:t xml:space="preserve"> </w:t>
      </w:r>
      <w:r w:rsidRPr="00283CEC">
        <w:t>such as</w:t>
      </w:r>
      <w:r w:rsidR="0076465A" w:rsidRPr="00283CEC">
        <w:t xml:space="preserve"> international, interstate</w:t>
      </w:r>
      <w:r w:rsidR="0047376E" w:rsidRPr="00283CEC">
        <w:t xml:space="preserve"> and </w:t>
      </w:r>
      <w:r w:rsidR="0076465A" w:rsidRPr="00283CEC">
        <w:t>regional</w:t>
      </w:r>
    </w:p>
    <w:p w:rsidR="0076465A" w:rsidRPr="00283CEC" w:rsidRDefault="00E21D2C" w:rsidP="00767431">
      <w:pPr>
        <w:pStyle w:val="btbullet"/>
      </w:pPr>
      <w:r w:rsidRPr="00283CEC">
        <w:t>i</w:t>
      </w:r>
      <w:r w:rsidR="0076465A" w:rsidRPr="00283CEC">
        <w:t>ntermodal freight terminals</w:t>
      </w:r>
      <w:r w:rsidR="0047376E" w:rsidRPr="00283CEC">
        <w:t>,</w:t>
      </w:r>
      <w:r w:rsidR="0076465A" w:rsidRPr="00283CEC">
        <w:t xml:space="preserve"> </w:t>
      </w:r>
      <w:r w:rsidRPr="00283CEC">
        <w:t xml:space="preserve">such as </w:t>
      </w:r>
      <w:r w:rsidR="0076465A" w:rsidRPr="00283CEC">
        <w:t>p</w:t>
      </w:r>
      <w:r w:rsidR="009B2677" w:rsidRPr="00283CEC">
        <w:t>rogressing opportunities for freight and logistics precincts at Morwell and Bairnsdale</w:t>
      </w:r>
    </w:p>
    <w:p w:rsidR="009E6AEE" w:rsidRDefault="00E21D2C" w:rsidP="00D275EF">
      <w:pPr>
        <w:pStyle w:val="btbullet"/>
      </w:pPr>
      <w:proofErr w:type="gramStart"/>
      <w:r w:rsidRPr="00283CEC">
        <w:t>a</w:t>
      </w:r>
      <w:r w:rsidR="0076465A" w:rsidRPr="00283CEC">
        <w:t>ctivity</w:t>
      </w:r>
      <w:proofErr w:type="gramEnd"/>
      <w:r w:rsidR="0076465A" w:rsidRPr="00283CEC">
        <w:t xml:space="preserve"> specific centres</w:t>
      </w:r>
      <w:r w:rsidR="0047376E" w:rsidRPr="00283CEC">
        <w:t>,</w:t>
      </w:r>
      <w:r w:rsidR="0076465A" w:rsidRPr="00283CEC">
        <w:t xml:space="preserve"> </w:t>
      </w:r>
      <w:r w:rsidRPr="00283CEC">
        <w:t xml:space="preserve">such as </w:t>
      </w:r>
      <w:r w:rsidR="0076465A" w:rsidRPr="00283CEC">
        <w:t>distribution centres</w:t>
      </w:r>
      <w:r w:rsidRPr="00283CEC">
        <w:t xml:space="preserve"> and </w:t>
      </w:r>
      <w:r w:rsidR="0076465A" w:rsidRPr="00283CEC">
        <w:t>processing plants</w:t>
      </w:r>
      <w:r w:rsidRPr="00283CEC">
        <w:t>.</w:t>
      </w:r>
      <w:bookmarkStart w:id="118" w:name="_Ref355960293"/>
      <w:bookmarkStart w:id="119" w:name="_Toc374361116"/>
    </w:p>
    <w:p w:rsidR="00455DBC" w:rsidRPr="00283CEC" w:rsidRDefault="006B4F4E" w:rsidP="009E6AEE">
      <w:pPr>
        <w:pStyle w:val="bt"/>
      </w:pPr>
      <w:r w:rsidRPr="00283CEC">
        <w:t xml:space="preserve">Map </w:t>
      </w:r>
      <w:bookmarkEnd w:id="118"/>
      <w:r w:rsidR="00AD704A">
        <w:t>16</w:t>
      </w:r>
      <w:r w:rsidR="009E6AEE">
        <w:t xml:space="preserve"> is located here in the document and it shows -</w:t>
      </w:r>
      <w:r w:rsidR="00B46805">
        <w:t xml:space="preserve"> </w:t>
      </w:r>
      <w:r w:rsidRPr="009E6AEE">
        <w:t>Future directions for transport</w:t>
      </w:r>
      <w:bookmarkEnd w:id="119"/>
    </w:p>
    <w:p w:rsidR="0076465A" w:rsidRPr="00283CEC" w:rsidRDefault="0076465A" w:rsidP="00CC3A69">
      <w:pPr>
        <w:pStyle w:val="Heading4"/>
      </w:pPr>
      <w:r w:rsidRPr="00283CEC">
        <w:t>Safe, reliable and resilient network</w:t>
      </w:r>
    </w:p>
    <w:p w:rsidR="0076465A" w:rsidRPr="00283CEC" w:rsidRDefault="0076465A" w:rsidP="00FD4D85">
      <w:pPr>
        <w:pStyle w:val="bt"/>
      </w:pPr>
      <w:r w:rsidRPr="00283CEC">
        <w:t xml:space="preserve">The Gippsland transport network provides access for the community to settlements, employment, education, and retail and health facilities. It is important the network is well maintained and resilient to major disruption and there is unimpeded access. </w:t>
      </w:r>
      <w:r w:rsidR="00DC2E18" w:rsidRPr="00283CEC">
        <w:t>I</w:t>
      </w:r>
      <w:r w:rsidRPr="00283CEC">
        <w:t xml:space="preserve">mpediments </w:t>
      </w:r>
      <w:r w:rsidR="00DC2E18" w:rsidRPr="00283CEC">
        <w:t xml:space="preserve">can </w:t>
      </w:r>
      <w:r w:rsidRPr="00283CEC">
        <w:t xml:space="preserve">arise from natural hazards such as </w:t>
      </w:r>
      <w:r w:rsidR="00FF3565" w:rsidRPr="00283CEC">
        <w:t>bushfire</w:t>
      </w:r>
      <w:r w:rsidRPr="00283CEC">
        <w:t xml:space="preserve"> and </w:t>
      </w:r>
      <w:r w:rsidR="00FF3565" w:rsidRPr="00283CEC">
        <w:t>flood</w:t>
      </w:r>
      <w:r w:rsidRPr="00283CEC">
        <w:t xml:space="preserve"> but also from changes in the commodities being carried</w:t>
      </w:r>
      <w:r w:rsidR="00DC2E18" w:rsidRPr="00283CEC">
        <w:t>,</w:t>
      </w:r>
      <w:r w:rsidRPr="00283CEC">
        <w:t xml:space="preserve"> with the potential use of larger vehicles and changes in the operations of the logistics industry.</w:t>
      </w:r>
    </w:p>
    <w:p w:rsidR="0076465A" w:rsidRPr="00283CEC" w:rsidRDefault="00DC2E18" w:rsidP="00FD4D85">
      <w:pPr>
        <w:pStyle w:val="bt"/>
      </w:pPr>
      <w:r w:rsidRPr="00283CEC">
        <w:t>O</w:t>
      </w:r>
      <w:r w:rsidR="0076465A" w:rsidRPr="00283CEC">
        <w:t>pportunities for providing a reliable and resilient</w:t>
      </w:r>
      <w:r w:rsidR="0076465A" w:rsidRPr="00283CEC">
        <w:rPr>
          <w:b/>
        </w:rPr>
        <w:t xml:space="preserve"> </w:t>
      </w:r>
      <w:r w:rsidR="0076465A" w:rsidRPr="00283CEC">
        <w:t>network could involve:</w:t>
      </w:r>
    </w:p>
    <w:p w:rsidR="0076465A" w:rsidRPr="00283CEC" w:rsidRDefault="00DC2E18" w:rsidP="00767431">
      <w:pPr>
        <w:pStyle w:val="btbullet"/>
      </w:pPr>
      <w:r w:rsidRPr="00283CEC">
        <w:t>c</w:t>
      </w:r>
      <w:r w:rsidR="0076465A" w:rsidRPr="00283CEC">
        <w:t>ontingency plans for major disruption</w:t>
      </w:r>
      <w:r w:rsidRPr="00283CEC">
        <w:t xml:space="preserve"> as a result of </w:t>
      </w:r>
      <w:r w:rsidR="00FF3565" w:rsidRPr="00283CEC">
        <w:t>flood</w:t>
      </w:r>
      <w:r w:rsidR="00AE0E58" w:rsidRPr="00283CEC">
        <w:t xml:space="preserve"> or </w:t>
      </w:r>
      <w:r w:rsidR="00FF3565" w:rsidRPr="00283CEC">
        <w:t>bushfire</w:t>
      </w:r>
    </w:p>
    <w:p w:rsidR="0076465A" w:rsidRPr="00283CEC" w:rsidRDefault="00DC2E18" w:rsidP="00767431">
      <w:pPr>
        <w:pStyle w:val="btbullet"/>
      </w:pPr>
      <w:r w:rsidRPr="00283CEC">
        <w:t>m</w:t>
      </w:r>
      <w:r w:rsidR="0076465A" w:rsidRPr="00283CEC">
        <w:t>aintenance of rail and road networks</w:t>
      </w:r>
    </w:p>
    <w:p w:rsidR="0076465A" w:rsidRPr="00283CEC" w:rsidRDefault="00DC2E18" w:rsidP="00767431">
      <w:pPr>
        <w:pStyle w:val="btbullet"/>
      </w:pPr>
      <w:r w:rsidRPr="00283CEC">
        <w:t>r</w:t>
      </w:r>
      <w:r w:rsidR="0076465A" w:rsidRPr="00283CEC">
        <w:t>educing on-time running limitations</w:t>
      </w:r>
    </w:p>
    <w:p w:rsidR="0076465A" w:rsidRPr="00283CEC" w:rsidRDefault="00DC2E18" w:rsidP="00767431">
      <w:pPr>
        <w:pStyle w:val="btbullet"/>
      </w:pPr>
      <w:proofErr w:type="gramStart"/>
      <w:r w:rsidRPr="00283CEC">
        <w:t>a</w:t>
      </w:r>
      <w:r w:rsidR="0076465A" w:rsidRPr="00283CEC">
        <w:t>lternative</w:t>
      </w:r>
      <w:proofErr w:type="gramEnd"/>
      <w:r w:rsidR="0076465A" w:rsidRPr="00283CEC">
        <w:t xml:space="preserve"> fuelled vehicles</w:t>
      </w:r>
      <w:r w:rsidR="00AE0E58" w:rsidRPr="00283CEC">
        <w:t>.</w:t>
      </w:r>
    </w:p>
    <w:p w:rsidR="0076465A" w:rsidRPr="00283CEC" w:rsidRDefault="0076465A" w:rsidP="00CC3A69">
      <w:pPr>
        <w:pStyle w:val="Heading4"/>
      </w:pPr>
      <w:r w:rsidRPr="00283CEC">
        <w:t xml:space="preserve">Technological advancements </w:t>
      </w:r>
    </w:p>
    <w:p w:rsidR="0076465A" w:rsidRPr="00283CEC" w:rsidRDefault="0076465A" w:rsidP="00FD4D85">
      <w:pPr>
        <w:pStyle w:val="bt"/>
      </w:pPr>
      <w:r w:rsidRPr="00283CEC">
        <w:t xml:space="preserve">Technological advancements such as the rollout of the National Broadband Network may </w:t>
      </w:r>
      <w:r w:rsidR="00104717" w:rsidRPr="00283CEC">
        <w:t xml:space="preserve">provide </w:t>
      </w:r>
      <w:r w:rsidRPr="00283CEC">
        <w:t xml:space="preserve">access </w:t>
      </w:r>
      <w:r w:rsidR="00104717" w:rsidRPr="00283CEC">
        <w:t xml:space="preserve">to </w:t>
      </w:r>
      <w:r w:rsidRPr="00283CEC">
        <w:t>a greater range of services from home. The health and education sectors highlight the potential of providing services online. The N</w:t>
      </w:r>
      <w:r w:rsidR="00104717" w:rsidRPr="00283CEC">
        <w:t xml:space="preserve">ational Broadband </w:t>
      </w:r>
      <w:r w:rsidRPr="00283CEC">
        <w:t>N</w:t>
      </w:r>
      <w:r w:rsidR="00104717" w:rsidRPr="00283CEC">
        <w:t>etwork</w:t>
      </w:r>
      <w:r w:rsidRPr="00283CEC">
        <w:t xml:space="preserve"> may also provide increased opportunity for home-based businesses.  </w:t>
      </w:r>
    </w:p>
    <w:p w:rsidR="00104717" w:rsidRPr="00283CEC" w:rsidRDefault="0076465A" w:rsidP="00FD4D85">
      <w:pPr>
        <w:pStyle w:val="bt"/>
      </w:pPr>
      <w:r w:rsidRPr="00283CEC">
        <w:t xml:space="preserve">New vehicle designs </w:t>
      </w:r>
      <w:r w:rsidR="00104717" w:rsidRPr="00283CEC">
        <w:t xml:space="preserve">could also </w:t>
      </w:r>
      <w:r w:rsidRPr="00283CEC">
        <w:t xml:space="preserve">lessen </w:t>
      </w:r>
      <w:r w:rsidR="00104717" w:rsidRPr="00283CEC">
        <w:t xml:space="preserve">the </w:t>
      </w:r>
      <w:r w:rsidRPr="00283CEC">
        <w:t xml:space="preserve">environmental impacts </w:t>
      </w:r>
      <w:r w:rsidR="00104717" w:rsidRPr="00283CEC">
        <w:t xml:space="preserve">of transport </w:t>
      </w:r>
      <w:r w:rsidRPr="00283CEC">
        <w:t>and improve productivity and safety of vehicles.</w:t>
      </w:r>
      <w:r w:rsidR="00104717" w:rsidRPr="00283CEC">
        <w:t xml:space="preserve"> </w:t>
      </w:r>
    </w:p>
    <w:p w:rsidR="0076465A" w:rsidRPr="00283CEC" w:rsidRDefault="0076465A" w:rsidP="00CC3A69">
      <w:pPr>
        <w:pStyle w:val="Heading4"/>
      </w:pPr>
      <w:r w:rsidRPr="00283CEC">
        <w:t>Supply chains</w:t>
      </w:r>
    </w:p>
    <w:p w:rsidR="0076465A" w:rsidRPr="00283CEC" w:rsidRDefault="0076465A" w:rsidP="00FD4D85">
      <w:pPr>
        <w:pStyle w:val="bt"/>
      </w:pPr>
      <w:r w:rsidRPr="00283CEC">
        <w:t xml:space="preserve">Understanding </w:t>
      </w:r>
      <w:r w:rsidR="00104717" w:rsidRPr="00283CEC">
        <w:t xml:space="preserve">how </w:t>
      </w:r>
      <w:r w:rsidRPr="00283CEC">
        <w:t xml:space="preserve">local roads </w:t>
      </w:r>
      <w:r w:rsidR="00104717" w:rsidRPr="00283CEC">
        <w:t xml:space="preserve">connect </w:t>
      </w:r>
      <w:r w:rsidRPr="00283CEC">
        <w:t xml:space="preserve">to the main arterial road network could </w:t>
      </w:r>
      <w:r w:rsidR="00104717" w:rsidRPr="00283CEC">
        <w:t xml:space="preserve">provide </w:t>
      </w:r>
      <w:r w:rsidRPr="00283CEC">
        <w:t>greater efficiencies in supply chains and encourag</w:t>
      </w:r>
      <w:r w:rsidR="00104717" w:rsidRPr="00283CEC">
        <w:t>e</w:t>
      </w:r>
      <w:r w:rsidRPr="00283CEC">
        <w:t xml:space="preserve"> moves towards higher productivity freight vehicles on designated routes. It is important to recognise the strategic importance of the freight transport network as a component of the supply chain, particularly for the export of food products, paper, coal, horticulture and manufacturing. </w:t>
      </w:r>
    </w:p>
    <w:p w:rsidR="0076465A" w:rsidRPr="00283CEC" w:rsidRDefault="0076465A" w:rsidP="00FD4D85">
      <w:pPr>
        <w:pStyle w:val="bt"/>
      </w:pPr>
      <w:r w:rsidRPr="00283CEC">
        <w:t>Increasing road use and vehicle capacity demands may mean local maintenance funding and weight restrictions</w:t>
      </w:r>
      <w:r w:rsidR="00B457F3" w:rsidRPr="00283CEC">
        <w:t>, for example,</w:t>
      </w:r>
      <w:r w:rsidRPr="00283CEC">
        <w:t xml:space="preserve"> need to be reviewed into the future.</w:t>
      </w:r>
    </w:p>
    <w:p w:rsidR="0076465A" w:rsidRPr="00283CEC" w:rsidRDefault="00AA514A" w:rsidP="00FD4D85">
      <w:pPr>
        <w:pStyle w:val="bt"/>
      </w:pPr>
      <w:r w:rsidRPr="00283CEC">
        <w:t>Opportunities to better understand efficient supply chains exist around:</w:t>
      </w:r>
    </w:p>
    <w:p w:rsidR="0076465A" w:rsidRPr="00283CEC" w:rsidRDefault="00AA514A" w:rsidP="00767431">
      <w:pPr>
        <w:pStyle w:val="btbullet"/>
      </w:pPr>
      <w:r w:rsidRPr="00283CEC">
        <w:t>understanding relationships, movements and modes between the farm-gate, market, distribution centres and gateways for various commodities such as extractive industries and agricultural products</w:t>
      </w:r>
      <w:r w:rsidR="00947050" w:rsidRPr="00283CEC">
        <w:t xml:space="preserve"> </w:t>
      </w:r>
      <w:r w:rsidR="008B3121" w:rsidRPr="00283CEC">
        <w:t xml:space="preserve"> </w:t>
      </w:r>
      <w:r w:rsidR="0076465A" w:rsidRPr="00283CEC">
        <w:t xml:space="preserve"> </w:t>
      </w:r>
    </w:p>
    <w:p w:rsidR="0076465A" w:rsidRPr="00283CEC" w:rsidRDefault="00B457F3" w:rsidP="00767431">
      <w:pPr>
        <w:pStyle w:val="btbullet"/>
      </w:pPr>
      <w:r w:rsidRPr="00283CEC">
        <w:t>f</w:t>
      </w:r>
      <w:r w:rsidR="0076465A" w:rsidRPr="00283CEC">
        <w:t>ood processing and fisheries in the region</w:t>
      </w:r>
    </w:p>
    <w:p w:rsidR="0076465A" w:rsidRPr="00283CEC" w:rsidRDefault="00B457F3" w:rsidP="00767431">
      <w:pPr>
        <w:pStyle w:val="btbullet"/>
      </w:pPr>
      <w:r w:rsidRPr="00283CEC">
        <w:t>f</w:t>
      </w:r>
      <w:r w:rsidR="0076465A" w:rsidRPr="00283CEC">
        <w:t>uture coal export possibilities</w:t>
      </w:r>
    </w:p>
    <w:p w:rsidR="0076465A" w:rsidRPr="00283CEC" w:rsidRDefault="00B457F3" w:rsidP="00767431">
      <w:pPr>
        <w:pStyle w:val="btbullet"/>
      </w:pPr>
      <w:r w:rsidRPr="00283CEC">
        <w:t>r</w:t>
      </w:r>
      <w:r w:rsidR="0076465A" w:rsidRPr="00283CEC">
        <w:t>oad and rail freight capacity constraints</w:t>
      </w:r>
    </w:p>
    <w:p w:rsidR="0076465A" w:rsidRPr="00283CEC" w:rsidRDefault="00B457F3" w:rsidP="00767431">
      <w:pPr>
        <w:pStyle w:val="btbullet"/>
      </w:pPr>
      <w:r w:rsidRPr="00283CEC">
        <w:t>i</w:t>
      </w:r>
      <w:r w:rsidR="0076465A" w:rsidRPr="00283CEC">
        <w:t>ntermodal terminal requirements and consolidation opportunities</w:t>
      </w:r>
    </w:p>
    <w:p w:rsidR="00D047F1" w:rsidRPr="00283CEC" w:rsidRDefault="00B457F3" w:rsidP="00767431">
      <w:pPr>
        <w:pStyle w:val="btbullet"/>
      </w:pPr>
      <w:proofErr w:type="gramStart"/>
      <w:r w:rsidRPr="00283CEC">
        <w:t>t</w:t>
      </w:r>
      <w:r w:rsidR="0076465A" w:rsidRPr="00283CEC">
        <w:t>echnology</w:t>
      </w:r>
      <w:proofErr w:type="gramEnd"/>
      <w:r w:rsidR="0076465A" w:rsidRPr="00283CEC">
        <w:t xml:space="preserve"> advancements</w:t>
      </w:r>
      <w:r w:rsidRPr="00283CEC">
        <w:t>.</w:t>
      </w:r>
    </w:p>
    <w:p w:rsidR="0076465A" w:rsidRPr="00283CEC" w:rsidRDefault="0076465A" w:rsidP="00CC3A69">
      <w:pPr>
        <w:pStyle w:val="Heading4"/>
      </w:pPr>
      <w:r w:rsidRPr="00283CEC">
        <w:t>Amenity and useability</w:t>
      </w:r>
    </w:p>
    <w:p w:rsidR="0076465A" w:rsidRPr="00283CEC" w:rsidRDefault="0076465A" w:rsidP="00FD4D85">
      <w:pPr>
        <w:pStyle w:val="bt"/>
      </w:pPr>
      <w:r w:rsidRPr="00283CEC">
        <w:t xml:space="preserve">Improved amenity and useability within the transport system will promote the wellbeing of users and help attract people to the region. Incorporating pedestrian and bicycle networks and infrastructure </w:t>
      </w:r>
      <w:r w:rsidR="00B457F3" w:rsidRPr="00283CEC">
        <w:t xml:space="preserve">in </w:t>
      </w:r>
      <w:r w:rsidRPr="00283CEC">
        <w:t>town centres</w:t>
      </w:r>
      <w:r w:rsidR="00F44FE4" w:rsidRPr="00283CEC">
        <w:t>,</w:t>
      </w:r>
      <w:r w:rsidRPr="00283CEC">
        <w:t xml:space="preserve"> and planning for bicycle parking and storage at key destinations can facilitate higher rates of participation in walking and cycling as a transport option. Cycling and walking as recreation are also considerations for overall transport system design.</w:t>
      </w:r>
    </w:p>
    <w:p w:rsidR="0076465A" w:rsidRPr="00283CEC" w:rsidRDefault="0076465A" w:rsidP="00FD4D85">
      <w:pPr>
        <w:pStyle w:val="bt"/>
      </w:pPr>
      <w:r w:rsidRPr="00283CEC">
        <w:t>Transport access should be considered at the subdivision stage. Subdivision guidelines can encourage new development to be designed to include useability and amenity.</w:t>
      </w:r>
    </w:p>
    <w:p w:rsidR="0076465A" w:rsidRPr="00283CEC" w:rsidRDefault="00B457F3" w:rsidP="00FD4D85">
      <w:pPr>
        <w:pStyle w:val="bt"/>
      </w:pPr>
      <w:r w:rsidRPr="00283CEC">
        <w:t>O</w:t>
      </w:r>
      <w:r w:rsidR="0076465A" w:rsidRPr="00283CEC">
        <w:t>pportunities for ensuring amenity and useability include:</w:t>
      </w:r>
    </w:p>
    <w:p w:rsidR="00344018" w:rsidRPr="00283CEC" w:rsidRDefault="00B457F3" w:rsidP="00767431">
      <w:pPr>
        <w:pStyle w:val="btbullet"/>
      </w:pPr>
      <w:proofErr w:type="gramStart"/>
      <w:r w:rsidRPr="00283CEC">
        <w:t>t</w:t>
      </w:r>
      <w:r w:rsidR="0076465A" w:rsidRPr="00283CEC">
        <w:t>ourist</w:t>
      </w:r>
      <w:proofErr w:type="gramEnd"/>
      <w:r w:rsidR="0076465A" w:rsidRPr="00283CEC">
        <w:t xml:space="preserve"> routes for all users, including cyclists. In Gippsland this could build on the opportunities of the region’s recreational walking and cycling trails to attract users and tourists</w:t>
      </w:r>
      <w:r w:rsidR="00AE0E58" w:rsidRPr="00283CEC">
        <w:t xml:space="preserve">, </w:t>
      </w:r>
      <w:r w:rsidR="0076465A" w:rsidRPr="00283CEC">
        <w:t xml:space="preserve">particularly </w:t>
      </w:r>
      <w:r w:rsidRPr="00283CEC">
        <w:t xml:space="preserve">to </w:t>
      </w:r>
      <w:r w:rsidR="0076465A" w:rsidRPr="00283CEC">
        <w:t xml:space="preserve">the region’s rail trails </w:t>
      </w:r>
      <w:r w:rsidRPr="00283CEC">
        <w:t xml:space="preserve">that offer </w:t>
      </w:r>
      <w:r w:rsidR="0076465A" w:rsidRPr="00283CEC">
        <w:t>recreation</w:t>
      </w:r>
      <w:r w:rsidRPr="00283CEC">
        <w:t>al</w:t>
      </w:r>
      <w:r w:rsidR="0076465A" w:rsidRPr="00283CEC">
        <w:t xml:space="preserve"> and susta</w:t>
      </w:r>
      <w:r w:rsidR="00AE0E58" w:rsidRPr="00283CEC">
        <w:t>inable transport between towns</w:t>
      </w:r>
    </w:p>
    <w:p w:rsidR="0076465A" w:rsidRPr="00283CEC" w:rsidRDefault="00B457F3" w:rsidP="00767431">
      <w:pPr>
        <w:pStyle w:val="btbullet"/>
      </w:pPr>
      <w:r w:rsidRPr="00283CEC">
        <w:t>f</w:t>
      </w:r>
      <w:r w:rsidR="0076465A" w:rsidRPr="00283CEC">
        <w:t>acilities</w:t>
      </w:r>
      <w:r w:rsidRPr="00283CEC">
        <w:t xml:space="preserve"> such as </w:t>
      </w:r>
      <w:r w:rsidR="0076465A" w:rsidRPr="00283CEC">
        <w:t>wayside rest areas, signage</w:t>
      </w:r>
      <w:r w:rsidRPr="00283CEC">
        <w:t xml:space="preserve"> and </w:t>
      </w:r>
      <w:r w:rsidR="0076465A" w:rsidRPr="00283CEC">
        <w:t>information hubs</w:t>
      </w:r>
    </w:p>
    <w:p w:rsidR="0076465A" w:rsidRPr="00283CEC" w:rsidRDefault="00B457F3" w:rsidP="00767431">
      <w:pPr>
        <w:pStyle w:val="btbullet"/>
      </w:pPr>
      <w:r w:rsidRPr="00283CEC">
        <w:t>m</w:t>
      </w:r>
      <w:r w:rsidR="0076465A" w:rsidRPr="00283CEC">
        <w:t>arketi</w:t>
      </w:r>
      <w:r w:rsidR="00AE0E58" w:rsidRPr="00283CEC">
        <w:t>ng</w:t>
      </w:r>
      <w:r w:rsidRPr="00283CEC">
        <w:t xml:space="preserve"> such as </w:t>
      </w:r>
      <w:r w:rsidR="0076465A" w:rsidRPr="00283CEC">
        <w:t>package tours for day</w:t>
      </w:r>
      <w:r w:rsidR="00F44FE4" w:rsidRPr="00283CEC">
        <w:t xml:space="preserve"> </w:t>
      </w:r>
      <w:r w:rsidR="0076465A" w:rsidRPr="00283CEC">
        <w:t>trips</w:t>
      </w:r>
    </w:p>
    <w:p w:rsidR="0076465A" w:rsidRPr="00283CEC" w:rsidRDefault="00B457F3" w:rsidP="00767431">
      <w:pPr>
        <w:pStyle w:val="btbullet"/>
      </w:pPr>
      <w:r w:rsidRPr="00283CEC">
        <w:t>t</w:t>
      </w:r>
      <w:r w:rsidR="0076465A" w:rsidRPr="00283CEC">
        <w:t>own centre improvements</w:t>
      </w:r>
    </w:p>
    <w:p w:rsidR="0076465A" w:rsidRPr="00283CEC" w:rsidRDefault="00B457F3" w:rsidP="00767431">
      <w:pPr>
        <w:pStyle w:val="btbullet"/>
      </w:pPr>
      <w:proofErr w:type="gramStart"/>
      <w:r w:rsidRPr="00283CEC">
        <w:t>r</w:t>
      </w:r>
      <w:r w:rsidR="0076465A" w:rsidRPr="00283CEC">
        <w:t>oad</w:t>
      </w:r>
      <w:proofErr w:type="gramEnd"/>
      <w:r w:rsidR="0076465A" w:rsidRPr="00283CEC">
        <w:t xml:space="preserve"> use management</w:t>
      </w:r>
      <w:r w:rsidRPr="00283CEC">
        <w:t xml:space="preserve"> such as </w:t>
      </w:r>
      <w:r w:rsidR="006F35F2" w:rsidRPr="00283CEC">
        <w:t xml:space="preserve">VicRoads’ </w:t>
      </w:r>
      <w:r w:rsidR="0076465A" w:rsidRPr="00283CEC">
        <w:t>Smart Roads road use identification</w:t>
      </w:r>
      <w:r w:rsidR="00AE0E58" w:rsidRPr="00283CEC">
        <w:t>.</w:t>
      </w:r>
    </w:p>
    <w:p w:rsidR="0076465A" w:rsidRPr="00283CEC" w:rsidRDefault="00804CAA" w:rsidP="00646A55">
      <w:pPr>
        <w:pStyle w:val="bt"/>
        <w:rPr>
          <w:rStyle w:val="Strong"/>
        </w:rPr>
      </w:pPr>
      <w:r w:rsidRPr="00283CEC">
        <w:rPr>
          <w:rStyle w:val="Strong"/>
        </w:rPr>
        <w:t>Strategies for future land use</w:t>
      </w:r>
    </w:p>
    <w:p w:rsidR="0076465A" w:rsidRPr="00283CEC" w:rsidRDefault="0076465A" w:rsidP="00767431">
      <w:pPr>
        <w:pStyle w:val="btbullet"/>
      </w:pPr>
      <w:r w:rsidRPr="00283CEC">
        <w:t xml:space="preserve">Support improvements to the region’s road network including the Princes, Bass and South Gippsland </w:t>
      </w:r>
      <w:r w:rsidR="009E2E6C" w:rsidRPr="00283CEC">
        <w:t>h</w:t>
      </w:r>
      <w:r w:rsidRPr="00283CEC">
        <w:t>ighways, connections to ports, and roads running north-south through the region</w:t>
      </w:r>
    </w:p>
    <w:p w:rsidR="0076465A" w:rsidRPr="00283CEC" w:rsidRDefault="0076465A" w:rsidP="00767431">
      <w:pPr>
        <w:pStyle w:val="btbullet"/>
      </w:pPr>
      <w:r w:rsidRPr="00283CEC">
        <w:t>Improve connections out of the region to metropolitan Melbourne, Melbourne Airport, to other states and to other Victorian regions</w:t>
      </w:r>
    </w:p>
    <w:p w:rsidR="0076465A" w:rsidRPr="00283CEC" w:rsidRDefault="0076465A" w:rsidP="00767431">
      <w:pPr>
        <w:pStyle w:val="btbullet"/>
      </w:pPr>
      <w:r w:rsidRPr="00283CEC">
        <w:t xml:space="preserve">Support improvements to the Gippsland and Dandenong </w:t>
      </w:r>
      <w:r w:rsidR="009E2E6C" w:rsidRPr="00283CEC">
        <w:t>r</w:t>
      </w:r>
      <w:r w:rsidRPr="00283CEC">
        <w:t xml:space="preserve">ail </w:t>
      </w:r>
      <w:r w:rsidR="009E2E6C" w:rsidRPr="00283CEC">
        <w:t>l</w:t>
      </w:r>
      <w:r w:rsidRPr="00283CEC">
        <w:t>ine</w:t>
      </w:r>
    </w:p>
    <w:p w:rsidR="00F10313" w:rsidRPr="00283CEC" w:rsidRDefault="00F10313" w:rsidP="00767431">
      <w:pPr>
        <w:pStyle w:val="btbullet"/>
      </w:pPr>
      <w:r w:rsidRPr="00283CEC">
        <w:t>Support the Port of Hastings transport studies to plan for efficient transport access based on industry needs associated with the port’s development</w:t>
      </w:r>
    </w:p>
    <w:p w:rsidR="0076465A" w:rsidRPr="00283CEC" w:rsidRDefault="00842AC3" w:rsidP="00767431">
      <w:pPr>
        <w:pStyle w:val="btbullet"/>
      </w:pPr>
      <w:r w:rsidRPr="00283CEC">
        <w:t>Support</w:t>
      </w:r>
      <w:r w:rsidR="0076465A" w:rsidRPr="00283CEC">
        <w:t xml:space="preserve"> investigations into the potential need for other deep water port facilities as they emerge to support industry and exports</w:t>
      </w:r>
    </w:p>
    <w:p w:rsidR="0076465A" w:rsidRPr="00283CEC" w:rsidRDefault="0076465A" w:rsidP="00767431">
      <w:pPr>
        <w:pStyle w:val="btbullet"/>
      </w:pPr>
      <w:r w:rsidRPr="00283CEC">
        <w:t>Support the provision of public transport services for those without</w:t>
      </w:r>
      <w:r w:rsidR="00496BE7" w:rsidRPr="00283CEC">
        <w:t xml:space="preserve"> access to private vehicles </w:t>
      </w:r>
      <w:r w:rsidRPr="00283CEC">
        <w:t>and to improve access to services and employment</w:t>
      </w:r>
    </w:p>
    <w:p w:rsidR="0076465A" w:rsidRPr="00283CEC" w:rsidRDefault="0076465A" w:rsidP="00767431">
      <w:pPr>
        <w:pStyle w:val="btbullet"/>
      </w:pPr>
      <w:r w:rsidRPr="00283CEC">
        <w:t>Improve access to key freight routes so that regional businesses can enhance their supply chain efficiency</w:t>
      </w:r>
    </w:p>
    <w:p w:rsidR="00D047F1" w:rsidRPr="00283CEC" w:rsidRDefault="0076465A" w:rsidP="00767431">
      <w:pPr>
        <w:pStyle w:val="btbullet"/>
      </w:pPr>
      <w:r w:rsidRPr="00283CEC">
        <w:t xml:space="preserve">Support the development of freight and logistics precincts in </w:t>
      </w:r>
      <w:r w:rsidR="0039064B" w:rsidRPr="00283CEC">
        <w:t xml:space="preserve">Morwell </w:t>
      </w:r>
      <w:r w:rsidRPr="00283CEC">
        <w:t>and Bairnsdale, and improvements to key transport links</w:t>
      </w:r>
    </w:p>
    <w:p w:rsidR="004C47F5" w:rsidRPr="00283CEC" w:rsidRDefault="004C47F5" w:rsidP="00CE57DE">
      <w:pPr>
        <w:pStyle w:val="Heading2"/>
        <w:rPr>
          <w:color w:val="auto"/>
        </w:rPr>
      </w:pPr>
      <w:bookmarkStart w:id="120" w:name="_Toc376791256"/>
      <w:r w:rsidRPr="00283CEC">
        <w:rPr>
          <w:color w:val="auto"/>
        </w:rPr>
        <w:t xml:space="preserve">Social </w:t>
      </w:r>
      <w:r w:rsidR="00D979A2" w:rsidRPr="00283CEC">
        <w:rPr>
          <w:color w:val="auto"/>
        </w:rPr>
        <w:t>i</w:t>
      </w:r>
      <w:r w:rsidRPr="00283CEC">
        <w:rPr>
          <w:color w:val="auto"/>
        </w:rPr>
        <w:t>nfrastructure</w:t>
      </w:r>
      <w:bookmarkEnd w:id="117"/>
      <w:bookmarkEnd w:id="120"/>
    </w:p>
    <w:p w:rsidR="001E0099" w:rsidRPr="00283CEC" w:rsidRDefault="00272617" w:rsidP="00CE57DE">
      <w:pPr>
        <w:pStyle w:val="bt"/>
      </w:pPr>
      <w:r w:rsidRPr="00283CEC">
        <w:t xml:space="preserve">Social infrastructure refers to community facilities and services that help the community meet its social needs </w:t>
      </w:r>
      <w:r w:rsidR="00EB4AAD" w:rsidRPr="00283CEC">
        <w:t xml:space="preserve">and </w:t>
      </w:r>
      <w:r w:rsidRPr="00283CEC">
        <w:t>promote wellbeing. These facilities and services may include education, health, open space and recreation, arts and cultural facilities and community meeting places.</w:t>
      </w:r>
      <w:r w:rsidR="003F41A3" w:rsidRPr="00283CEC">
        <w:t xml:space="preserve"> </w:t>
      </w:r>
      <w:r w:rsidR="00783D03" w:rsidRPr="00283CEC">
        <w:t xml:space="preserve">More broadly it can encompass community meeting places, volunteer organisations and the social networks </w:t>
      </w:r>
      <w:r w:rsidR="006F35F2" w:rsidRPr="00283CEC">
        <w:t xml:space="preserve">that </w:t>
      </w:r>
      <w:r w:rsidR="00783D03" w:rsidRPr="00283CEC">
        <w:t xml:space="preserve">support them. </w:t>
      </w:r>
      <w:r w:rsidR="003F41A3" w:rsidRPr="00283CEC">
        <w:t>Social infrastructure planning occurs across all levels of government to align with community needs from a local scale to the regional or national scale.</w:t>
      </w:r>
    </w:p>
    <w:p w:rsidR="001E0099" w:rsidRPr="00283CEC" w:rsidRDefault="00ED44F4" w:rsidP="00CE57DE">
      <w:pPr>
        <w:pStyle w:val="bt"/>
      </w:pPr>
      <w:r w:rsidRPr="00283CEC">
        <w:t xml:space="preserve">Considering </w:t>
      </w:r>
      <w:r w:rsidR="001E0099" w:rsidRPr="00283CEC">
        <w:t>social infrastructure at a regional scale</w:t>
      </w:r>
      <w:r w:rsidR="00EB4AAD" w:rsidRPr="00283CEC">
        <w:t xml:space="preserve"> involve</w:t>
      </w:r>
      <w:r w:rsidR="000414FB" w:rsidRPr="00283CEC">
        <w:t>s</w:t>
      </w:r>
      <w:r w:rsidR="00EB4AAD" w:rsidRPr="00283CEC">
        <w:t xml:space="preserve"> assessment and planning for high level </w:t>
      </w:r>
      <w:r w:rsidR="003F41A3" w:rsidRPr="00283CEC">
        <w:t xml:space="preserve">facilities and services </w:t>
      </w:r>
      <w:r w:rsidR="001E0099" w:rsidRPr="00283CEC">
        <w:t xml:space="preserve">commensurate with population size and distribution, and </w:t>
      </w:r>
      <w:r w:rsidRPr="00283CEC">
        <w:t xml:space="preserve">investigation of </w:t>
      </w:r>
      <w:r w:rsidR="003F41A3" w:rsidRPr="00283CEC">
        <w:t xml:space="preserve">the regional </w:t>
      </w:r>
      <w:r w:rsidR="001E0099" w:rsidRPr="00283CEC">
        <w:t xml:space="preserve">community’s </w:t>
      </w:r>
      <w:r w:rsidR="003F41A3" w:rsidRPr="00283CEC">
        <w:t xml:space="preserve">current and future </w:t>
      </w:r>
      <w:r w:rsidR="001E0099" w:rsidRPr="00283CEC">
        <w:t>needs</w:t>
      </w:r>
      <w:r w:rsidR="003F41A3" w:rsidRPr="00283CEC">
        <w:t xml:space="preserve">. At the regional </w:t>
      </w:r>
      <w:r w:rsidR="00E04D38" w:rsidRPr="00283CEC">
        <w:t>scale</w:t>
      </w:r>
      <w:r w:rsidR="003F41A3" w:rsidRPr="00283CEC">
        <w:t>, social infrastructure may inc</w:t>
      </w:r>
      <w:r w:rsidR="00F100CC" w:rsidRPr="00283CEC">
        <w:t xml:space="preserve">lude </w:t>
      </w:r>
      <w:r w:rsidR="00D62321" w:rsidRPr="00283CEC">
        <w:t xml:space="preserve">government services, </w:t>
      </w:r>
      <w:r w:rsidR="00F100CC" w:rsidRPr="00283CEC">
        <w:t>hospitals, tertiary or other further education facilities, performing arts or convention centres, museums and central libraries.</w:t>
      </w:r>
    </w:p>
    <w:p w:rsidR="001E0099" w:rsidRPr="00283CEC" w:rsidRDefault="00ED44F4" w:rsidP="00CE57DE">
      <w:pPr>
        <w:pStyle w:val="bt"/>
      </w:pPr>
      <w:r w:rsidRPr="00283CEC">
        <w:t xml:space="preserve">When </w:t>
      </w:r>
      <w:r w:rsidR="00E04D38" w:rsidRPr="00283CEC">
        <w:t xml:space="preserve">planning for </w:t>
      </w:r>
      <w:r w:rsidR="00033C18" w:rsidRPr="00283CEC">
        <w:t xml:space="preserve">future social infrastructure </w:t>
      </w:r>
      <w:r w:rsidR="00DB4257" w:rsidRPr="00283CEC">
        <w:t xml:space="preserve">in Gippsland </w:t>
      </w:r>
      <w:r w:rsidR="00033C18" w:rsidRPr="00283CEC">
        <w:t>it will be important to assess projected population growth and the demographic profile of the future community to determine likely needs. This may include consideration of age, cultural background</w:t>
      </w:r>
      <w:r w:rsidR="00D62321" w:rsidRPr="00283CEC">
        <w:t>, household structures and the needs of specific groups such as people with disabilities. It will also be necessary to assess the range, capacity and utilisation of existing social infrastructure to better plan for fut</w:t>
      </w:r>
      <w:r w:rsidR="00DB4257" w:rsidRPr="00283CEC">
        <w:t>ure needs. In some cases existing</w:t>
      </w:r>
      <w:r w:rsidR="00D62321" w:rsidRPr="00283CEC">
        <w:t xml:space="preserve"> social infrastructure</w:t>
      </w:r>
      <w:r w:rsidR="00DB4257" w:rsidRPr="00283CEC">
        <w:t xml:space="preserve"> facilities</w:t>
      </w:r>
      <w:r w:rsidR="00D62321" w:rsidRPr="00283CEC">
        <w:t xml:space="preserve"> may be modified or enhanced to meet changing needs. In </w:t>
      </w:r>
      <w:r w:rsidR="00DB4257" w:rsidRPr="00283CEC">
        <w:t xml:space="preserve">the </w:t>
      </w:r>
      <w:r w:rsidR="00D62321" w:rsidRPr="00283CEC">
        <w:t xml:space="preserve">future there may be a need for </w:t>
      </w:r>
      <w:r w:rsidR="00DB4257" w:rsidRPr="00283CEC">
        <w:t xml:space="preserve">more </w:t>
      </w:r>
      <w:r w:rsidR="00D62321" w:rsidRPr="00283CEC">
        <w:t xml:space="preserve">flexible delivery of social infrastructure including </w:t>
      </w:r>
      <w:r w:rsidR="009F6345" w:rsidRPr="00283CEC">
        <w:t xml:space="preserve">enhanced </w:t>
      </w:r>
      <w:r w:rsidR="00D62321" w:rsidRPr="00283CEC">
        <w:t xml:space="preserve">mobile </w:t>
      </w:r>
      <w:r w:rsidR="009F6345" w:rsidRPr="00283CEC">
        <w:t>and similar outreach services.</w:t>
      </w:r>
    </w:p>
    <w:p w:rsidR="000E7A79" w:rsidRPr="00283CEC" w:rsidRDefault="000E7A79" w:rsidP="00CE57DE">
      <w:pPr>
        <w:pStyle w:val="bt"/>
      </w:pPr>
      <w:r w:rsidRPr="00283CEC">
        <w:t xml:space="preserve">Social infrastructure </w:t>
      </w:r>
      <w:r w:rsidR="0010372E" w:rsidRPr="00283CEC">
        <w:t xml:space="preserve">in Gippsland </w:t>
      </w:r>
      <w:r w:rsidRPr="00283CEC">
        <w:t>includes facilities such as hospitals, tertiary education and training facilities, regional cultural and sporting facilities such as stadiums and arts centres</w:t>
      </w:r>
      <w:r w:rsidR="00783D03" w:rsidRPr="00283CEC">
        <w:t>, and various volunteer community and civic organisations.</w:t>
      </w:r>
    </w:p>
    <w:p w:rsidR="00390058" w:rsidRPr="00283CEC" w:rsidRDefault="008508AC" w:rsidP="00CC3A69">
      <w:pPr>
        <w:pStyle w:val="Heading4"/>
      </w:pPr>
      <w:r w:rsidRPr="00283CEC">
        <w:t>Health and education</w:t>
      </w:r>
    </w:p>
    <w:p w:rsidR="00390058" w:rsidRPr="00283CEC" w:rsidRDefault="00390058" w:rsidP="00CE57DE">
      <w:pPr>
        <w:pStyle w:val="bt"/>
      </w:pPr>
      <w:r w:rsidRPr="00283CEC">
        <w:t>The</w:t>
      </w:r>
      <w:r w:rsidR="000A5AC6" w:rsidRPr="00283CEC">
        <w:t xml:space="preserve"> </w:t>
      </w:r>
      <w:r w:rsidR="0010372E" w:rsidRPr="00283CEC">
        <w:t xml:space="preserve">Gippsland </w:t>
      </w:r>
      <w:r w:rsidR="000A5AC6" w:rsidRPr="00283CEC">
        <w:t xml:space="preserve">region has a </w:t>
      </w:r>
      <w:r w:rsidRPr="00283CEC">
        <w:t>network of public and private hospitals, community health services and bush</w:t>
      </w:r>
      <w:r w:rsidR="000A5AC6" w:rsidRPr="00283CEC">
        <w:t xml:space="preserve"> nursing services distributed </w:t>
      </w:r>
      <w:r w:rsidRPr="00283CEC">
        <w:t xml:space="preserve">across the </w:t>
      </w:r>
      <w:r w:rsidR="000A5AC6" w:rsidRPr="00283CEC">
        <w:t xml:space="preserve">major centres </w:t>
      </w:r>
      <w:r w:rsidRPr="00283CEC">
        <w:t xml:space="preserve">of </w:t>
      </w:r>
      <w:r w:rsidR="000414FB" w:rsidRPr="00283CEC">
        <w:t>Latrobe City</w:t>
      </w:r>
      <w:r w:rsidRPr="00283CEC">
        <w:t>, Warragul, Wo</w:t>
      </w:r>
      <w:r w:rsidR="000A5AC6" w:rsidRPr="00283CEC">
        <w:t xml:space="preserve">nthaggi, Sale and Bairnsdale. </w:t>
      </w:r>
      <w:r w:rsidR="00AA514A" w:rsidRPr="00283CEC">
        <w:t>The Latrobe Regional Hospital includes a specialist cancer centre and supporting accommodation.</w:t>
      </w:r>
      <w:r w:rsidR="0061573D" w:rsidRPr="00283CEC">
        <w:t xml:space="preserve"> </w:t>
      </w:r>
      <w:r w:rsidR="00D804EA" w:rsidRPr="00283CEC">
        <w:t xml:space="preserve">Redevelopment of the Leongatha Hospital is currently underway to provide improved services. </w:t>
      </w:r>
      <w:r w:rsidR="000A5AC6" w:rsidRPr="00283CEC">
        <w:t>T</w:t>
      </w:r>
      <w:r w:rsidRPr="00283CEC">
        <w:t xml:space="preserve">he Gippsland Medical School at </w:t>
      </w:r>
      <w:r w:rsidR="00D038B1" w:rsidRPr="00283CEC">
        <w:t xml:space="preserve">the </w:t>
      </w:r>
      <w:r w:rsidR="0000489E" w:rsidRPr="00283CEC">
        <w:t>u</w:t>
      </w:r>
      <w:r w:rsidR="00D038B1" w:rsidRPr="00283CEC">
        <w:t xml:space="preserve">niversity campus at </w:t>
      </w:r>
      <w:r w:rsidR="00E010D2" w:rsidRPr="00283CEC">
        <w:t>Churchill is</w:t>
      </w:r>
      <w:r w:rsidR="000A5AC6" w:rsidRPr="00283CEC">
        <w:t xml:space="preserve"> also a key health infrastructure asset.</w:t>
      </w:r>
    </w:p>
    <w:p w:rsidR="00390058" w:rsidRPr="00283CEC" w:rsidRDefault="0010372E" w:rsidP="00CE57DE">
      <w:pPr>
        <w:pStyle w:val="bt"/>
      </w:pPr>
      <w:r w:rsidRPr="00283CEC">
        <w:t>H</w:t>
      </w:r>
      <w:r w:rsidR="00CF0DB9" w:rsidRPr="00283CEC">
        <w:t xml:space="preserve">ealth </w:t>
      </w:r>
      <w:r w:rsidR="000A5AC6" w:rsidRPr="00283CEC">
        <w:t xml:space="preserve">indicators </w:t>
      </w:r>
      <w:r w:rsidRPr="00283CEC">
        <w:t xml:space="preserve">for </w:t>
      </w:r>
      <w:r w:rsidR="00CF0DB9" w:rsidRPr="00283CEC">
        <w:t>Gippsland reside</w:t>
      </w:r>
      <w:r w:rsidR="000A5AC6" w:rsidRPr="00283CEC">
        <w:t xml:space="preserve">nts are broadly in line with the </w:t>
      </w:r>
      <w:r w:rsidRPr="00283CEC">
        <w:t xml:space="preserve">rest </w:t>
      </w:r>
      <w:r w:rsidR="00CF0DB9" w:rsidRPr="00283CEC">
        <w:t xml:space="preserve">of regional Victoria but are somewhat lower than </w:t>
      </w:r>
      <w:r w:rsidR="000A5AC6" w:rsidRPr="00283CEC">
        <w:t xml:space="preserve">indicators for </w:t>
      </w:r>
      <w:r w:rsidR="00CF0DB9" w:rsidRPr="00283CEC">
        <w:t>metropolitan Melbourne</w:t>
      </w:r>
      <w:r w:rsidRPr="00283CEC">
        <w:t>,</w:t>
      </w:r>
      <w:r w:rsidR="00CF0DB9" w:rsidRPr="00283CEC">
        <w:t xml:space="preserve"> </w:t>
      </w:r>
      <w:r w:rsidR="000A5AC6" w:rsidRPr="00283CEC">
        <w:t xml:space="preserve">in part due to </w:t>
      </w:r>
      <w:r w:rsidR="00CF0DB9" w:rsidRPr="00283CEC">
        <w:t xml:space="preserve">lower incomes and reduced access to medical services in remote areas. </w:t>
      </w:r>
      <w:r w:rsidR="000A5AC6" w:rsidRPr="00283CEC">
        <w:t>To address these issues</w:t>
      </w:r>
      <w:r w:rsidRPr="00283CEC">
        <w:t>,</w:t>
      </w:r>
      <w:r w:rsidR="000A5AC6" w:rsidRPr="00283CEC">
        <w:t xml:space="preserve"> health promotion in Gippsland </w:t>
      </w:r>
      <w:r w:rsidR="00CF0DB9" w:rsidRPr="00283CEC">
        <w:t>priorit</w:t>
      </w:r>
      <w:r w:rsidR="000A5AC6" w:rsidRPr="00283CEC">
        <w:t xml:space="preserve">ises </w:t>
      </w:r>
      <w:r w:rsidR="00CF0DB9" w:rsidRPr="00283CEC">
        <w:t xml:space="preserve">physical activity, healthy eating, mental health promotion and sexual and reproductive health. </w:t>
      </w:r>
      <w:r w:rsidR="00300A1F" w:rsidRPr="00283CEC">
        <w:t>S</w:t>
      </w:r>
      <w:r w:rsidR="00CF0DB9" w:rsidRPr="00283CEC">
        <w:t>trategic planning</w:t>
      </w:r>
      <w:r w:rsidR="00300A1F" w:rsidRPr="00283CEC">
        <w:t xml:space="preserve"> for future urban areas can support these priorities through provision of active and passive open space and access to pedestrian and bicycle networks.</w:t>
      </w:r>
    </w:p>
    <w:p w:rsidR="001F11AB" w:rsidRPr="00283CEC" w:rsidRDefault="001F11AB" w:rsidP="00CE57DE">
      <w:pPr>
        <w:pStyle w:val="bt"/>
        <w:rPr>
          <w:lang w:eastAsia="en-US"/>
        </w:rPr>
      </w:pPr>
      <w:r w:rsidRPr="00283CEC">
        <w:rPr>
          <w:lang w:eastAsia="en-US"/>
        </w:rPr>
        <w:t xml:space="preserve">The role of the education sector is important to support efforts to transition and diversify the regional economy. </w:t>
      </w:r>
      <w:proofErr w:type="gramStart"/>
      <w:r w:rsidRPr="00283CEC">
        <w:rPr>
          <w:lang w:eastAsia="en-US"/>
        </w:rPr>
        <w:t xml:space="preserve">The </w:t>
      </w:r>
      <w:r w:rsidRPr="00283CEC">
        <w:rPr>
          <w:rStyle w:val="Emphasis"/>
          <w:i w:val="0"/>
        </w:rPr>
        <w:t>Latrobe Valley Industry and Employment Roadmap</w:t>
      </w:r>
      <w:r w:rsidRPr="00283CEC">
        <w:rPr>
          <w:lang w:eastAsia="en-US"/>
        </w:rPr>
        <w:t xml:space="preserve"> highlights potential linkages among education and research institutions and emerging industry sectors in renewable energy, low-carbon technology, food processing and advanced manufacturing.</w:t>
      </w:r>
      <w:proofErr w:type="gramEnd"/>
    </w:p>
    <w:p w:rsidR="001F11AB" w:rsidRPr="00283CEC" w:rsidRDefault="001F11AB" w:rsidP="00CE57DE">
      <w:pPr>
        <w:pStyle w:val="bt"/>
        <w:rPr>
          <w:lang w:eastAsia="en-US"/>
        </w:rPr>
      </w:pPr>
      <w:r w:rsidRPr="00283CEC">
        <w:rPr>
          <w:lang w:eastAsia="en-US"/>
        </w:rPr>
        <w:t xml:space="preserve">Gippsland has existing research and development and tertiary education facilities located throughout the region, most notably at </w:t>
      </w:r>
      <w:proofErr w:type="spellStart"/>
      <w:r w:rsidRPr="00283CEC">
        <w:rPr>
          <w:lang w:eastAsia="en-US"/>
        </w:rPr>
        <w:t>Ellinbank</w:t>
      </w:r>
      <w:proofErr w:type="spellEnd"/>
      <w:r w:rsidRPr="00283CEC">
        <w:rPr>
          <w:lang w:eastAsia="en-US"/>
        </w:rPr>
        <w:t xml:space="preserve"> and Churchill. </w:t>
      </w:r>
      <w:r w:rsidR="003C523C" w:rsidRPr="00283CEC">
        <w:rPr>
          <w:lang w:eastAsia="en-US"/>
        </w:rPr>
        <w:t xml:space="preserve">The </w:t>
      </w:r>
      <w:r w:rsidR="00804CAA" w:rsidRPr="00283CEC">
        <w:rPr>
          <w:rStyle w:val="Emphasis"/>
          <w:i w:val="0"/>
        </w:rPr>
        <w:t xml:space="preserve">Gippsland Regional Plan </w:t>
      </w:r>
      <w:r w:rsidRPr="00283CEC">
        <w:rPr>
          <w:lang w:eastAsia="en-US"/>
        </w:rPr>
        <w:t>propose</w:t>
      </w:r>
      <w:r w:rsidR="0026433A" w:rsidRPr="00283CEC">
        <w:rPr>
          <w:lang w:eastAsia="en-US"/>
        </w:rPr>
        <w:t>d</w:t>
      </w:r>
      <w:r w:rsidRPr="00283CEC">
        <w:rPr>
          <w:lang w:eastAsia="en-US"/>
        </w:rPr>
        <w:t xml:space="preserve"> to enhance the delivery of these services </w:t>
      </w:r>
      <w:r w:rsidR="0026433A" w:rsidRPr="00283CEC">
        <w:rPr>
          <w:lang w:eastAsia="en-US"/>
        </w:rPr>
        <w:t xml:space="preserve">through the </w:t>
      </w:r>
      <w:r w:rsidRPr="00283CEC">
        <w:rPr>
          <w:lang w:eastAsia="en-US"/>
        </w:rPr>
        <w:t xml:space="preserve">development of a Centre for Sustainable Industries </w:t>
      </w:r>
      <w:r w:rsidR="0026433A" w:rsidRPr="00283CEC">
        <w:rPr>
          <w:lang w:eastAsia="en-US"/>
        </w:rPr>
        <w:t xml:space="preserve">to </w:t>
      </w:r>
      <w:r w:rsidRPr="00283CEC">
        <w:rPr>
          <w:lang w:eastAsia="en-US"/>
        </w:rPr>
        <w:t xml:space="preserve">increase </w:t>
      </w:r>
      <w:r w:rsidR="0026433A" w:rsidRPr="00283CEC">
        <w:rPr>
          <w:lang w:eastAsia="en-US"/>
        </w:rPr>
        <w:t xml:space="preserve">the </w:t>
      </w:r>
      <w:r w:rsidRPr="00283CEC">
        <w:rPr>
          <w:lang w:eastAsia="en-US"/>
        </w:rPr>
        <w:t xml:space="preserve">economic strength </w:t>
      </w:r>
      <w:r w:rsidR="0026433A" w:rsidRPr="00283CEC">
        <w:rPr>
          <w:lang w:eastAsia="en-US"/>
        </w:rPr>
        <w:t xml:space="preserve">and capability of </w:t>
      </w:r>
      <w:r w:rsidRPr="00283CEC">
        <w:rPr>
          <w:lang w:eastAsia="en-US"/>
        </w:rPr>
        <w:t xml:space="preserve">key regional industries </w:t>
      </w:r>
      <w:r w:rsidR="003C523C" w:rsidRPr="00283CEC">
        <w:rPr>
          <w:lang w:eastAsia="en-US"/>
        </w:rPr>
        <w:t>through</w:t>
      </w:r>
      <w:r w:rsidR="0026433A" w:rsidRPr="00283CEC">
        <w:rPr>
          <w:lang w:eastAsia="en-US"/>
        </w:rPr>
        <w:t xml:space="preserve"> </w:t>
      </w:r>
      <w:r w:rsidRPr="00283CEC">
        <w:rPr>
          <w:lang w:eastAsia="en-US"/>
        </w:rPr>
        <w:t>improvements in energy usage, commoditised product value, waste management, production processes and transitioning to a low</w:t>
      </w:r>
      <w:r w:rsidR="0026433A" w:rsidRPr="00283CEC">
        <w:rPr>
          <w:lang w:eastAsia="en-US"/>
        </w:rPr>
        <w:t>-</w:t>
      </w:r>
      <w:r w:rsidRPr="00283CEC">
        <w:rPr>
          <w:lang w:eastAsia="en-US"/>
        </w:rPr>
        <w:t xml:space="preserve">carbon economy. </w:t>
      </w:r>
      <w:r w:rsidR="00ED44F4" w:rsidRPr="00283CEC">
        <w:rPr>
          <w:lang w:eastAsia="en-US"/>
        </w:rPr>
        <w:t xml:space="preserve">Such an </w:t>
      </w:r>
      <w:r w:rsidRPr="00283CEC">
        <w:rPr>
          <w:lang w:eastAsia="en-US"/>
        </w:rPr>
        <w:t xml:space="preserve">approach would </w:t>
      </w:r>
      <w:r w:rsidR="0026433A" w:rsidRPr="00283CEC">
        <w:rPr>
          <w:lang w:eastAsia="en-US"/>
        </w:rPr>
        <w:t xml:space="preserve">encourage </w:t>
      </w:r>
      <w:r w:rsidRPr="00283CEC">
        <w:rPr>
          <w:lang w:eastAsia="en-US"/>
        </w:rPr>
        <w:t xml:space="preserve">research </w:t>
      </w:r>
      <w:r w:rsidR="0026433A" w:rsidRPr="00283CEC">
        <w:rPr>
          <w:lang w:eastAsia="en-US"/>
        </w:rPr>
        <w:t xml:space="preserve">into the key </w:t>
      </w:r>
      <w:r w:rsidRPr="00283CEC">
        <w:rPr>
          <w:lang w:eastAsia="en-US"/>
        </w:rPr>
        <w:t xml:space="preserve">challenges </w:t>
      </w:r>
      <w:r w:rsidR="0026433A" w:rsidRPr="00283CEC">
        <w:rPr>
          <w:lang w:eastAsia="en-US"/>
        </w:rPr>
        <w:t xml:space="preserve">facing the region in terms of </w:t>
      </w:r>
      <w:r w:rsidRPr="00283CEC">
        <w:rPr>
          <w:lang w:eastAsia="en-US"/>
        </w:rPr>
        <w:t xml:space="preserve">competitiveness and economic viability, ensure regional employers embrace cutting edge approaches and technologies, and </w:t>
      </w:r>
      <w:r w:rsidR="0026433A" w:rsidRPr="00283CEC">
        <w:rPr>
          <w:lang w:eastAsia="en-US"/>
        </w:rPr>
        <w:t xml:space="preserve">facilitate </w:t>
      </w:r>
      <w:r w:rsidRPr="00283CEC">
        <w:rPr>
          <w:lang w:eastAsia="en-US"/>
        </w:rPr>
        <w:t>industry</w:t>
      </w:r>
      <w:r w:rsidR="0026433A" w:rsidRPr="00283CEC">
        <w:rPr>
          <w:lang w:eastAsia="en-US"/>
        </w:rPr>
        <w:t>-</w:t>
      </w:r>
      <w:r w:rsidRPr="00283CEC">
        <w:rPr>
          <w:lang w:eastAsia="en-US"/>
        </w:rPr>
        <w:t xml:space="preserve">focused educational activities </w:t>
      </w:r>
      <w:r w:rsidR="0026433A" w:rsidRPr="00283CEC">
        <w:rPr>
          <w:lang w:eastAsia="en-US"/>
        </w:rPr>
        <w:t xml:space="preserve">to </w:t>
      </w:r>
      <w:r w:rsidRPr="00283CEC">
        <w:rPr>
          <w:lang w:eastAsia="en-US"/>
        </w:rPr>
        <w:t>address skill needs.</w:t>
      </w:r>
    </w:p>
    <w:p w:rsidR="00CE57DE" w:rsidRPr="00283CEC" w:rsidRDefault="00ED44F4" w:rsidP="00CE57DE">
      <w:pPr>
        <w:pStyle w:val="bt"/>
        <w:rPr>
          <w:lang w:eastAsia="en-US"/>
        </w:rPr>
      </w:pPr>
      <w:r w:rsidRPr="00283CEC">
        <w:rPr>
          <w:lang w:eastAsia="en-US"/>
        </w:rPr>
        <w:t xml:space="preserve">This plan </w:t>
      </w:r>
      <w:r w:rsidR="001F11AB" w:rsidRPr="00283CEC">
        <w:rPr>
          <w:lang w:eastAsia="en-US"/>
        </w:rPr>
        <w:t xml:space="preserve">provides a land use context to support tertiary education and </w:t>
      </w:r>
      <w:r w:rsidR="0026433A" w:rsidRPr="00283CEC">
        <w:rPr>
          <w:lang w:eastAsia="en-US"/>
        </w:rPr>
        <w:t>r</w:t>
      </w:r>
      <w:r w:rsidR="001F11AB" w:rsidRPr="00283CEC">
        <w:rPr>
          <w:lang w:eastAsia="en-US"/>
        </w:rPr>
        <w:t xml:space="preserve">esearch and </w:t>
      </w:r>
      <w:r w:rsidR="0026433A" w:rsidRPr="00283CEC">
        <w:rPr>
          <w:lang w:eastAsia="en-US"/>
        </w:rPr>
        <w:t>d</w:t>
      </w:r>
      <w:r w:rsidR="001F11AB" w:rsidRPr="00283CEC">
        <w:rPr>
          <w:lang w:eastAsia="en-US"/>
        </w:rPr>
        <w:t xml:space="preserve">evelopment in the region including the establishment of a network of technology enabled learning centres </w:t>
      </w:r>
      <w:r w:rsidR="00DC6EFC" w:rsidRPr="00283CEC">
        <w:rPr>
          <w:lang w:eastAsia="en-US"/>
        </w:rPr>
        <w:t xml:space="preserve">in </w:t>
      </w:r>
      <w:r w:rsidR="001F11AB" w:rsidRPr="00283CEC">
        <w:rPr>
          <w:lang w:eastAsia="en-US"/>
        </w:rPr>
        <w:t xml:space="preserve">Bairnsdale, Sale, Traralgon, Churchill, Warragul, Leongatha and Wonthaggi. The regional settlement framework supports these centres as appropriate locations for tertiary and other research institutions. For </w:t>
      </w:r>
      <w:r w:rsidR="00DC6EFC" w:rsidRPr="00283CEC">
        <w:rPr>
          <w:lang w:eastAsia="en-US"/>
        </w:rPr>
        <w:t xml:space="preserve">more </w:t>
      </w:r>
      <w:r w:rsidR="001F11AB" w:rsidRPr="00283CEC">
        <w:rPr>
          <w:lang w:eastAsia="en-US"/>
        </w:rPr>
        <w:t xml:space="preserve">information refer to the </w:t>
      </w:r>
      <w:r w:rsidR="00804CAA" w:rsidRPr="00283CEC">
        <w:rPr>
          <w:rStyle w:val="Emphasis"/>
          <w:i w:val="0"/>
        </w:rPr>
        <w:t>Gippsland Tertiary Education Plan</w:t>
      </w:r>
      <w:r w:rsidR="001F11AB" w:rsidRPr="00283CEC">
        <w:rPr>
          <w:lang w:eastAsia="en-US"/>
        </w:rPr>
        <w:t>.</w:t>
      </w:r>
    </w:p>
    <w:p w:rsidR="00E01E11" w:rsidRPr="00283CEC" w:rsidRDefault="00A64F3B" w:rsidP="00CC3A69">
      <w:pPr>
        <w:pStyle w:val="Heading4"/>
      </w:pPr>
      <w:r w:rsidRPr="00283CEC">
        <w:t>Community, c</w:t>
      </w:r>
      <w:r w:rsidR="008508AC" w:rsidRPr="00283CEC">
        <w:t>ultural</w:t>
      </w:r>
      <w:r w:rsidRPr="00283CEC">
        <w:t xml:space="preserve"> </w:t>
      </w:r>
      <w:r w:rsidR="008508AC" w:rsidRPr="00283CEC">
        <w:t>and sports facilities</w:t>
      </w:r>
    </w:p>
    <w:p w:rsidR="00A64F3B" w:rsidRPr="00283CEC" w:rsidRDefault="00966551" w:rsidP="00CE57DE">
      <w:pPr>
        <w:pStyle w:val="bt"/>
      </w:pPr>
      <w:r w:rsidRPr="00283CEC">
        <w:t>Community facilities such as public halls and meeting places are important for maintaining volunteer and civic organisations</w:t>
      </w:r>
      <w:r w:rsidR="006F35F2" w:rsidRPr="00283CEC">
        <w:t>,</w:t>
      </w:r>
      <w:r w:rsidRPr="00283CEC">
        <w:t xml:space="preserve"> which </w:t>
      </w:r>
      <w:r w:rsidR="00B05156" w:rsidRPr="00283CEC">
        <w:t xml:space="preserve">are </w:t>
      </w:r>
      <w:r w:rsidRPr="00283CEC">
        <w:t xml:space="preserve">significant contributors to community cohesion in small and remote settlements. </w:t>
      </w:r>
      <w:r w:rsidR="00AA514A" w:rsidRPr="00283CEC">
        <w:t>Sporting clubs, recreational groups and emergency services such as the Count</w:t>
      </w:r>
      <w:r w:rsidR="003A4E6C">
        <w:t>r</w:t>
      </w:r>
      <w:r w:rsidR="00AA514A" w:rsidRPr="00283CEC">
        <w:t>y Fire Authority rely on volunteers and their support networks to continue to provide services for regional and remote communities.</w:t>
      </w:r>
      <w:r w:rsidRPr="00283CEC">
        <w:t xml:space="preserve"> </w:t>
      </w:r>
    </w:p>
    <w:p w:rsidR="00E01E11" w:rsidRPr="00283CEC" w:rsidRDefault="00390058" w:rsidP="00CE57DE">
      <w:pPr>
        <w:pStyle w:val="bt"/>
      </w:pPr>
      <w:r w:rsidRPr="00283CEC">
        <w:t>Access to art galleries, performing arts centres and major sports facilities is important to meet the needs of a regional community</w:t>
      </w:r>
      <w:r w:rsidR="00DC6EFC" w:rsidRPr="00283CEC">
        <w:t xml:space="preserve"> to </w:t>
      </w:r>
      <w:r w:rsidRPr="00283CEC">
        <w:t xml:space="preserve">help </w:t>
      </w:r>
      <w:r w:rsidR="00F1403B" w:rsidRPr="00283CEC">
        <w:t>provide more diverse cultural experience</w:t>
      </w:r>
      <w:r w:rsidR="00DC6EFC" w:rsidRPr="00283CEC">
        <w:t xml:space="preserve">s, and to </w:t>
      </w:r>
      <w:r w:rsidR="00F1403B" w:rsidRPr="00283CEC">
        <w:t xml:space="preserve">attract and retain </w:t>
      </w:r>
      <w:r w:rsidR="00DC6EFC" w:rsidRPr="00283CEC">
        <w:t xml:space="preserve">a </w:t>
      </w:r>
      <w:r w:rsidR="00F1403B" w:rsidRPr="00283CEC">
        <w:t>broader range of social groups.</w:t>
      </w:r>
      <w:r w:rsidR="007654D3" w:rsidRPr="00283CEC">
        <w:t xml:space="preserve"> </w:t>
      </w:r>
      <w:r w:rsidR="00AA514A" w:rsidRPr="00283CEC">
        <w:t>Festivals, sporting events, exhibitions and cultural performances help promote the identity and diversity of Gippsland and contribute as attractions and important economic drivers that complement the landscape, wildlife or other nature-based activities in the region.</w:t>
      </w:r>
    </w:p>
    <w:p w:rsidR="00E957B0" w:rsidRPr="00283CEC" w:rsidRDefault="00390058" w:rsidP="00CE57DE">
      <w:pPr>
        <w:pStyle w:val="bt"/>
        <w:rPr>
          <w:rFonts w:cs="Calibri"/>
        </w:rPr>
      </w:pPr>
      <w:r w:rsidRPr="00283CEC">
        <w:rPr>
          <w:rFonts w:cs="Calibri"/>
        </w:rPr>
        <w:t xml:space="preserve">Gippsland </w:t>
      </w:r>
      <w:r w:rsidR="00CE0F70" w:rsidRPr="00283CEC">
        <w:rPr>
          <w:rFonts w:cs="Calibri"/>
        </w:rPr>
        <w:t xml:space="preserve">has a range of </w:t>
      </w:r>
      <w:r w:rsidRPr="00283CEC">
        <w:rPr>
          <w:rFonts w:cs="Calibri"/>
        </w:rPr>
        <w:t xml:space="preserve">cultural facilities </w:t>
      </w:r>
      <w:r w:rsidR="00CE0F70" w:rsidRPr="00283CEC">
        <w:rPr>
          <w:rFonts w:cs="Calibri"/>
        </w:rPr>
        <w:t xml:space="preserve">including </w:t>
      </w:r>
      <w:r w:rsidRPr="00283CEC">
        <w:rPr>
          <w:rFonts w:cs="Calibri"/>
        </w:rPr>
        <w:t xml:space="preserve">regional art galleries </w:t>
      </w:r>
      <w:r w:rsidR="00DC6EFC" w:rsidRPr="00283CEC">
        <w:rPr>
          <w:rFonts w:cs="Calibri"/>
        </w:rPr>
        <w:t xml:space="preserve">in </w:t>
      </w:r>
      <w:r w:rsidRPr="00283CEC">
        <w:rPr>
          <w:rFonts w:cs="Calibri"/>
        </w:rPr>
        <w:t xml:space="preserve">Bairnsdale, Sale and Morwell, and performing arts centres </w:t>
      </w:r>
      <w:r w:rsidR="00DC6EFC" w:rsidRPr="00283CEC">
        <w:rPr>
          <w:rFonts w:cs="Calibri"/>
        </w:rPr>
        <w:t xml:space="preserve">in </w:t>
      </w:r>
      <w:r w:rsidRPr="00283CEC">
        <w:rPr>
          <w:rFonts w:cs="Calibri"/>
        </w:rPr>
        <w:t xml:space="preserve">Sale, Traralgon and Warragul. </w:t>
      </w:r>
      <w:r w:rsidR="007B4368" w:rsidRPr="00283CEC">
        <w:rPr>
          <w:rFonts w:cs="Calibri"/>
        </w:rPr>
        <w:t xml:space="preserve">Planning and programming of activities at these facilities needs to be coordinated, providing tourists and residents with a more diverse offer that encourages extended </w:t>
      </w:r>
      <w:r w:rsidR="00E147EA" w:rsidRPr="00283CEC">
        <w:rPr>
          <w:rFonts w:cs="Calibri"/>
        </w:rPr>
        <w:t xml:space="preserve">visits. </w:t>
      </w:r>
      <w:r w:rsidR="00AA514A" w:rsidRPr="00283CEC">
        <w:rPr>
          <w:rFonts w:cs="Calibri"/>
        </w:rPr>
        <w:t>Other high profile sporting assets in the region include the Traralgon Tennis Complex, Phillip Island as the venue for the Australian Motorcycle Grand Prix, and the Gippsland Regional Sports Complex in Sale. The proposed Gippsland Aquatic Centre would be a significant addition to the region’s sports infrastructure.</w:t>
      </w:r>
    </w:p>
    <w:p w:rsidR="006030C9" w:rsidRPr="00283CEC" w:rsidRDefault="00AA514A" w:rsidP="006030C9">
      <w:pPr>
        <w:pStyle w:val="bt"/>
        <w:rPr>
          <w:rFonts w:cs="Calibri"/>
        </w:rPr>
      </w:pPr>
      <w:r w:rsidRPr="00283CEC">
        <w:rPr>
          <w:rFonts w:cs="Calibri"/>
        </w:rPr>
        <w:t xml:space="preserve">Regional communities will continue to access and enjoy Gippsland’s regional </w:t>
      </w:r>
      <w:proofErr w:type="gramStart"/>
      <w:r w:rsidRPr="00283CEC">
        <w:rPr>
          <w:rFonts w:cs="Calibri"/>
        </w:rPr>
        <w:t>parks,</w:t>
      </w:r>
      <w:proofErr w:type="gramEnd"/>
      <w:r w:rsidRPr="00283CEC">
        <w:rPr>
          <w:rFonts w:cs="Calibri"/>
        </w:rPr>
        <w:t xml:space="preserve"> and walking and cycle trails. These spaces are important for recreation and maintaining active and healthy communities. Planning to respond to community needs may require future investigation of supporting infrastructure within regional parks and trails. Future planning should be done in coordination with relevant agencies such as Parks Victoria.</w:t>
      </w:r>
    </w:p>
    <w:p w:rsidR="00E957B0" w:rsidRPr="00283CEC" w:rsidRDefault="00804CAA" w:rsidP="00CE57DE">
      <w:pPr>
        <w:pStyle w:val="bt"/>
        <w:rPr>
          <w:rStyle w:val="Strong"/>
        </w:rPr>
      </w:pPr>
      <w:r w:rsidRPr="00283CEC">
        <w:rPr>
          <w:rStyle w:val="Strong"/>
        </w:rPr>
        <w:t>Strategies for future land use</w:t>
      </w:r>
    </w:p>
    <w:p w:rsidR="00E957B0" w:rsidRPr="00283CEC" w:rsidRDefault="00E957B0" w:rsidP="00767431">
      <w:pPr>
        <w:pStyle w:val="btbullet"/>
      </w:pPr>
      <w:r w:rsidRPr="00283CEC">
        <w:t xml:space="preserve">Provide regional social infrastructure </w:t>
      </w:r>
      <w:r w:rsidR="00496BE7" w:rsidRPr="00283CEC">
        <w:t>in</w:t>
      </w:r>
      <w:r w:rsidRPr="00283CEC">
        <w:t xml:space="preserve"> the </w:t>
      </w:r>
      <w:r w:rsidR="000B245B" w:rsidRPr="00283CEC">
        <w:t>r</w:t>
      </w:r>
      <w:r w:rsidRPr="00283CEC">
        <w:t xml:space="preserve">egional </w:t>
      </w:r>
      <w:r w:rsidR="000B245B" w:rsidRPr="00283CEC">
        <w:t>c</w:t>
      </w:r>
      <w:r w:rsidRPr="00283CEC">
        <w:t>ity and centres, as described in the settlement framework, to meet the high level service needs for residents across the region.</w:t>
      </w:r>
      <w:r w:rsidR="008274F4" w:rsidRPr="00283CEC">
        <w:t xml:space="preserve"> </w:t>
      </w:r>
      <w:r w:rsidR="008F1DFB" w:rsidRPr="00283CEC">
        <w:t>P</w:t>
      </w:r>
      <w:r w:rsidR="001E69E0" w:rsidRPr="00283CEC">
        <w:t>rojected population</w:t>
      </w:r>
      <w:r w:rsidR="008F1DFB" w:rsidRPr="00283CEC">
        <w:t xml:space="preserve"> growth and demographic </w:t>
      </w:r>
      <w:r w:rsidR="001E69E0" w:rsidRPr="00283CEC">
        <w:t>profile</w:t>
      </w:r>
      <w:r w:rsidR="008F1DFB" w:rsidRPr="00283CEC">
        <w:t>,</w:t>
      </w:r>
      <w:r w:rsidR="001E69E0" w:rsidRPr="00283CEC">
        <w:t xml:space="preserve"> including an</w:t>
      </w:r>
      <w:r w:rsidR="008F1DFB" w:rsidRPr="00283CEC">
        <w:t>ticipated growth in the proportion of aged persons,</w:t>
      </w:r>
      <w:r w:rsidR="001E69E0" w:rsidRPr="00283CEC">
        <w:t xml:space="preserve"> will inform considerations </w:t>
      </w:r>
      <w:r w:rsidR="008274F4" w:rsidRPr="00283CEC">
        <w:t xml:space="preserve">for </w:t>
      </w:r>
      <w:r w:rsidR="001E69E0" w:rsidRPr="00283CEC">
        <w:t xml:space="preserve">hospital, allied health and </w:t>
      </w:r>
      <w:r w:rsidR="008274F4" w:rsidRPr="00283CEC">
        <w:t>aged care</w:t>
      </w:r>
      <w:r w:rsidR="001E69E0" w:rsidRPr="00283CEC">
        <w:t xml:space="preserve"> infrastructure planning</w:t>
      </w:r>
      <w:r w:rsidR="008F1DFB" w:rsidRPr="00283CEC">
        <w:t xml:space="preserve"> and upgrades</w:t>
      </w:r>
      <w:r w:rsidR="008274F4" w:rsidRPr="00283CEC">
        <w:t xml:space="preserve"> </w:t>
      </w:r>
    </w:p>
    <w:p w:rsidR="00E957B0" w:rsidRPr="00283CEC" w:rsidRDefault="00E957B0" w:rsidP="00767431">
      <w:pPr>
        <w:pStyle w:val="btbullet"/>
      </w:pPr>
      <w:r w:rsidRPr="00283CEC">
        <w:t>Encourage local social infrastructure</w:t>
      </w:r>
      <w:r w:rsidR="00E3235A" w:rsidRPr="00283CEC">
        <w:t>,</w:t>
      </w:r>
      <w:r w:rsidRPr="00283CEC">
        <w:t xml:space="preserve"> such as schools, community centres and health services</w:t>
      </w:r>
      <w:r w:rsidR="00E3235A" w:rsidRPr="00283CEC">
        <w:t>,</w:t>
      </w:r>
      <w:r w:rsidRPr="00283CEC">
        <w:t xml:space="preserve"> to be co-located on shared sites and to be designed </w:t>
      </w:r>
      <w:r w:rsidR="000B245B" w:rsidRPr="00283CEC">
        <w:t xml:space="preserve">as </w:t>
      </w:r>
      <w:r w:rsidRPr="00283CEC">
        <w:t>multi-purpose facilities</w:t>
      </w:r>
    </w:p>
    <w:p w:rsidR="00DF7F41" w:rsidRDefault="00E957B0" w:rsidP="00DF7F41">
      <w:pPr>
        <w:pStyle w:val="btbullet"/>
      </w:pPr>
      <w:r w:rsidRPr="00283CEC">
        <w:t>Plan for flexible and/or mobile provision of essential services for dispersed and remote communities including enhanced community tra</w:t>
      </w:r>
      <w:r w:rsidR="00A42F48">
        <w:t>nsport option</w:t>
      </w:r>
      <w:bookmarkStart w:id="121" w:name="_Toc336871235"/>
      <w:bookmarkStart w:id="122" w:name="_Toc376791257"/>
    </w:p>
    <w:p w:rsidR="00DF7F41" w:rsidRDefault="00DF7F41">
      <w:pPr>
        <w:spacing w:after="0" w:line="240" w:lineRule="auto"/>
        <w:rPr>
          <w:rFonts w:eastAsia="Times New Roman"/>
          <w:b/>
          <w:bCs/>
          <w:sz w:val="34"/>
          <w:szCs w:val="28"/>
        </w:rPr>
      </w:pPr>
      <w:r>
        <w:br w:type="page"/>
      </w:r>
    </w:p>
    <w:p w:rsidR="00DF7F41" w:rsidRDefault="00DF7F41" w:rsidP="002C3AF4">
      <w:pPr>
        <w:pStyle w:val="Heading1"/>
        <w:sectPr w:rsidR="00DF7F41" w:rsidSect="005178B8">
          <w:headerReference w:type="default" r:id="rId24"/>
          <w:pgSz w:w="11906" w:h="16838"/>
          <w:pgMar w:top="1440" w:right="1440" w:bottom="993" w:left="1440" w:header="709" w:footer="708" w:gutter="0"/>
          <w:cols w:space="708"/>
          <w:docGrid w:linePitch="360"/>
        </w:sectPr>
      </w:pPr>
    </w:p>
    <w:p w:rsidR="004C47F5" w:rsidRPr="00283CEC" w:rsidRDefault="004C47F5" w:rsidP="002C3AF4">
      <w:pPr>
        <w:pStyle w:val="Heading1"/>
      </w:pPr>
      <w:r w:rsidRPr="00283CEC">
        <w:t>PART D</w:t>
      </w:r>
      <w:r w:rsidR="00E5661A" w:rsidRPr="00283CEC">
        <w:t>:</w:t>
      </w:r>
      <w:r w:rsidRPr="00283CEC">
        <w:t xml:space="preserve"> </w:t>
      </w:r>
      <w:r w:rsidRPr="00283CEC">
        <w:tab/>
      </w:r>
      <w:r w:rsidR="009B6188" w:rsidRPr="00283CEC">
        <w:t xml:space="preserve"> </w:t>
      </w:r>
      <w:r w:rsidRPr="00283CEC">
        <w:t>R</w:t>
      </w:r>
      <w:r w:rsidR="009B6188" w:rsidRPr="00283CEC">
        <w:t>EGIONAL</w:t>
      </w:r>
      <w:r w:rsidRPr="00283CEC">
        <w:t xml:space="preserve"> G</w:t>
      </w:r>
      <w:r w:rsidR="009B6188" w:rsidRPr="00283CEC">
        <w:t>ROWTH</w:t>
      </w:r>
      <w:r w:rsidRPr="00283CEC">
        <w:t xml:space="preserve"> P</w:t>
      </w:r>
      <w:bookmarkEnd w:id="121"/>
      <w:r w:rsidR="009B6188" w:rsidRPr="00283CEC">
        <w:t>LAN</w:t>
      </w:r>
      <w:bookmarkEnd w:id="122"/>
    </w:p>
    <w:p w:rsidR="00590EC8" w:rsidRPr="00283CEC" w:rsidRDefault="00590EC8" w:rsidP="00CE57DE">
      <w:pPr>
        <w:pStyle w:val="bt"/>
      </w:pPr>
      <w:r w:rsidRPr="00283CEC">
        <w:t>This part of the</w:t>
      </w:r>
      <w:r w:rsidR="00856CE2" w:rsidRPr="00283CEC">
        <w:t xml:space="preserve"> </w:t>
      </w:r>
      <w:r w:rsidR="00804CAA" w:rsidRPr="00283CEC">
        <w:rPr>
          <w:rStyle w:val="Emphasis"/>
          <w:i w:val="0"/>
        </w:rPr>
        <w:t>Gippsland Regional Growth Plan</w:t>
      </w:r>
      <w:r w:rsidRPr="00283CEC">
        <w:t xml:space="preserve"> brings together all </w:t>
      </w:r>
      <w:r w:rsidR="00C908FE" w:rsidRPr="00283CEC">
        <w:t xml:space="preserve">of </w:t>
      </w:r>
      <w:r w:rsidRPr="00283CEC">
        <w:t xml:space="preserve">the elements of the regional land use framework </w:t>
      </w:r>
      <w:r w:rsidR="004D68C4" w:rsidRPr="00283CEC">
        <w:t xml:space="preserve">including </w:t>
      </w:r>
      <w:r w:rsidRPr="00283CEC">
        <w:t>economy, environment and landscape, settlem</w:t>
      </w:r>
      <w:r w:rsidR="004D68C4" w:rsidRPr="00283CEC">
        <w:t>ent and regional infrastructure</w:t>
      </w:r>
      <w:r w:rsidRPr="00283CEC">
        <w:t xml:space="preserve"> to identify the plan for growth and change over the next 30 years. It provides direction on where future growth should occur and </w:t>
      </w:r>
      <w:r w:rsidR="00C908FE" w:rsidRPr="00283CEC">
        <w:t xml:space="preserve">is </w:t>
      </w:r>
      <w:r w:rsidRPr="00283CEC">
        <w:t>informed by advice, analysis, investigation and community feedback.</w:t>
      </w:r>
    </w:p>
    <w:p w:rsidR="004C47F5" w:rsidRPr="00283CEC" w:rsidRDefault="004C47F5" w:rsidP="00CE57DE">
      <w:pPr>
        <w:pStyle w:val="Heading11"/>
      </w:pPr>
      <w:bookmarkStart w:id="123" w:name="_Toc336871236"/>
      <w:bookmarkStart w:id="124" w:name="_Toc376791258"/>
      <w:r w:rsidRPr="00283CEC">
        <w:t xml:space="preserve">Future </w:t>
      </w:r>
      <w:r w:rsidR="00D75B3E" w:rsidRPr="00283CEC">
        <w:t>d</w:t>
      </w:r>
      <w:r w:rsidRPr="00283CEC">
        <w:t xml:space="preserve">irections for </w:t>
      </w:r>
      <w:r w:rsidR="00D75B3E" w:rsidRPr="00283CEC">
        <w:t>r</w:t>
      </w:r>
      <w:r w:rsidRPr="00283CEC">
        <w:t xml:space="preserve">egional </w:t>
      </w:r>
      <w:r w:rsidR="00D75B3E" w:rsidRPr="00283CEC">
        <w:t>g</w:t>
      </w:r>
      <w:r w:rsidRPr="00283CEC">
        <w:t>rowth</w:t>
      </w:r>
      <w:bookmarkEnd w:id="123"/>
      <w:bookmarkEnd w:id="124"/>
    </w:p>
    <w:p w:rsidR="00B77101" w:rsidRPr="00283CEC" w:rsidRDefault="003926C2" w:rsidP="00CE57DE">
      <w:pPr>
        <w:pStyle w:val="bt"/>
      </w:pPr>
      <w:r w:rsidRPr="00283CEC">
        <w:t>This p</w:t>
      </w:r>
      <w:r w:rsidR="00B471D6" w:rsidRPr="00283CEC">
        <w:t>lan identifie</w:t>
      </w:r>
      <w:r w:rsidR="00C908FE" w:rsidRPr="00283CEC">
        <w:t>s</w:t>
      </w:r>
      <w:r w:rsidR="00B471D6" w:rsidRPr="00283CEC">
        <w:t xml:space="preserve"> areas where there </w:t>
      </w:r>
      <w:r w:rsidR="00D80FAF" w:rsidRPr="00283CEC">
        <w:t xml:space="preserve">are potential conflicts between land uses. </w:t>
      </w:r>
      <w:r w:rsidR="00B471D6" w:rsidRPr="00283CEC">
        <w:t>These are most prominent in the case of earth resources and strategic agricultural land, and also in relation to urban settlement pressures in high amenity rural or coastal landscapes. In some cases</w:t>
      </w:r>
      <w:r w:rsidR="00C908FE" w:rsidRPr="00283CEC">
        <w:t>,</w:t>
      </w:r>
      <w:r w:rsidR="00B471D6" w:rsidRPr="00283CEC">
        <w:t xml:space="preserve"> these conflicts raise questions </w:t>
      </w:r>
      <w:r w:rsidR="00D80FAF" w:rsidRPr="00283CEC">
        <w:t>about</w:t>
      </w:r>
      <w:r w:rsidR="00B77101" w:rsidRPr="00283CEC">
        <w:t xml:space="preserve"> </w:t>
      </w:r>
      <w:r w:rsidR="00B471D6" w:rsidRPr="00283CEC">
        <w:t xml:space="preserve">the economic value of resources versus </w:t>
      </w:r>
      <w:r w:rsidR="00C908FE" w:rsidRPr="00283CEC">
        <w:t xml:space="preserve">the </w:t>
      </w:r>
      <w:r w:rsidR="00B471D6" w:rsidRPr="00283CEC">
        <w:t xml:space="preserve">values derived from environmental </w:t>
      </w:r>
      <w:r w:rsidR="00D80FAF" w:rsidRPr="00283CEC">
        <w:t xml:space="preserve">and cultural </w:t>
      </w:r>
      <w:r w:rsidR="00B471D6" w:rsidRPr="00283CEC">
        <w:t xml:space="preserve">assets such as habitat and landscape. </w:t>
      </w:r>
    </w:p>
    <w:p w:rsidR="00713C0A" w:rsidRPr="00283CEC" w:rsidRDefault="00B77101" w:rsidP="00CE57DE">
      <w:pPr>
        <w:pStyle w:val="bt"/>
      </w:pPr>
      <w:r w:rsidRPr="00283CEC">
        <w:t xml:space="preserve">This </w:t>
      </w:r>
      <w:r w:rsidR="00D15DC5" w:rsidRPr="00283CEC">
        <w:t>p</w:t>
      </w:r>
      <w:r w:rsidRPr="00283CEC">
        <w:t xml:space="preserve">lan is </w:t>
      </w:r>
      <w:r w:rsidR="00180B32" w:rsidRPr="00283CEC">
        <w:t>intended to provide p</w:t>
      </w:r>
      <w:r w:rsidR="00B471D6" w:rsidRPr="00283CEC">
        <w:t>olicy direction</w:t>
      </w:r>
      <w:r w:rsidR="00180B32" w:rsidRPr="00283CEC">
        <w:t xml:space="preserve"> </w:t>
      </w:r>
      <w:r w:rsidR="00B471D6" w:rsidRPr="00283CEC">
        <w:t xml:space="preserve">to assist decision-making </w:t>
      </w:r>
      <w:r w:rsidR="00C908FE" w:rsidRPr="00283CEC">
        <w:t xml:space="preserve">with </w:t>
      </w:r>
      <w:r w:rsidR="00180B32" w:rsidRPr="00283CEC">
        <w:t xml:space="preserve">regard to land use outcomes. </w:t>
      </w:r>
      <w:r w:rsidR="00D80FAF" w:rsidRPr="00283CEC">
        <w:t xml:space="preserve">The principles outlined in </w:t>
      </w:r>
      <w:r w:rsidR="006F35F2" w:rsidRPr="00283CEC">
        <w:t xml:space="preserve">Section </w:t>
      </w:r>
      <w:r w:rsidR="00D80FAF" w:rsidRPr="00283CEC">
        <w:t>10</w:t>
      </w:r>
      <w:r w:rsidR="00D15DC5" w:rsidRPr="00283CEC">
        <w:t xml:space="preserve"> Principles to achieve the vision</w:t>
      </w:r>
      <w:r w:rsidR="00D80FAF" w:rsidRPr="00283CEC">
        <w:t xml:space="preserve"> </w:t>
      </w:r>
      <w:r w:rsidR="003926C2" w:rsidRPr="00283CEC">
        <w:t xml:space="preserve">have </w:t>
      </w:r>
      <w:r w:rsidR="00D80FAF" w:rsidRPr="00283CEC">
        <w:t xml:space="preserve">informed the </w:t>
      </w:r>
      <w:r w:rsidR="001A41FF" w:rsidRPr="00283CEC">
        <w:t xml:space="preserve">specific </w:t>
      </w:r>
      <w:r w:rsidR="00D80FAF" w:rsidRPr="00283CEC">
        <w:t xml:space="preserve">objectives and strategies </w:t>
      </w:r>
      <w:r w:rsidR="00AF48D3" w:rsidRPr="00283CEC">
        <w:t>developed for the economy, environment and heritage, settlement and infrastructure.</w:t>
      </w:r>
      <w:r w:rsidR="000414FB" w:rsidRPr="00283CEC">
        <w:t xml:space="preserve"> </w:t>
      </w:r>
      <w:r w:rsidR="001A41FF" w:rsidRPr="00283CEC">
        <w:t>The strategies in Part C provide the basis for more detailed work to be included in the Implementation Plan</w:t>
      </w:r>
      <w:r w:rsidR="003A4E6C">
        <w:t xml:space="preserve"> (see Part E)</w:t>
      </w:r>
      <w:r w:rsidR="001A41FF" w:rsidRPr="00283CEC">
        <w:t xml:space="preserve">. </w:t>
      </w:r>
      <w:r w:rsidR="008508AC" w:rsidRPr="00283CEC">
        <w:t>Key directions for growth across the region are shown on</w:t>
      </w:r>
      <w:r w:rsidR="00AD704A">
        <w:t xml:space="preserve"> Map 17</w:t>
      </w:r>
      <w:r w:rsidR="00F07F88" w:rsidRPr="00283CEC">
        <w:t xml:space="preserve"> </w:t>
      </w:r>
      <w:r w:rsidR="000414FB" w:rsidRPr="00283CEC">
        <w:t xml:space="preserve">and </w:t>
      </w:r>
      <w:r w:rsidR="001A41FF" w:rsidRPr="00283CEC">
        <w:t xml:space="preserve">a summary of the </w:t>
      </w:r>
      <w:r w:rsidR="00AF48D3" w:rsidRPr="00283CEC">
        <w:t xml:space="preserve">objectives and strategies </w:t>
      </w:r>
      <w:r w:rsidR="00C908FE" w:rsidRPr="00283CEC">
        <w:t xml:space="preserve">with </w:t>
      </w:r>
      <w:r w:rsidR="00AF48D3" w:rsidRPr="00283CEC">
        <w:t xml:space="preserve">regional spatial implications are </w:t>
      </w:r>
      <w:r w:rsidR="001A41FF" w:rsidRPr="00283CEC">
        <w:t>included</w:t>
      </w:r>
      <w:r w:rsidR="00AF48D3" w:rsidRPr="00283CEC">
        <w:t xml:space="preserve"> in</w:t>
      </w:r>
      <w:r w:rsidR="007E1048">
        <w:t xml:space="preserve"> </w:t>
      </w:r>
      <w:r w:rsidR="00E2132D">
        <w:fldChar w:fldCharType="begin"/>
      </w:r>
      <w:r w:rsidR="007E1048">
        <w:instrText xml:space="preserve"> REF _Ref355793785 \h </w:instrText>
      </w:r>
      <w:r w:rsidR="00E2132D">
        <w:fldChar w:fldCharType="separate"/>
      </w:r>
      <w:r w:rsidR="001D67DE" w:rsidRPr="00283CEC">
        <w:t xml:space="preserve">Table </w:t>
      </w:r>
      <w:r w:rsidR="001D67DE">
        <w:rPr>
          <w:noProof/>
        </w:rPr>
        <w:t>5</w:t>
      </w:r>
      <w:r w:rsidR="00E2132D">
        <w:fldChar w:fldCharType="end"/>
      </w:r>
      <w:r w:rsidR="009B2677" w:rsidRPr="00283CEC">
        <w:t>.</w:t>
      </w:r>
    </w:p>
    <w:p w:rsidR="00817F45" w:rsidRPr="00283CEC" w:rsidRDefault="006B4F4E" w:rsidP="00177EF6">
      <w:pPr>
        <w:pStyle w:val="Caption"/>
      </w:pPr>
      <w:bookmarkStart w:id="125" w:name="_Ref355793785"/>
      <w:bookmarkStart w:id="126" w:name="_Toc374361100"/>
      <w:r w:rsidRPr="00283CEC">
        <w:t xml:space="preserve">Table </w:t>
      </w:r>
      <w:r w:rsidR="00E2132D" w:rsidRPr="00283CEC">
        <w:fldChar w:fldCharType="begin"/>
      </w:r>
      <w:r w:rsidR="007C710A" w:rsidRPr="00283CEC">
        <w:instrText xml:space="preserve"> SEQ Table \* ARABIC </w:instrText>
      </w:r>
      <w:r w:rsidR="00E2132D" w:rsidRPr="00283CEC">
        <w:fldChar w:fldCharType="separate"/>
      </w:r>
      <w:r w:rsidR="001D67DE">
        <w:rPr>
          <w:noProof/>
        </w:rPr>
        <w:t>5</w:t>
      </w:r>
      <w:r w:rsidR="00E2132D" w:rsidRPr="00283CEC">
        <w:rPr>
          <w:noProof/>
        </w:rPr>
        <w:fldChar w:fldCharType="end"/>
      </w:r>
      <w:bookmarkEnd w:id="125"/>
      <w:r w:rsidRPr="00283CEC">
        <w:t xml:space="preserve">: </w:t>
      </w:r>
      <w:r w:rsidR="001A41FF" w:rsidRPr="007E1048">
        <w:rPr>
          <w:b w:val="0"/>
        </w:rPr>
        <w:t>Overview of s</w:t>
      </w:r>
      <w:r w:rsidRPr="007E1048">
        <w:rPr>
          <w:b w:val="0"/>
        </w:rPr>
        <w:t>trategies for regional growth</w:t>
      </w:r>
      <w:bookmarkEnd w:id="126"/>
    </w:p>
    <w:p w:rsidR="00E23461" w:rsidRPr="00283CEC" w:rsidRDefault="00E23461" w:rsidP="00CC3A69">
      <w:pPr>
        <w:pStyle w:val="Heading4"/>
      </w:pPr>
      <w:r w:rsidRPr="00283CEC">
        <w:t>Principle 1</w:t>
      </w:r>
      <w:r w:rsidR="00CC3A69">
        <w:t xml:space="preserve">: </w:t>
      </w:r>
      <w:r w:rsidRPr="00283CEC">
        <w:t>Strengthen economic resilience by growing a more diverse economy, which is supported by new investment, innovation and value-adding in traditional strengths</w:t>
      </w:r>
    </w:p>
    <w:p w:rsidR="00E23461" w:rsidRPr="00283CEC" w:rsidRDefault="00E23461" w:rsidP="00CC3A69">
      <w:pPr>
        <w:pStyle w:val="Heading4"/>
      </w:pPr>
      <w:r w:rsidRPr="00283CEC">
        <w:t>Issues</w:t>
      </w:r>
    </w:p>
    <w:p w:rsidR="00E23461" w:rsidRPr="00283CEC" w:rsidRDefault="00E23461" w:rsidP="00CC3A69">
      <w:pPr>
        <w:pStyle w:val="btbullet"/>
      </w:pPr>
      <w:r w:rsidRPr="00283CEC">
        <w:t>Relatively narrow economic base</w:t>
      </w:r>
    </w:p>
    <w:p w:rsidR="00E23461" w:rsidRPr="00283CEC" w:rsidRDefault="00E23461" w:rsidP="00CC3A69">
      <w:pPr>
        <w:pStyle w:val="btbullet"/>
      </w:pPr>
      <w:r w:rsidRPr="00283CEC">
        <w:t>Key economic assets and resources vulnerable to change</w:t>
      </w:r>
    </w:p>
    <w:p w:rsidR="00E23461" w:rsidRPr="00283CEC" w:rsidRDefault="00E23461" w:rsidP="00CC3A69">
      <w:pPr>
        <w:pStyle w:val="btbullet"/>
      </w:pPr>
      <w:r w:rsidRPr="00283CEC">
        <w:t>Water, brown coal, oil and gas and resources of state significance</w:t>
      </w:r>
    </w:p>
    <w:p w:rsidR="00E23461" w:rsidRPr="00283CEC" w:rsidRDefault="00E23461" w:rsidP="00CC3A69">
      <w:pPr>
        <w:pStyle w:val="btbullet"/>
        <w:rPr>
          <w:b/>
        </w:rPr>
      </w:pPr>
      <w:r w:rsidRPr="00283CEC">
        <w:t>Capacity for primary industry sectors to drive high growth knowledge industries and research and development</w:t>
      </w:r>
    </w:p>
    <w:p w:rsidR="00E23461" w:rsidRPr="00CC3A69" w:rsidRDefault="00E23461" w:rsidP="00CC3A69">
      <w:pPr>
        <w:pStyle w:val="Heading4"/>
      </w:pPr>
      <w:r w:rsidRPr="00CC3A69">
        <w:t>Future directions</w:t>
      </w:r>
    </w:p>
    <w:p w:rsidR="00E23461" w:rsidRDefault="00E23461" w:rsidP="00E23461">
      <w:pPr>
        <w:pStyle w:val="bt"/>
        <w:rPr>
          <w:rStyle w:val="Strong"/>
        </w:rPr>
      </w:pPr>
      <w:r w:rsidRPr="00CC3A69">
        <w:rPr>
          <w:rStyle w:val="Strong"/>
        </w:rPr>
        <w:t>Vibrant and prosperous commercial centres</w:t>
      </w:r>
    </w:p>
    <w:p w:rsidR="00CC3A69" w:rsidRPr="00283CEC" w:rsidRDefault="00CC3A69" w:rsidP="00CC3A69">
      <w:pPr>
        <w:pStyle w:val="Heading4"/>
      </w:pPr>
      <w:r w:rsidRPr="00283CEC">
        <w:t xml:space="preserve">Strategies </w:t>
      </w:r>
      <w:r>
        <w:t>(see Map 17 for further direction)</w:t>
      </w:r>
    </w:p>
    <w:p w:rsidR="00CC3A69" w:rsidRPr="00283CEC" w:rsidRDefault="00CC3A69" w:rsidP="00CC3A69">
      <w:pPr>
        <w:pStyle w:val="btbullet"/>
      </w:pPr>
      <w:r w:rsidRPr="00283CEC">
        <w:t>Encourage vibrant and prosperous commercial and service activities within clearly defined town centres that respond to changing population and market conditions</w:t>
      </w:r>
    </w:p>
    <w:p w:rsidR="00CC3A69" w:rsidRPr="00283CEC" w:rsidRDefault="00CC3A69" w:rsidP="00CC3A69">
      <w:pPr>
        <w:pStyle w:val="Heading4"/>
      </w:pPr>
      <w:r w:rsidRPr="00283CEC">
        <w:t>Future directions</w:t>
      </w:r>
    </w:p>
    <w:p w:rsidR="00E23461" w:rsidRPr="00CC3A69" w:rsidRDefault="00E23461" w:rsidP="00E23461">
      <w:pPr>
        <w:pStyle w:val="bt"/>
        <w:rPr>
          <w:rStyle w:val="Strong"/>
        </w:rPr>
      </w:pPr>
      <w:r w:rsidRPr="00CC3A69">
        <w:rPr>
          <w:rStyle w:val="Strong"/>
        </w:rPr>
        <w:t>Diverse service and manufacturing industries</w:t>
      </w:r>
    </w:p>
    <w:p w:rsidR="00CC3A69" w:rsidRPr="00283CEC" w:rsidRDefault="00CC3A69" w:rsidP="00CC3A69">
      <w:pPr>
        <w:pStyle w:val="Heading4"/>
      </w:pPr>
      <w:r w:rsidRPr="00283CEC">
        <w:t xml:space="preserve">Strategies </w:t>
      </w:r>
      <w:r>
        <w:t>(see Map 17 for further direction)</w:t>
      </w:r>
    </w:p>
    <w:p w:rsidR="00FE75CE" w:rsidRPr="00283CEC" w:rsidRDefault="00FE75CE" w:rsidP="00FE75CE">
      <w:pPr>
        <w:pStyle w:val="btbullet"/>
      </w:pPr>
      <w:r w:rsidRPr="00283CEC">
        <w:t>Develop industry sectors with strong prospects for increased employment</w:t>
      </w:r>
    </w:p>
    <w:p w:rsidR="00FE75CE" w:rsidRPr="00283CEC" w:rsidRDefault="00FE75CE" w:rsidP="00FE75CE">
      <w:pPr>
        <w:pStyle w:val="Heading4"/>
      </w:pPr>
      <w:r w:rsidRPr="00283CEC">
        <w:t>Future directions</w:t>
      </w:r>
    </w:p>
    <w:p w:rsidR="00E23461" w:rsidRPr="00CC3A69" w:rsidRDefault="00E23461" w:rsidP="00E23461">
      <w:pPr>
        <w:pStyle w:val="bt"/>
        <w:rPr>
          <w:rStyle w:val="Strong"/>
        </w:rPr>
      </w:pPr>
      <w:r w:rsidRPr="00CC3A69">
        <w:rPr>
          <w:rStyle w:val="Strong"/>
        </w:rPr>
        <w:t>Productive and innovative agriculture, forestry and fisheries</w:t>
      </w:r>
    </w:p>
    <w:p w:rsidR="00FE75CE" w:rsidRPr="00283CEC" w:rsidRDefault="00FE75CE" w:rsidP="00FE75CE">
      <w:pPr>
        <w:pStyle w:val="Heading4"/>
      </w:pPr>
      <w:r w:rsidRPr="00283CEC">
        <w:t xml:space="preserve">Strategies </w:t>
      </w:r>
      <w:r>
        <w:t>(see Map 17 for further direction)</w:t>
      </w:r>
    </w:p>
    <w:p w:rsidR="00FE75CE" w:rsidRPr="00283CEC" w:rsidRDefault="00FE75CE" w:rsidP="00FE75CE">
      <w:pPr>
        <w:pStyle w:val="btbullet"/>
      </w:pPr>
      <w:r w:rsidRPr="00283CEC">
        <w:t>Avoid loss of areas of strategic significance (agriculture and forestry) by critically assessing proposals for non-agricultural or non-forestry use, informed by expert agribusiness advice</w:t>
      </w:r>
    </w:p>
    <w:p w:rsidR="00FE75CE" w:rsidRPr="00283CEC" w:rsidRDefault="00FE75CE" w:rsidP="00FE75CE">
      <w:pPr>
        <w:pStyle w:val="btbullet"/>
      </w:pPr>
      <w:r w:rsidRPr="00283CEC">
        <w:t>Encourage production and processing plants that add value to local agricultural, forestry and fisheries products</w:t>
      </w:r>
    </w:p>
    <w:p w:rsidR="00FE75CE" w:rsidRPr="00283CEC" w:rsidRDefault="00FE75CE" w:rsidP="00FE75CE">
      <w:pPr>
        <w:pStyle w:val="btbullet"/>
      </w:pPr>
      <w:r w:rsidRPr="00283CEC">
        <w:t>Protect productive land and irrigation assets that help grow the state as an important food bowl for Australia and Asia</w:t>
      </w:r>
    </w:p>
    <w:p w:rsidR="00FE75CE" w:rsidRPr="00CC3A69" w:rsidRDefault="00FE75CE" w:rsidP="00FE75CE">
      <w:pPr>
        <w:pStyle w:val="Heading4"/>
      </w:pPr>
      <w:r w:rsidRPr="00CC3A69">
        <w:t>Future directions</w:t>
      </w:r>
    </w:p>
    <w:p w:rsidR="00E23461" w:rsidRPr="00CC3A69" w:rsidRDefault="00E23461" w:rsidP="00E23461">
      <w:pPr>
        <w:pStyle w:val="bt"/>
        <w:rPr>
          <w:rStyle w:val="Strong"/>
        </w:rPr>
      </w:pPr>
      <w:r w:rsidRPr="00CC3A69">
        <w:rPr>
          <w:rStyle w:val="Strong"/>
        </w:rPr>
        <w:t>Strengthen the energy sector</w:t>
      </w:r>
    </w:p>
    <w:p w:rsidR="00FE75CE" w:rsidRPr="00283CEC" w:rsidRDefault="00FE75CE" w:rsidP="00FE75CE">
      <w:pPr>
        <w:pStyle w:val="Heading4"/>
      </w:pPr>
      <w:r w:rsidRPr="00283CEC">
        <w:t xml:space="preserve">Strategies </w:t>
      </w:r>
      <w:r>
        <w:t>(see Map 17 for further direction)</w:t>
      </w:r>
    </w:p>
    <w:p w:rsidR="00FE75CE" w:rsidRPr="00283CEC" w:rsidRDefault="00FE75CE" w:rsidP="00FE75CE">
      <w:pPr>
        <w:pStyle w:val="btbullet"/>
      </w:pPr>
      <w:r w:rsidRPr="00283CEC">
        <w:t>Support transition to a low-carbon economy with renewable energy and greenhouse emission reductions including geothermal, clean coal processing, and carbon capture and storage</w:t>
      </w:r>
    </w:p>
    <w:p w:rsidR="00FE75CE" w:rsidRPr="00283CEC" w:rsidRDefault="00FE75CE" w:rsidP="00FE75CE">
      <w:pPr>
        <w:pStyle w:val="btbullet"/>
      </w:pPr>
      <w:r w:rsidRPr="00283CEC">
        <w:t>Support development of coal-to-products industries (diesel, fertiliser, gas)</w:t>
      </w:r>
    </w:p>
    <w:p w:rsidR="00FE75CE" w:rsidRPr="00283CEC" w:rsidRDefault="00FE75CE" w:rsidP="00FE75CE">
      <w:pPr>
        <w:pStyle w:val="btbullet"/>
        <w:rPr>
          <w:rFonts w:eastAsia="Calibri"/>
          <w:sz w:val="22"/>
          <w:lang w:eastAsia="en-US"/>
        </w:rPr>
      </w:pPr>
      <w:r w:rsidRPr="00283CEC">
        <w:t>Identify, manage and facilitate access to earth resources where appropriate, including sand and stone, minerals and renewable energy potential</w:t>
      </w:r>
    </w:p>
    <w:p w:rsidR="00FE75CE" w:rsidRPr="00283CEC" w:rsidRDefault="00FE75CE" w:rsidP="00FE75CE">
      <w:pPr>
        <w:pStyle w:val="btbullet"/>
      </w:pPr>
      <w:r w:rsidRPr="00283CEC">
        <w:t>Support continuing production from the region’s oil and gas fields</w:t>
      </w:r>
    </w:p>
    <w:p w:rsidR="00FE75CE" w:rsidRPr="00283CEC" w:rsidRDefault="00FE75CE" w:rsidP="00FE75CE">
      <w:pPr>
        <w:pStyle w:val="btbullet"/>
      </w:pPr>
      <w:r w:rsidRPr="00283CEC">
        <w:t>Prepare a new Gippsland Coalfields Planning and Investment Framework</w:t>
      </w:r>
    </w:p>
    <w:p w:rsidR="00FE75CE" w:rsidRPr="00283CEC" w:rsidRDefault="00FE75CE" w:rsidP="00FE75CE">
      <w:pPr>
        <w:pStyle w:val="btbullet"/>
      </w:pPr>
      <w:r w:rsidRPr="00283CEC">
        <w:t>Develop the region’s research and development profile</w:t>
      </w:r>
    </w:p>
    <w:p w:rsidR="00FE75CE" w:rsidRPr="00CC3A69" w:rsidRDefault="00FE75CE" w:rsidP="00FE75CE">
      <w:pPr>
        <w:pStyle w:val="Heading4"/>
      </w:pPr>
      <w:r w:rsidRPr="00CC3A69">
        <w:t>Future directions</w:t>
      </w:r>
    </w:p>
    <w:p w:rsidR="00E23461" w:rsidRPr="00FE75CE" w:rsidRDefault="00E23461" w:rsidP="00E23461">
      <w:pPr>
        <w:pStyle w:val="bt"/>
        <w:rPr>
          <w:rStyle w:val="Strong"/>
        </w:rPr>
      </w:pPr>
      <w:r w:rsidRPr="00FE75CE">
        <w:rPr>
          <w:rStyle w:val="Strong"/>
        </w:rPr>
        <w:t>Rejuvenation and expansion of regional tourism</w:t>
      </w:r>
    </w:p>
    <w:p w:rsidR="00FE75CE" w:rsidRPr="00283CEC" w:rsidRDefault="00FE75CE" w:rsidP="00FE75CE">
      <w:pPr>
        <w:pStyle w:val="Heading4"/>
      </w:pPr>
      <w:r w:rsidRPr="00283CEC">
        <w:t xml:space="preserve">Strategies </w:t>
      </w:r>
      <w:r>
        <w:t>(see Map 17 for further direction)</w:t>
      </w:r>
    </w:p>
    <w:p w:rsidR="00E23461" w:rsidRPr="00283CEC" w:rsidRDefault="00E23461" w:rsidP="00FE75CE">
      <w:pPr>
        <w:pStyle w:val="btbullet"/>
      </w:pPr>
      <w:r w:rsidRPr="00283CEC">
        <w:t>Strengthen tourism in strategic tourism investment areas</w:t>
      </w:r>
    </w:p>
    <w:p w:rsidR="00E23461" w:rsidRPr="00283CEC" w:rsidRDefault="00E23461" w:rsidP="00FE75CE">
      <w:pPr>
        <w:pStyle w:val="btbullet"/>
      </w:pPr>
      <w:r w:rsidRPr="00283CEC">
        <w:t>Encourage tourism development within existing urban settlements to maximise access to infrastructure, services and labour and to minimise impacts on the environment and exposure to natural hazards</w:t>
      </w:r>
    </w:p>
    <w:p w:rsidR="00E23461" w:rsidRPr="00283CEC" w:rsidRDefault="00E23461" w:rsidP="00CC3A69">
      <w:pPr>
        <w:pStyle w:val="Heading4"/>
      </w:pPr>
      <w:r w:rsidRPr="00283CEC">
        <w:t>Principle 2</w:t>
      </w:r>
      <w:r w:rsidR="00FE75CE">
        <w:t xml:space="preserve">: </w:t>
      </w:r>
      <w:r w:rsidRPr="00283CEC">
        <w:t>Promote a healthy environment by valuing Gippsland’s environmental and heritage assets, and by minimising the region’s exposure to natural hazards and risks</w:t>
      </w:r>
    </w:p>
    <w:p w:rsidR="00E23461" w:rsidRPr="00283CEC" w:rsidRDefault="00E23461" w:rsidP="00CC3A69">
      <w:pPr>
        <w:pStyle w:val="Heading4"/>
      </w:pPr>
      <w:r w:rsidRPr="00283CEC">
        <w:t>Issues</w:t>
      </w:r>
    </w:p>
    <w:p w:rsidR="00E23461" w:rsidRPr="00283CEC" w:rsidRDefault="00E23461" w:rsidP="00FE75CE">
      <w:pPr>
        <w:pStyle w:val="btbullet"/>
      </w:pPr>
      <w:r w:rsidRPr="00283CEC">
        <w:t>Competing demands on environmental and cultural heritage assets and landscapes</w:t>
      </w:r>
    </w:p>
    <w:p w:rsidR="00E23461" w:rsidRPr="00283CEC" w:rsidRDefault="00E23461" w:rsidP="00FE75CE">
      <w:pPr>
        <w:pStyle w:val="btbullet"/>
      </w:pPr>
      <w:r w:rsidRPr="00283CEC">
        <w:t>Habitat fragmentation and reduced resilience to change</w:t>
      </w:r>
    </w:p>
    <w:p w:rsidR="00E23461" w:rsidRPr="00283CEC" w:rsidRDefault="00E23461" w:rsidP="00FE75CE">
      <w:pPr>
        <w:pStyle w:val="btbullet"/>
        <w:rPr>
          <w:strike/>
        </w:rPr>
      </w:pPr>
      <w:r w:rsidRPr="00283CEC">
        <w:t>High exposure to natural hazards, especially bushfire, flood and coastal hazards</w:t>
      </w:r>
    </w:p>
    <w:p w:rsidR="00E23461" w:rsidRPr="00283CEC" w:rsidRDefault="00E23461" w:rsidP="00CC3A69">
      <w:pPr>
        <w:pStyle w:val="Heading4"/>
      </w:pPr>
      <w:r w:rsidRPr="00283CEC">
        <w:t>Future directions</w:t>
      </w:r>
    </w:p>
    <w:p w:rsidR="00E23461" w:rsidRDefault="00E23461" w:rsidP="00E23461">
      <w:pPr>
        <w:pStyle w:val="bt"/>
        <w:rPr>
          <w:rStyle w:val="Strong"/>
        </w:rPr>
      </w:pPr>
      <w:r w:rsidRPr="00FE75CE">
        <w:rPr>
          <w:rStyle w:val="Strong"/>
        </w:rPr>
        <w:t>Manage risks from natural hazards</w:t>
      </w:r>
    </w:p>
    <w:p w:rsidR="00FE75CE" w:rsidRPr="00283CEC" w:rsidRDefault="00FE75CE" w:rsidP="00FE75CE">
      <w:pPr>
        <w:pStyle w:val="Heading4"/>
      </w:pPr>
      <w:r w:rsidRPr="00283CEC">
        <w:t xml:space="preserve">Strategies </w:t>
      </w:r>
      <w:r>
        <w:t>(see Map 17 for further direction)</w:t>
      </w:r>
    </w:p>
    <w:p w:rsidR="00FE75CE" w:rsidRPr="00283CEC" w:rsidRDefault="00FE75CE" w:rsidP="00FE75CE">
      <w:pPr>
        <w:pStyle w:val="btbullet"/>
      </w:pPr>
      <w:r w:rsidRPr="00283CEC">
        <w:t>Direct urban growth away from areas of high risk from bushfire, flood and coastal inundation</w:t>
      </w:r>
    </w:p>
    <w:p w:rsidR="00FE75CE" w:rsidRPr="00283CEC" w:rsidRDefault="00FE75CE" w:rsidP="00FE75CE">
      <w:pPr>
        <w:pStyle w:val="Heading4"/>
      </w:pPr>
      <w:r w:rsidRPr="00283CEC">
        <w:t>Future directions</w:t>
      </w:r>
    </w:p>
    <w:p w:rsidR="00E23461" w:rsidRPr="00FE75CE" w:rsidRDefault="00E23461" w:rsidP="00E23461">
      <w:pPr>
        <w:pStyle w:val="bt"/>
        <w:rPr>
          <w:rStyle w:val="Strong"/>
        </w:rPr>
      </w:pPr>
      <w:r w:rsidRPr="00FE75CE">
        <w:rPr>
          <w:rStyle w:val="Strong"/>
        </w:rPr>
        <w:t>Manage environmental and cultural heritage assets to achieve best outcomes</w:t>
      </w:r>
    </w:p>
    <w:p w:rsidR="00FE75CE" w:rsidRPr="00283CEC" w:rsidRDefault="00FE75CE" w:rsidP="00FE75CE">
      <w:pPr>
        <w:pStyle w:val="Heading4"/>
      </w:pPr>
      <w:r w:rsidRPr="00283CEC">
        <w:t xml:space="preserve">Strategies </w:t>
      </w:r>
      <w:r>
        <w:t>(see Map 17 for further direction)</w:t>
      </w:r>
    </w:p>
    <w:p w:rsidR="00FE75CE" w:rsidRPr="00283CEC" w:rsidRDefault="00FE75CE" w:rsidP="00FE75CE">
      <w:pPr>
        <w:pStyle w:val="btbullet"/>
      </w:pPr>
      <w:r w:rsidRPr="00283CEC">
        <w:t xml:space="preserve">Avoid urban growth impacts in areas with environmental and cultural heritage assets such as waterways, scenic landscapes, and Aboriginal </w:t>
      </w:r>
      <w:r>
        <w:t xml:space="preserve">cultural heritage </w:t>
      </w:r>
      <w:r w:rsidRPr="00283CEC">
        <w:t>and historic heritage places</w:t>
      </w:r>
    </w:p>
    <w:p w:rsidR="00FE75CE" w:rsidRPr="00283CEC" w:rsidRDefault="00FE75CE" w:rsidP="00FE75CE">
      <w:pPr>
        <w:pStyle w:val="btbullet"/>
      </w:pPr>
      <w:r w:rsidRPr="00283CEC">
        <w:t>Support large-scale native vegetation corridor projects</w:t>
      </w:r>
    </w:p>
    <w:p w:rsidR="00FE75CE" w:rsidRPr="00283CEC" w:rsidRDefault="00FE75CE" w:rsidP="00FE75CE">
      <w:pPr>
        <w:pStyle w:val="btbullet"/>
      </w:pPr>
      <w:r w:rsidRPr="00283CEC">
        <w:t>Protect significant inland and coastal landscapes, and cultural heritage assets</w:t>
      </w:r>
    </w:p>
    <w:p w:rsidR="00FE75CE" w:rsidRPr="00283CEC" w:rsidRDefault="00FE75CE" w:rsidP="00FE75CE">
      <w:pPr>
        <w:pStyle w:val="Heading4"/>
      </w:pPr>
      <w:r w:rsidRPr="00283CEC">
        <w:t>Future directions</w:t>
      </w:r>
    </w:p>
    <w:p w:rsidR="00E23461" w:rsidRDefault="00E23461" w:rsidP="00E23461">
      <w:pPr>
        <w:pStyle w:val="bt"/>
        <w:rPr>
          <w:rStyle w:val="Strong"/>
        </w:rPr>
      </w:pPr>
      <w:r w:rsidRPr="00FE75CE">
        <w:rPr>
          <w:rStyle w:val="Strong"/>
        </w:rPr>
        <w:t>Address impacts and opportunities from climate change</w:t>
      </w:r>
    </w:p>
    <w:p w:rsidR="00FE75CE" w:rsidRPr="00283CEC" w:rsidRDefault="00FE75CE" w:rsidP="00FE75CE">
      <w:pPr>
        <w:pStyle w:val="Heading4"/>
      </w:pPr>
      <w:r w:rsidRPr="00283CEC">
        <w:t xml:space="preserve">Strategies </w:t>
      </w:r>
      <w:r>
        <w:t>(see Map 17 for further direction)</w:t>
      </w:r>
    </w:p>
    <w:p w:rsidR="00E23461" w:rsidRPr="00283CEC" w:rsidRDefault="00E23461" w:rsidP="00FE75CE">
      <w:pPr>
        <w:pStyle w:val="btbullet"/>
      </w:pPr>
      <w:r w:rsidRPr="00283CEC">
        <w:t>Monitor, assess and act on potential impacts of climate change</w:t>
      </w:r>
    </w:p>
    <w:p w:rsidR="00E23461" w:rsidRPr="00283CEC" w:rsidRDefault="00E23461" w:rsidP="00FE75CE">
      <w:pPr>
        <w:pStyle w:val="btbullet"/>
      </w:pPr>
      <w:r w:rsidRPr="00283CEC">
        <w:t>Respond to opportunities for innovation and industry development arising from climate change and initiatives to reduce greenhouse gas emissions</w:t>
      </w:r>
    </w:p>
    <w:p w:rsidR="00E23461" w:rsidRPr="00283CEC" w:rsidRDefault="00E23461" w:rsidP="00FE75CE">
      <w:pPr>
        <w:pStyle w:val="btbullet"/>
      </w:pPr>
      <w:r w:rsidRPr="00283CEC">
        <w:t>Support initiatives to undertake adaptation planning for climate change impacts in coastal areas and towns and implement through relevant changes to planning schemes</w:t>
      </w:r>
    </w:p>
    <w:p w:rsidR="00E23461" w:rsidRPr="00283CEC" w:rsidRDefault="00E23461" w:rsidP="00CC3A69">
      <w:pPr>
        <w:pStyle w:val="Heading4"/>
      </w:pPr>
      <w:r w:rsidRPr="00283CEC">
        <w:t>Principle 3</w:t>
      </w:r>
      <w:r w:rsidR="00FE75CE">
        <w:t xml:space="preserve">: </w:t>
      </w:r>
      <w:r w:rsidRPr="00283CEC">
        <w:t>Develop sustainable communities through a settlement framework comprising major urban centres, which ensure residents have convenient access to jobs, services, infrastructure, and community facilities</w:t>
      </w:r>
    </w:p>
    <w:p w:rsidR="00E23461" w:rsidRPr="00283CEC" w:rsidRDefault="00E23461" w:rsidP="00CC3A69">
      <w:pPr>
        <w:pStyle w:val="Heading4"/>
      </w:pPr>
      <w:r w:rsidRPr="00283CEC">
        <w:t>Issues</w:t>
      </w:r>
    </w:p>
    <w:p w:rsidR="00E23461" w:rsidRPr="00283CEC" w:rsidRDefault="00E23461" w:rsidP="00FE75CE">
      <w:pPr>
        <w:pStyle w:val="btbullet"/>
      </w:pPr>
      <w:r w:rsidRPr="00283CEC">
        <w:t>Accommodating population growth and change</w:t>
      </w:r>
    </w:p>
    <w:p w:rsidR="00E23461" w:rsidRPr="00283CEC" w:rsidRDefault="00E23461" w:rsidP="00FE75CE">
      <w:pPr>
        <w:pStyle w:val="btbullet"/>
      </w:pPr>
      <w:r w:rsidRPr="00283CEC">
        <w:t>Access to employment and services</w:t>
      </w:r>
    </w:p>
    <w:p w:rsidR="00E23461" w:rsidRPr="00283CEC" w:rsidRDefault="00E23461" w:rsidP="00FE75CE">
      <w:pPr>
        <w:pStyle w:val="btbullet"/>
      </w:pPr>
      <w:r w:rsidRPr="00283CEC">
        <w:t>Growth pressures vary across region</w:t>
      </w:r>
    </w:p>
    <w:p w:rsidR="00E23461" w:rsidRPr="00283CEC" w:rsidRDefault="00E23461" w:rsidP="00FE75CE">
      <w:pPr>
        <w:pStyle w:val="btbullet"/>
      </w:pPr>
      <w:r w:rsidRPr="00283CEC">
        <w:t>Sea change and commuter pressures close to Melbourne</w:t>
      </w:r>
    </w:p>
    <w:p w:rsidR="00E23461" w:rsidRPr="00283CEC" w:rsidRDefault="00E23461" w:rsidP="00CC3A69">
      <w:pPr>
        <w:pStyle w:val="Heading4"/>
      </w:pPr>
      <w:r w:rsidRPr="00283CEC">
        <w:t>Future directions</w:t>
      </w:r>
    </w:p>
    <w:p w:rsidR="00E23461" w:rsidRPr="00FE75CE" w:rsidRDefault="00E23461" w:rsidP="00E23461">
      <w:pPr>
        <w:pStyle w:val="bt"/>
        <w:rPr>
          <w:rStyle w:val="Strong"/>
        </w:rPr>
      </w:pPr>
      <w:r w:rsidRPr="00FE75CE">
        <w:rPr>
          <w:rStyle w:val="Strong"/>
        </w:rPr>
        <w:t>Sustainable growth and development through a network of settlements</w:t>
      </w:r>
    </w:p>
    <w:p w:rsidR="00FE75CE" w:rsidRPr="00283CEC" w:rsidRDefault="00FE75CE" w:rsidP="00FE75CE">
      <w:pPr>
        <w:pStyle w:val="Heading4"/>
      </w:pPr>
      <w:r w:rsidRPr="00283CEC">
        <w:t xml:space="preserve">Strategies </w:t>
      </w:r>
      <w:r>
        <w:t>(see Map 17 for further direction)</w:t>
      </w:r>
    </w:p>
    <w:p w:rsidR="00066DAB" w:rsidRPr="00283CEC" w:rsidRDefault="00066DAB" w:rsidP="00066DAB">
      <w:pPr>
        <w:pStyle w:val="btbullet"/>
      </w:pPr>
      <w:r w:rsidRPr="00283CEC">
        <w:t>Accommodate urban growth within Latrobe City</w:t>
      </w:r>
      <w:r w:rsidR="00210AA9">
        <w:t xml:space="preserve"> as Gippsland’s regional city, and in regional centres </w:t>
      </w:r>
      <w:r w:rsidRPr="00283CEC">
        <w:t>and sub-region networks of towns</w:t>
      </w:r>
    </w:p>
    <w:p w:rsidR="00066DAB" w:rsidRPr="00283CEC" w:rsidRDefault="00066DAB" w:rsidP="00066DAB">
      <w:pPr>
        <w:pStyle w:val="btbullet"/>
      </w:pPr>
      <w:r w:rsidRPr="00283CEC">
        <w:t>Land use strategies and structure plans to accommodate growth over the next 20 to 30 years</w:t>
      </w:r>
    </w:p>
    <w:p w:rsidR="00066DAB" w:rsidRPr="00283CEC" w:rsidRDefault="00066DAB" w:rsidP="00066DAB">
      <w:pPr>
        <w:pStyle w:val="btbullet"/>
      </w:pPr>
      <w:r w:rsidRPr="00283CEC">
        <w:t>Integrated infrastructure and services plans across the identified sub-regional networks</w:t>
      </w:r>
    </w:p>
    <w:p w:rsidR="00066DAB" w:rsidRPr="00283CEC" w:rsidRDefault="00066DAB" w:rsidP="00066DAB">
      <w:pPr>
        <w:pStyle w:val="btbullet"/>
      </w:pPr>
      <w:r w:rsidRPr="00283CEC">
        <w:t>A strategy for the long-term growth of Latrobe City as a single urban system</w:t>
      </w:r>
    </w:p>
    <w:p w:rsidR="00066DAB" w:rsidRPr="00283CEC" w:rsidRDefault="00066DAB" w:rsidP="00066DAB">
      <w:pPr>
        <w:pStyle w:val="btbullet"/>
      </w:pPr>
      <w:r w:rsidRPr="00283CEC">
        <w:t>Support new urban growth fronts in regional centres where natural risks can be avoided or managed</w:t>
      </w:r>
    </w:p>
    <w:p w:rsidR="00066DAB" w:rsidRPr="00283CEC" w:rsidRDefault="00066DAB" w:rsidP="00066DAB">
      <w:pPr>
        <w:pStyle w:val="btbullet"/>
      </w:pPr>
      <w:r w:rsidRPr="00283CEC">
        <w:t>Manage settlement growth to limit impact on agricultural productivity, natural and earth resources and ecological values</w:t>
      </w:r>
    </w:p>
    <w:p w:rsidR="00066DAB" w:rsidRPr="00283CEC" w:rsidRDefault="00066DAB" w:rsidP="00066DAB">
      <w:pPr>
        <w:pStyle w:val="Heading4"/>
      </w:pPr>
      <w:r w:rsidRPr="00283CEC">
        <w:t>Future directions</w:t>
      </w:r>
    </w:p>
    <w:p w:rsidR="00E23461" w:rsidRPr="00066DAB" w:rsidRDefault="00E23461" w:rsidP="00E23461">
      <w:pPr>
        <w:pStyle w:val="bt"/>
        <w:rPr>
          <w:rStyle w:val="Strong"/>
        </w:rPr>
      </w:pPr>
      <w:r w:rsidRPr="00066DAB">
        <w:rPr>
          <w:rStyle w:val="Strong"/>
        </w:rPr>
        <w:t xml:space="preserve">Settlements </w:t>
      </w:r>
      <w:proofErr w:type="gramStart"/>
      <w:r w:rsidRPr="00066DAB">
        <w:rPr>
          <w:rStyle w:val="Strong"/>
        </w:rPr>
        <w:t>that are</w:t>
      </w:r>
      <w:proofErr w:type="gramEnd"/>
      <w:r w:rsidRPr="00066DAB">
        <w:rPr>
          <w:rStyle w:val="Strong"/>
        </w:rPr>
        <w:t xml:space="preserve"> strong, prosperous and sustainable</w:t>
      </w:r>
    </w:p>
    <w:p w:rsidR="00066DAB" w:rsidRPr="00283CEC" w:rsidRDefault="00066DAB" w:rsidP="00066DAB">
      <w:pPr>
        <w:pStyle w:val="Heading4"/>
      </w:pPr>
      <w:r w:rsidRPr="00283CEC">
        <w:t xml:space="preserve">Strategies </w:t>
      </w:r>
      <w:r>
        <w:t>(see Map 17 for further direction)</w:t>
      </w:r>
    </w:p>
    <w:p w:rsidR="00E23461" w:rsidRPr="00283CEC" w:rsidRDefault="00E23461" w:rsidP="00066DAB">
      <w:pPr>
        <w:pStyle w:val="btbullet"/>
      </w:pPr>
      <w:r w:rsidRPr="00283CEC">
        <w:t>A housing strategy to investigate opportunities to achieve diverse and affordable housing</w:t>
      </w:r>
    </w:p>
    <w:p w:rsidR="00E23461" w:rsidRPr="00283CEC" w:rsidRDefault="00E23461" w:rsidP="00066DAB">
      <w:pPr>
        <w:pStyle w:val="btbullet"/>
      </w:pPr>
      <w:r w:rsidRPr="00283CEC">
        <w:t>Support heritage conservation and urban design initiatives to strengthen liveability and identity</w:t>
      </w:r>
    </w:p>
    <w:p w:rsidR="00E23461" w:rsidRPr="00283CEC" w:rsidRDefault="00E23461" w:rsidP="00066DAB">
      <w:pPr>
        <w:pStyle w:val="btbullet"/>
      </w:pPr>
      <w:r w:rsidRPr="00283CEC">
        <w:t>A strategy to increase demographic diversity and youth retention</w:t>
      </w:r>
    </w:p>
    <w:p w:rsidR="00E23461" w:rsidRPr="00283CEC" w:rsidRDefault="00E23461" w:rsidP="00066DAB">
      <w:pPr>
        <w:pStyle w:val="btbullet"/>
      </w:pPr>
      <w:r w:rsidRPr="00283CEC">
        <w:t>Plan for increased demand on services and infrastructure in towns with high holiday home ownership</w:t>
      </w:r>
    </w:p>
    <w:p w:rsidR="00E23461" w:rsidRPr="00283CEC" w:rsidRDefault="00E23461" w:rsidP="00CC3A69">
      <w:pPr>
        <w:pStyle w:val="Heading4"/>
      </w:pPr>
      <w:r w:rsidRPr="00283CEC">
        <w:t>Principle 4</w:t>
      </w:r>
      <w:r w:rsidR="00066DAB">
        <w:t xml:space="preserve">: </w:t>
      </w:r>
      <w:r w:rsidRPr="00283CEC">
        <w:t>Deliver timely and accessible infrastructure to meet regional needs for transport, utilities and community facilities</w:t>
      </w:r>
    </w:p>
    <w:p w:rsidR="00E23461" w:rsidRPr="00283CEC" w:rsidRDefault="00E23461" w:rsidP="00CC3A69">
      <w:pPr>
        <w:pStyle w:val="Heading4"/>
      </w:pPr>
      <w:r w:rsidRPr="00283CEC">
        <w:t>Issues</w:t>
      </w:r>
    </w:p>
    <w:p w:rsidR="00E23461" w:rsidRPr="00283CEC" w:rsidRDefault="00E23461" w:rsidP="00066DAB">
      <w:pPr>
        <w:pStyle w:val="btbullet"/>
      </w:pPr>
      <w:r w:rsidRPr="00283CEC">
        <w:t>Maintaining infrastructure capacity with growing demand</w:t>
      </w:r>
    </w:p>
    <w:p w:rsidR="00E23461" w:rsidRPr="00283CEC" w:rsidRDefault="00E23461" w:rsidP="00066DAB">
      <w:pPr>
        <w:pStyle w:val="btbullet"/>
      </w:pPr>
      <w:r w:rsidRPr="00283CEC">
        <w:t>Robust rail and road framework</w:t>
      </w:r>
    </w:p>
    <w:p w:rsidR="00E23461" w:rsidRPr="00283CEC" w:rsidRDefault="00E23461" w:rsidP="00066DAB">
      <w:pPr>
        <w:pStyle w:val="btbullet"/>
        <w:rPr>
          <w:strike/>
        </w:rPr>
      </w:pPr>
      <w:r w:rsidRPr="00283CEC">
        <w:t>High dependency on ports and airports outside the region</w:t>
      </w:r>
    </w:p>
    <w:p w:rsidR="00E23461" w:rsidRPr="00283CEC" w:rsidRDefault="00E23461" w:rsidP="00CC3A69">
      <w:pPr>
        <w:pStyle w:val="Heading4"/>
      </w:pPr>
      <w:r w:rsidRPr="00283CEC">
        <w:t>Future directions</w:t>
      </w:r>
    </w:p>
    <w:p w:rsidR="00066DAB" w:rsidRPr="00066DAB" w:rsidRDefault="00E23461" w:rsidP="00066DAB">
      <w:pPr>
        <w:pStyle w:val="Heading4"/>
        <w:rPr>
          <w:rStyle w:val="Strong"/>
          <w:b/>
        </w:rPr>
      </w:pPr>
      <w:r w:rsidRPr="00066DAB">
        <w:rPr>
          <w:rStyle w:val="Strong"/>
          <w:b/>
        </w:rPr>
        <w:t>Access to gas, electricity, drainage, water, sewerage and telecommunications</w:t>
      </w:r>
      <w:r w:rsidR="00066DAB" w:rsidRPr="00066DAB">
        <w:rPr>
          <w:rStyle w:val="Strong"/>
          <w:b/>
        </w:rPr>
        <w:t xml:space="preserve"> </w:t>
      </w:r>
    </w:p>
    <w:p w:rsidR="00066DAB" w:rsidRPr="00283CEC" w:rsidRDefault="00066DAB" w:rsidP="00066DAB">
      <w:pPr>
        <w:pStyle w:val="Heading4"/>
      </w:pPr>
      <w:r w:rsidRPr="00283CEC">
        <w:t xml:space="preserve">Strategies </w:t>
      </w:r>
      <w:r>
        <w:t>(see Map 17 for further direction)</w:t>
      </w:r>
    </w:p>
    <w:p w:rsidR="00066DAB" w:rsidRPr="00283CEC" w:rsidRDefault="00066DAB" w:rsidP="00066DAB">
      <w:pPr>
        <w:pStyle w:val="btbullet"/>
      </w:pPr>
      <w:r w:rsidRPr="00283CEC">
        <w:t>Strategic infrastructure plans to provide utility servicing infrastructure to growth areas, linked to development contribution plans</w:t>
      </w:r>
    </w:p>
    <w:p w:rsidR="00066DAB" w:rsidRPr="00283CEC" w:rsidRDefault="00066DAB" w:rsidP="00066DAB">
      <w:pPr>
        <w:pStyle w:val="Heading4"/>
      </w:pPr>
      <w:r w:rsidRPr="00283CEC">
        <w:t>Future directions</w:t>
      </w:r>
    </w:p>
    <w:p w:rsidR="00066DAB" w:rsidRPr="00066DAB" w:rsidRDefault="00066DAB" w:rsidP="00066DAB">
      <w:pPr>
        <w:pStyle w:val="bt"/>
        <w:rPr>
          <w:rStyle w:val="Strong"/>
        </w:rPr>
      </w:pPr>
      <w:r w:rsidRPr="00066DAB">
        <w:rPr>
          <w:rStyle w:val="Strong"/>
        </w:rPr>
        <w:t>Road, rail and port improvements</w:t>
      </w:r>
    </w:p>
    <w:p w:rsidR="00066DAB" w:rsidRPr="00283CEC" w:rsidRDefault="00066DAB" w:rsidP="00066DAB">
      <w:pPr>
        <w:pStyle w:val="Heading4"/>
      </w:pPr>
      <w:r w:rsidRPr="00283CEC">
        <w:t xml:space="preserve">Strategies </w:t>
      </w:r>
      <w:r>
        <w:t>(see Map 17 for further direction)</w:t>
      </w:r>
    </w:p>
    <w:p w:rsidR="00066DAB" w:rsidRPr="00283CEC" w:rsidRDefault="00066DAB" w:rsidP="00066DAB">
      <w:pPr>
        <w:pStyle w:val="btbullet"/>
      </w:pPr>
      <w:r w:rsidRPr="00283CEC">
        <w:t>Improvements to the road, rail and public transport networks within and beyond Gippsland as population and economic growth increases</w:t>
      </w:r>
    </w:p>
    <w:p w:rsidR="00066DAB" w:rsidRPr="00283CEC" w:rsidRDefault="00066DAB" w:rsidP="00066DAB">
      <w:pPr>
        <w:pStyle w:val="btbullet"/>
      </w:pPr>
      <w:r w:rsidRPr="00283CEC">
        <w:t>Investigate opportunities for improved rail and road connections to the Port of Hastings and other freight and logistic precincts</w:t>
      </w:r>
    </w:p>
    <w:p w:rsidR="00066DAB" w:rsidRPr="00283CEC" w:rsidRDefault="00066DAB" w:rsidP="00066DAB">
      <w:pPr>
        <w:pStyle w:val="btbullet"/>
      </w:pPr>
      <w:r w:rsidRPr="00283CEC">
        <w:t>Support development of freight and logistics precincts in Morwell and Bairnsdale</w:t>
      </w:r>
    </w:p>
    <w:p w:rsidR="00066DAB" w:rsidRPr="00283CEC" w:rsidRDefault="00066DAB" w:rsidP="00066DAB">
      <w:pPr>
        <w:pStyle w:val="Heading4"/>
      </w:pPr>
      <w:r w:rsidRPr="00283CEC">
        <w:t>Future directions</w:t>
      </w:r>
    </w:p>
    <w:p w:rsidR="00E23461" w:rsidRPr="00066DAB" w:rsidRDefault="00E23461" w:rsidP="00E23461">
      <w:pPr>
        <w:pStyle w:val="bt"/>
        <w:rPr>
          <w:rStyle w:val="Strong"/>
        </w:rPr>
      </w:pPr>
      <w:r w:rsidRPr="00066DAB">
        <w:rPr>
          <w:rStyle w:val="Strong"/>
        </w:rPr>
        <w:t>Health, education, cultural and sporting facilities to meet local needs</w:t>
      </w:r>
    </w:p>
    <w:p w:rsidR="00066DAB" w:rsidRPr="00283CEC" w:rsidRDefault="00066DAB" w:rsidP="00066DAB">
      <w:pPr>
        <w:pStyle w:val="Heading4"/>
      </w:pPr>
      <w:r w:rsidRPr="00283CEC">
        <w:t xml:space="preserve">Strategies </w:t>
      </w:r>
      <w:r>
        <w:t>(see Map 17 for further direction)</w:t>
      </w:r>
    </w:p>
    <w:p w:rsidR="00E23461" w:rsidRPr="00283CEC" w:rsidRDefault="00E23461" w:rsidP="00066DAB">
      <w:pPr>
        <w:pStyle w:val="btbullet"/>
      </w:pPr>
      <w:r w:rsidRPr="00283CEC">
        <w:t xml:space="preserve">Regional social infrastructure in the regional city and </w:t>
      </w:r>
      <w:r w:rsidR="006C4465">
        <w:t xml:space="preserve">regional </w:t>
      </w:r>
      <w:r w:rsidRPr="00283CEC">
        <w:t>centres</w:t>
      </w:r>
    </w:p>
    <w:p w:rsidR="00FC22AE" w:rsidRPr="009E6AEE" w:rsidRDefault="006B4F4E" w:rsidP="009E6AEE">
      <w:pPr>
        <w:pStyle w:val="bt"/>
      </w:pPr>
      <w:bookmarkStart w:id="127" w:name="_Ref355960423"/>
      <w:bookmarkStart w:id="128" w:name="_Toc374361117"/>
      <w:r w:rsidRPr="009E6AEE">
        <w:t>Map</w:t>
      </w:r>
      <w:bookmarkEnd w:id="127"/>
      <w:r w:rsidR="00AD704A">
        <w:t xml:space="preserve"> 17</w:t>
      </w:r>
      <w:r w:rsidR="009E6AEE">
        <w:t xml:space="preserve"> is located here in the document and it shows -</w:t>
      </w:r>
      <w:r w:rsidR="00B46805" w:rsidRPr="009E6AEE">
        <w:t xml:space="preserve"> </w:t>
      </w:r>
      <w:r w:rsidRPr="009E6AEE">
        <w:t xml:space="preserve">Gippsland </w:t>
      </w:r>
      <w:r w:rsidR="00312554" w:rsidRPr="009E6AEE">
        <w:t>r</w:t>
      </w:r>
      <w:r w:rsidRPr="009E6AEE">
        <w:t xml:space="preserve">egional </w:t>
      </w:r>
      <w:r w:rsidR="00312554" w:rsidRPr="009E6AEE">
        <w:t>g</w:t>
      </w:r>
      <w:r w:rsidRPr="009E6AEE">
        <w:t>rowth</w:t>
      </w:r>
      <w:r w:rsidR="00B46805" w:rsidRPr="009E6AEE">
        <w:t xml:space="preserve"> plan</w:t>
      </w:r>
      <w:bookmarkEnd w:id="128"/>
    </w:p>
    <w:p w:rsidR="005178B8" w:rsidRDefault="005178B8" w:rsidP="002C3AF4">
      <w:pPr>
        <w:pStyle w:val="Heading1"/>
        <w:sectPr w:rsidR="005178B8" w:rsidSect="00DF7F41">
          <w:headerReference w:type="default" r:id="rId25"/>
          <w:type w:val="continuous"/>
          <w:pgSz w:w="11906" w:h="16838"/>
          <w:pgMar w:top="1440" w:right="1440" w:bottom="993" w:left="1440" w:header="709" w:footer="708" w:gutter="0"/>
          <w:cols w:space="708"/>
          <w:docGrid w:linePitch="360"/>
        </w:sectPr>
      </w:pPr>
      <w:bookmarkStart w:id="129" w:name="_Toc336871237"/>
      <w:bookmarkStart w:id="130" w:name="_Toc376791259"/>
    </w:p>
    <w:p w:rsidR="004C47F5" w:rsidRPr="00283CEC" w:rsidRDefault="004C47F5" w:rsidP="002C3AF4">
      <w:pPr>
        <w:pStyle w:val="Heading1"/>
      </w:pPr>
      <w:r w:rsidRPr="00283CEC">
        <w:t>PART E</w:t>
      </w:r>
      <w:r w:rsidR="00E5661A" w:rsidRPr="00283CEC">
        <w:t>:</w:t>
      </w:r>
      <w:r w:rsidRPr="00283CEC">
        <w:tab/>
        <w:t>D</w:t>
      </w:r>
      <w:bookmarkEnd w:id="129"/>
      <w:r w:rsidR="009B6188" w:rsidRPr="00283CEC">
        <w:t>ELIVERING REGIONAL GROWTH</w:t>
      </w:r>
      <w:bookmarkEnd w:id="130"/>
    </w:p>
    <w:p w:rsidR="004C47F5" w:rsidRPr="00283CEC" w:rsidRDefault="004C47F5" w:rsidP="007370A3">
      <w:pPr>
        <w:pStyle w:val="Heading11"/>
      </w:pPr>
      <w:bookmarkStart w:id="131" w:name="_Toc336871238"/>
      <w:bookmarkStart w:id="132" w:name="_Toc376791260"/>
      <w:r w:rsidRPr="00283CEC">
        <w:t>Implementation</w:t>
      </w:r>
      <w:bookmarkEnd w:id="131"/>
      <w:bookmarkEnd w:id="132"/>
    </w:p>
    <w:p w:rsidR="00E473CA" w:rsidRPr="00283CEC" w:rsidRDefault="00E473CA" w:rsidP="007370A3">
      <w:pPr>
        <w:pStyle w:val="Heading2"/>
        <w:rPr>
          <w:color w:val="auto"/>
        </w:rPr>
      </w:pPr>
      <w:bookmarkStart w:id="133" w:name="_Toc371582841"/>
      <w:bookmarkStart w:id="134" w:name="_Toc371950943"/>
      <w:bookmarkStart w:id="135" w:name="_Toc376791261"/>
      <w:bookmarkStart w:id="136" w:name="_Toc357587584"/>
      <w:r w:rsidRPr="00283CEC">
        <w:rPr>
          <w:color w:val="auto"/>
        </w:rPr>
        <w:t>Planning schemes</w:t>
      </w:r>
      <w:bookmarkEnd w:id="133"/>
      <w:bookmarkEnd w:id="134"/>
      <w:bookmarkEnd w:id="135"/>
    </w:p>
    <w:p w:rsidR="009977EB" w:rsidRPr="00283CEC" w:rsidRDefault="00E473CA" w:rsidP="009977EB">
      <w:pPr>
        <w:pStyle w:val="bt"/>
      </w:pPr>
      <w:r w:rsidRPr="00283CEC">
        <w:t>The Gippsland Regional Growth Plan will have status as part of the Victoria Planning Provisions and planning schemes. This will give the plan’s strategic directions status in each local government area’s planning scheme.</w:t>
      </w:r>
    </w:p>
    <w:p w:rsidR="009977EB" w:rsidRPr="00283CEC" w:rsidRDefault="00E473CA" w:rsidP="009977EB">
      <w:pPr>
        <w:pStyle w:val="bt"/>
      </w:pPr>
      <w:r w:rsidRPr="00283CEC">
        <w:t xml:space="preserve">The Gippsland region councils will work in partnership with </w:t>
      </w:r>
      <w:r w:rsidR="00CD6DFD" w:rsidRPr="00283CEC">
        <w:t xml:space="preserve">State Government </w:t>
      </w:r>
      <w:r w:rsidRPr="00283CEC">
        <w:t>to facilitate the required planning scheme amendment process and content as an immediate priority.</w:t>
      </w:r>
    </w:p>
    <w:p w:rsidR="00A9228B" w:rsidRPr="00283CEC" w:rsidRDefault="00A9228B" w:rsidP="009977EB">
      <w:pPr>
        <w:pStyle w:val="bt"/>
      </w:pPr>
      <w:r w:rsidRPr="00283CEC">
        <w:t xml:space="preserve">An Advisory Committee has been appointed to conduct a review of the State Planning Policy Framework in order to deliver regional growth plans and other major </w:t>
      </w:r>
      <w:r w:rsidR="004C1B61">
        <w:t>planning policies</w:t>
      </w:r>
      <w:r w:rsidR="003A4E6C">
        <w:t xml:space="preserve">, </w:t>
      </w:r>
      <w:r w:rsidR="004C1B61">
        <w:t>such as the m</w:t>
      </w:r>
      <w:r w:rsidRPr="00283CEC">
        <w:t xml:space="preserve">etropolitan </w:t>
      </w:r>
      <w:r w:rsidR="004C1B61">
        <w:t>planning s</w:t>
      </w:r>
      <w:r w:rsidRPr="00283CEC">
        <w:t>trategy</w:t>
      </w:r>
      <w:r w:rsidR="004C1B61">
        <w:t xml:space="preserve">, </w:t>
      </w:r>
      <w:r w:rsidR="004C1B61" w:rsidRPr="004C1B61">
        <w:rPr>
          <w:i/>
        </w:rPr>
        <w:t>Plan Melbourne</w:t>
      </w:r>
      <w:r w:rsidRPr="00283CEC">
        <w:t>.</w:t>
      </w:r>
    </w:p>
    <w:p w:rsidR="009977EB" w:rsidRPr="00283CEC" w:rsidRDefault="00E473CA" w:rsidP="009977EB">
      <w:pPr>
        <w:pStyle w:val="bt"/>
      </w:pPr>
      <w:r w:rsidRPr="00283CEC">
        <w:t>The plan will guide and inform future strategic planning across the Gippsland region, including future reviews of each council’s Municipal Strategic Statement. The plan will help provide justification for future planning scheme amendments that are consistent with the plan.</w:t>
      </w:r>
    </w:p>
    <w:p w:rsidR="00E473CA" w:rsidRPr="00283CEC" w:rsidRDefault="00E473CA" w:rsidP="00E473CA">
      <w:pPr>
        <w:pStyle w:val="bt"/>
      </w:pPr>
      <w:r w:rsidRPr="00283CEC">
        <w:t xml:space="preserve">This plan will provide councils with a clearer regional land use context to inform and influence future local strategic planning, planning scheme amendments and local decisions. As the plan indicates preferred locations for future urban development and valued areas for protection, it can be used as a high level context for regional and local infrastructure planning and investment. </w:t>
      </w:r>
    </w:p>
    <w:p w:rsidR="006030C9" w:rsidRPr="00283CEC" w:rsidRDefault="00E473CA" w:rsidP="006030C9">
      <w:pPr>
        <w:pStyle w:val="bt"/>
      </w:pPr>
      <w:r w:rsidRPr="00283CEC">
        <w:t xml:space="preserve">The plan establishes a context for growth and settlement planning </w:t>
      </w:r>
      <w:r w:rsidR="00CD6DFD" w:rsidRPr="00283CEC">
        <w:t xml:space="preserve">that </w:t>
      </w:r>
      <w:r w:rsidRPr="00283CEC">
        <w:t xml:space="preserve">can inform and assist in frameworks for town and city growth plans and infrastructure requirements. This more detailed level of planning will continue in partnership between local and state government planning authorities. Careful monitoring of urban projects, land development and population change during the life of the plan will be established to assist in its delivery. </w:t>
      </w:r>
    </w:p>
    <w:p w:rsidR="00E473CA" w:rsidRPr="00283CEC" w:rsidRDefault="00F67666" w:rsidP="007370A3">
      <w:pPr>
        <w:pStyle w:val="Heading2"/>
        <w:rPr>
          <w:color w:val="auto"/>
        </w:rPr>
      </w:pPr>
      <w:bookmarkStart w:id="137" w:name="_Toc376791262"/>
      <w:r>
        <w:rPr>
          <w:color w:val="000000"/>
        </w:rPr>
        <w:t>Links to Regional Strategic Plan implementation</w:t>
      </w:r>
      <w:bookmarkEnd w:id="137"/>
    </w:p>
    <w:p w:rsidR="00E473CA" w:rsidRPr="00283CEC" w:rsidRDefault="00E010D2" w:rsidP="00E473CA">
      <w:pPr>
        <w:rPr>
          <w:rFonts w:asciiTheme="minorHAnsi" w:hAnsiTheme="minorHAnsi" w:cstheme="minorHAnsi"/>
          <w:sz w:val="20"/>
          <w:szCs w:val="20"/>
        </w:rPr>
      </w:pPr>
      <w:r w:rsidRPr="00283CEC">
        <w:rPr>
          <w:rFonts w:asciiTheme="minorHAnsi" w:hAnsiTheme="minorHAnsi" w:cstheme="minorHAnsi"/>
          <w:sz w:val="20"/>
          <w:szCs w:val="20"/>
        </w:rPr>
        <w:t xml:space="preserve">The plan is closely aligned with </w:t>
      </w:r>
      <w:r w:rsidR="00A9228B" w:rsidRPr="00283CEC">
        <w:rPr>
          <w:rFonts w:asciiTheme="minorHAnsi" w:hAnsiTheme="minorHAnsi" w:cstheme="minorHAnsi"/>
          <w:sz w:val="20"/>
          <w:szCs w:val="20"/>
        </w:rPr>
        <w:t xml:space="preserve">the </w:t>
      </w:r>
      <w:r w:rsidRPr="00283CEC">
        <w:rPr>
          <w:rFonts w:asciiTheme="minorHAnsi" w:hAnsiTheme="minorHAnsi" w:cstheme="minorHAnsi"/>
          <w:sz w:val="20"/>
          <w:szCs w:val="20"/>
        </w:rPr>
        <w:t xml:space="preserve">strategic framework established by the Gippsland Regional Plan.  Implementation of this plan will also be considered in relation to other ongoing work to implement the strategic directions of the Gippsland Regional Plan. </w:t>
      </w:r>
      <w:r w:rsidR="006B4F4E" w:rsidRPr="00283CEC">
        <w:rPr>
          <w:rFonts w:asciiTheme="minorHAnsi" w:hAnsiTheme="minorHAnsi" w:cstheme="minorHAnsi"/>
          <w:sz w:val="20"/>
          <w:szCs w:val="20"/>
        </w:rPr>
        <w:t>This will strengthen the capacity for achieving shared objectives and targeting efforts to secure endorsement and funding for the highest priorities in the region.</w:t>
      </w:r>
    </w:p>
    <w:p w:rsidR="00E473CA" w:rsidRPr="00283CEC" w:rsidRDefault="006B4F4E" w:rsidP="00E473CA">
      <w:pPr>
        <w:rPr>
          <w:rFonts w:asciiTheme="minorHAnsi" w:hAnsiTheme="minorHAnsi" w:cstheme="minorHAnsi"/>
          <w:sz w:val="20"/>
          <w:szCs w:val="20"/>
        </w:rPr>
      </w:pPr>
      <w:r w:rsidRPr="00283CEC">
        <w:rPr>
          <w:rFonts w:asciiTheme="minorHAnsi" w:hAnsiTheme="minorHAnsi" w:cstheme="minorHAnsi"/>
          <w:sz w:val="20"/>
          <w:szCs w:val="20"/>
        </w:rPr>
        <w:t xml:space="preserve">Further, opportunities for implementation of key directions and actions expressed in this plan will be explored with the </w:t>
      </w:r>
      <w:r w:rsidR="00E473CA" w:rsidRPr="00283CEC">
        <w:rPr>
          <w:rFonts w:asciiTheme="minorHAnsi" w:hAnsiTheme="minorHAnsi" w:cstheme="minorHAnsi"/>
          <w:sz w:val="20"/>
          <w:szCs w:val="20"/>
        </w:rPr>
        <w:t>councils, state and federal governments,</w:t>
      </w:r>
      <w:r w:rsidRPr="00283CEC">
        <w:rPr>
          <w:rFonts w:asciiTheme="minorHAnsi" w:hAnsiTheme="minorHAnsi" w:cstheme="minorHAnsi"/>
          <w:sz w:val="20"/>
          <w:szCs w:val="20"/>
        </w:rPr>
        <w:t xml:space="preserve"> and the Gippsland Regional Development Australia </w:t>
      </w:r>
      <w:r w:rsidR="00E473CA" w:rsidRPr="00283CEC">
        <w:rPr>
          <w:rFonts w:asciiTheme="minorHAnsi" w:hAnsiTheme="minorHAnsi" w:cstheme="minorHAnsi"/>
          <w:sz w:val="20"/>
          <w:szCs w:val="20"/>
        </w:rPr>
        <w:t>Committee</w:t>
      </w:r>
      <w:r w:rsidRPr="00283CEC">
        <w:rPr>
          <w:rFonts w:asciiTheme="minorHAnsi" w:hAnsiTheme="minorHAnsi" w:cstheme="minorHAnsi"/>
          <w:sz w:val="20"/>
          <w:szCs w:val="20"/>
        </w:rPr>
        <w:t xml:space="preserve">. It is appropriate to facilitate and ensure alignment between the regional growth plan and the regional plan in order to promote outcomes that are consistent with common directions expressed in each plan. </w:t>
      </w:r>
    </w:p>
    <w:p w:rsidR="00E473CA" w:rsidRPr="00283CEC" w:rsidRDefault="00E473CA" w:rsidP="007370A3">
      <w:pPr>
        <w:pStyle w:val="Heading2"/>
        <w:rPr>
          <w:color w:val="auto"/>
        </w:rPr>
      </w:pPr>
      <w:bookmarkStart w:id="138" w:name="_Toc371582843"/>
      <w:bookmarkStart w:id="139" w:name="_Toc371950945"/>
      <w:bookmarkStart w:id="140" w:name="_Toc376791263"/>
      <w:r w:rsidRPr="00283CEC">
        <w:rPr>
          <w:color w:val="auto"/>
        </w:rPr>
        <w:t>A plan for implementation of actions</w:t>
      </w:r>
      <w:bookmarkEnd w:id="138"/>
      <w:bookmarkEnd w:id="139"/>
      <w:bookmarkEnd w:id="140"/>
    </w:p>
    <w:p w:rsidR="00E473CA" w:rsidRPr="00283CEC" w:rsidRDefault="00E473CA" w:rsidP="00E473CA">
      <w:pPr>
        <w:rPr>
          <w:rFonts w:asciiTheme="minorHAnsi" w:hAnsiTheme="minorHAnsi" w:cstheme="minorHAnsi"/>
          <w:sz w:val="20"/>
          <w:szCs w:val="20"/>
        </w:rPr>
      </w:pPr>
      <w:r w:rsidRPr="00283CEC">
        <w:rPr>
          <w:rFonts w:asciiTheme="minorHAnsi" w:hAnsiTheme="minorHAnsi" w:cstheme="minorHAnsi"/>
          <w:sz w:val="20"/>
          <w:szCs w:val="20"/>
        </w:rPr>
        <w:t>Implementation of this plan is critical to achieve its strategic directions for growth and change. An implementation plan will ensure that the region is able to respond to key regional challenges and strategic directions of the plan relating to infrastructure provision, key asset protection and</w:t>
      </w:r>
      <w:r w:rsidR="000B6588">
        <w:rPr>
          <w:rFonts w:asciiTheme="minorHAnsi" w:hAnsiTheme="minorHAnsi" w:cstheme="minorHAnsi"/>
          <w:sz w:val="20"/>
          <w:szCs w:val="20"/>
        </w:rPr>
        <w:t xml:space="preserve"> management of future growth.</w:t>
      </w:r>
    </w:p>
    <w:p w:rsidR="00E473CA" w:rsidRPr="00283CEC" w:rsidRDefault="00E473CA" w:rsidP="00E473CA">
      <w:pPr>
        <w:pStyle w:val="bt"/>
      </w:pPr>
      <w:r w:rsidRPr="00283CEC">
        <w:t>Short-term implementation priorities include:</w:t>
      </w:r>
    </w:p>
    <w:p w:rsidR="00E473CA" w:rsidRPr="00283CEC" w:rsidRDefault="00E473CA" w:rsidP="00767431">
      <w:pPr>
        <w:pStyle w:val="btbullet"/>
      </w:pPr>
      <w:r w:rsidRPr="00283CEC">
        <w:t>Amend</w:t>
      </w:r>
      <w:r w:rsidR="00CD6DFD" w:rsidRPr="00283CEC">
        <w:t>ing</w:t>
      </w:r>
      <w:r w:rsidRPr="00283CEC">
        <w:t xml:space="preserve"> council planning schemes to align with the key elements of this plan, and </w:t>
      </w:r>
      <w:r w:rsidR="00CD6DFD" w:rsidRPr="00283CEC">
        <w:t xml:space="preserve">providing </w:t>
      </w:r>
      <w:r w:rsidRPr="00283CEC">
        <w:t>a resource to guide and inform future strategic planning work across the region</w:t>
      </w:r>
      <w:r w:rsidR="00CD6DFD" w:rsidRPr="00283CEC">
        <w:t>,</w:t>
      </w:r>
      <w:r w:rsidRPr="00283CEC">
        <w:t xml:space="preserve"> including future reviews of each council’s </w:t>
      </w:r>
      <w:r w:rsidR="00CD6DFD" w:rsidRPr="00283CEC">
        <w:t>Municipal Strategic Statement</w:t>
      </w:r>
      <w:r w:rsidR="00E71C80" w:rsidRPr="00283CEC">
        <w:t>.</w:t>
      </w:r>
    </w:p>
    <w:p w:rsidR="00E473CA" w:rsidRPr="00283CEC" w:rsidRDefault="00E473CA" w:rsidP="00767431">
      <w:pPr>
        <w:pStyle w:val="btbullet"/>
      </w:pPr>
      <w:r w:rsidRPr="00283CEC">
        <w:t>Develop</w:t>
      </w:r>
      <w:r w:rsidR="00CD6DFD" w:rsidRPr="00283CEC">
        <w:t>ing</w:t>
      </w:r>
      <w:r w:rsidRPr="00283CEC">
        <w:t xml:space="preserve"> a detailed implementation plan including strategy actions, timeframes and delivery responsibilities for action items. The implementation plan will also provide greater certainty on regional infrastructure investment priorities to inform future decision</w:t>
      </w:r>
      <w:r w:rsidR="00CD6DFD" w:rsidRPr="00283CEC">
        <w:t xml:space="preserve"> </w:t>
      </w:r>
      <w:r w:rsidRPr="00283CEC">
        <w:t xml:space="preserve">making about growth and change. Preparation of the </w:t>
      </w:r>
      <w:r w:rsidR="001F12CC" w:rsidRPr="00283CEC">
        <w:t>I</w:t>
      </w:r>
      <w:r w:rsidRPr="00283CEC">
        <w:t xml:space="preserve">mplementation </w:t>
      </w:r>
      <w:r w:rsidR="001F12CC" w:rsidRPr="00283CEC">
        <w:t>P</w:t>
      </w:r>
      <w:r w:rsidRPr="00283CEC">
        <w:t>lan will involve working with councils, state government departments and infrastructure and service delivery agencies</w:t>
      </w:r>
      <w:r w:rsidR="00E71C80" w:rsidRPr="00283CEC">
        <w:t>.</w:t>
      </w:r>
    </w:p>
    <w:p w:rsidR="00E473CA" w:rsidRPr="00283CEC" w:rsidRDefault="00E473CA" w:rsidP="00767431">
      <w:pPr>
        <w:pStyle w:val="btbullet"/>
      </w:pPr>
      <w:r w:rsidRPr="00283CEC">
        <w:t>Work</w:t>
      </w:r>
      <w:r w:rsidR="00CD6DFD" w:rsidRPr="00283CEC">
        <w:t>ing</w:t>
      </w:r>
      <w:r w:rsidRPr="00283CEC">
        <w:t xml:space="preserve"> with regional governance groups to coordinate their work plans and priorities to deliver the strategic directions of the plan. Currently these groups include the Gippsland Local Government Network </w:t>
      </w:r>
      <w:r w:rsidR="00A9228B" w:rsidRPr="00283CEC">
        <w:t xml:space="preserve">and the </w:t>
      </w:r>
      <w:r w:rsidRPr="00283CEC">
        <w:t>Gippsland Regional Plan Leadership Group. The continued involvement of other organisations and bodies such as the Gippsland Coastal Board will also be important to realise the vision and aims of the plan</w:t>
      </w:r>
      <w:r w:rsidR="00E71C80" w:rsidRPr="00283CEC">
        <w:t>.</w:t>
      </w:r>
    </w:p>
    <w:p w:rsidR="00E473CA" w:rsidRPr="00283CEC" w:rsidRDefault="00E473CA" w:rsidP="00E473CA">
      <w:pPr>
        <w:pStyle w:val="bt"/>
        <w:rPr>
          <w:szCs w:val="20"/>
        </w:rPr>
      </w:pPr>
      <w:r w:rsidRPr="00283CEC">
        <w:t xml:space="preserve">There are a number of strategies and projects already identified by the region and some of these are underway or have committed funding in place. Supporting delivery of these projects, advocating for funding and leveraging across all levels of government will progress the region’s identified priorities and help implement this plan. </w:t>
      </w:r>
    </w:p>
    <w:p w:rsidR="00E473CA" w:rsidRPr="00283CEC" w:rsidRDefault="00E473CA" w:rsidP="00E473CA">
      <w:pPr>
        <w:pStyle w:val="bt"/>
        <w:rPr>
          <w:szCs w:val="20"/>
        </w:rPr>
      </w:pPr>
      <w:r w:rsidRPr="00283CEC">
        <w:rPr>
          <w:szCs w:val="20"/>
        </w:rPr>
        <w:t>Projects with current funding include:</w:t>
      </w:r>
    </w:p>
    <w:p w:rsidR="00E473CA" w:rsidRPr="00283CEC" w:rsidRDefault="00E473CA" w:rsidP="00767431">
      <w:pPr>
        <w:pStyle w:val="btbullet"/>
      </w:pPr>
      <w:r w:rsidRPr="00283CEC">
        <w:t xml:space="preserve">Port of Hastings – $110 million funding is committed to continue planning and design work to expand the Port of Hastings as Victoria’s second container port. </w:t>
      </w:r>
    </w:p>
    <w:p w:rsidR="00E473CA" w:rsidRPr="00283CEC" w:rsidRDefault="00E473CA" w:rsidP="00767431">
      <w:pPr>
        <w:pStyle w:val="btbullet"/>
      </w:pPr>
      <w:r w:rsidRPr="00283CEC">
        <w:t>Macalister Irrigation District – $16 million in funding announced to provide upgrades aimed at improving efficiency and waterway health.</w:t>
      </w:r>
    </w:p>
    <w:p w:rsidR="00E473CA" w:rsidRPr="00283CEC" w:rsidRDefault="00E473CA" w:rsidP="00767431">
      <w:pPr>
        <w:pStyle w:val="btbullet"/>
      </w:pPr>
      <w:r w:rsidRPr="00283CEC">
        <w:t>Latrobe Valley Industry and Employment Roadmap – $30 million has been committed for various initiatives to support transition and economic diversification.</w:t>
      </w:r>
    </w:p>
    <w:p w:rsidR="00661686" w:rsidRPr="00283CEC" w:rsidRDefault="00661686" w:rsidP="00767431">
      <w:pPr>
        <w:pStyle w:val="btbullet"/>
      </w:pPr>
      <w:r w:rsidRPr="00283CEC">
        <w:t xml:space="preserve">Warragul Rail Precinct Upgrade </w:t>
      </w:r>
      <w:r w:rsidR="00F111D0" w:rsidRPr="00283CEC">
        <w:t xml:space="preserve">– </w:t>
      </w:r>
      <w:r w:rsidRPr="00283CEC">
        <w:t>$26 million has been provided to improve pedestrian links, public transport access and car parking capacity at the station.</w:t>
      </w:r>
    </w:p>
    <w:p w:rsidR="00C10D8A" w:rsidRPr="00283CEC" w:rsidRDefault="00661686" w:rsidP="00767431">
      <w:pPr>
        <w:pStyle w:val="btbullet"/>
      </w:pPr>
      <w:r w:rsidRPr="00283CEC">
        <w:t xml:space="preserve"> </w:t>
      </w:r>
      <w:r w:rsidR="00C31A55" w:rsidRPr="00283CEC">
        <w:t xml:space="preserve">Gippsland rail line investment </w:t>
      </w:r>
      <w:r w:rsidR="00F111D0" w:rsidRPr="00283CEC">
        <w:t xml:space="preserve">– </w:t>
      </w:r>
      <w:r w:rsidR="00C31A55" w:rsidRPr="00283CEC">
        <w:t xml:space="preserve">$8 million </w:t>
      </w:r>
      <w:r w:rsidR="00F111D0" w:rsidRPr="00283CEC">
        <w:t xml:space="preserve">has been provided </w:t>
      </w:r>
      <w:r w:rsidR="00C31A55" w:rsidRPr="00283CEC">
        <w:t xml:space="preserve">for track technology east of Traralgon to improve safety and continuation of train services. </w:t>
      </w:r>
    </w:p>
    <w:p w:rsidR="00E473CA" w:rsidRPr="00283CEC" w:rsidRDefault="00E473CA" w:rsidP="00767431">
      <w:pPr>
        <w:pStyle w:val="btbullet"/>
      </w:pPr>
      <w:r w:rsidRPr="00283CEC">
        <w:t>CarbonNet – the project aims to capture carbon emissions from power plants, industrial processes and new coal-based industries in the Latrobe Valley for storage in geological basins. The federal and state governments have provided combined funding of $100 million to support feasibility work.</w:t>
      </w:r>
    </w:p>
    <w:p w:rsidR="00E473CA" w:rsidRPr="00283CEC" w:rsidRDefault="00E473CA" w:rsidP="00767431">
      <w:pPr>
        <w:pStyle w:val="btbullet"/>
      </w:pPr>
      <w:r w:rsidRPr="00283CEC">
        <w:rPr>
          <w:rStyle w:val="Emphasis"/>
          <w:i w:val="0"/>
        </w:rPr>
        <w:t>Gippsland Lakes Environment Strateg</w:t>
      </w:r>
      <w:r w:rsidRPr="00283CEC">
        <w:t>y – aimed at improving the environmental health of the Gippsland Lakes and protecting this important asset for its environmental, recreational and economic value. Funding of $10 million over four years has been committed for environmental projects.</w:t>
      </w:r>
    </w:p>
    <w:p w:rsidR="00661686" w:rsidRPr="00283CEC" w:rsidRDefault="00661686" w:rsidP="00767431">
      <w:pPr>
        <w:pStyle w:val="btbullet"/>
      </w:pPr>
      <w:r w:rsidRPr="00283CEC">
        <w:t>Princes Highway duplication (Traralgon to Sale) – $175 million has been committed for the corridor upgrade to improve safety and reduce travel time for passengers and freight across the region.</w:t>
      </w:r>
    </w:p>
    <w:p w:rsidR="00E473CA" w:rsidRPr="00283CEC" w:rsidRDefault="00E473CA" w:rsidP="00767431">
      <w:pPr>
        <w:pStyle w:val="btbullet"/>
      </w:pPr>
      <w:r w:rsidRPr="00283CEC">
        <w:t xml:space="preserve">Road corridors </w:t>
      </w:r>
      <w:r w:rsidR="00312276" w:rsidRPr="00283CEC">
        <w:t xml:space="preserve">– </w:t>
      </w:r>
      <w:r w:rsidRPr="00283CEC">
        <w:t>$7 million has been committed t</w:t>
      </w:r>
      <w:r w:rsidR="00312276" w:rsidRPr="00283CEC">
        <w:t>o</w:t>
      </w:r>
      <w:r w:rsidRPr="00283CEC">
        <w:t xml:space="preserve"> complete </w:t>
      </w:r>
      <w:r w:rsidR="00312276" w:rsidRPr="00283CEC">
        <w:t xml:space="preserve">the </w:t>
      </w:r>
      <w:r w:rsidRPr="00283CEC">
        <w:t>sealing of the Omeo Highway.</w:t>
      </w:r>
    </w:p>
    <w:p w:rsidR="00E473CA" w:rsidRPr="00283CEC" w:rsidRDefault="00E473CA" w:rsidP="00E473CA">
      <w:pPr>
        <w:pStyle w:val="bt"/>
      </w:pPr>
      <w:r w:rsidRPr="00283CEC">
        <w:t>While located outside Gippsland, there are potential benefits for the region stemming from the following projects that form part of the Victorian Government’s submission</w:t>
      </w:r>
      <w:bookmarkStart w:id="141" w:name="_GoBack"/>
      <w:bookmarkEnd w:id="141"/>
      <w:r w:rsidRPr="00283CEC">
        <w:t xml:space="preserve"> to Infrastructure Australia:</w:t>
      </w:r>
    </w:p>
    <w:p w:rsidR="00E473CA" w:rsidRPr="00283CEC" w:rsidRDefault="00E473CA" w:rsidP="00767431">
      <w:pPr>
        <w:pStyle w:val="btbullet"/>
      </w:pPr>
      <w:r w:rsidRPr="00283CEC">
        <w:t>East West Link – this would improve freight movement from Gippsland to the Port of Melbourne and the M80 Ring Road.</w:t>
      </w:r>
    </w:p>
    <w:p w:rsidR="00E473CA" w:rsidRPr="00283CEC" w:rsidRDefault="00E473CA" w:rsidP="00767431">
      <w:pPr>
        <w:pStyle w:val="btbullet"/>
      </w:pPr>
      <w:r w:rsidRPr="00283CEC">
        <w:t>Dandenong Rail Capacity Program – this would facilitate improved rail capacity between Gippsland and metropolitan Melbourne.</w:t>
      </w:r>
    </w:p>
    <w:p w:rsidR="006D09F5" w:rsidRPr="00283CEC" w:rsidRDefault="00E473CA" w:rsidP="00767431">
      <w:pPr>
        <w:pStyle w:val="btbullet"/>
      </w:pPr>
      <w:r w:rsidRPr="00283CEC">
        <w:t xml:space="preserve">North East Link – this would provide for freight movement and improved access from Gippsland to major industrial areas and interstate road connections including the Hume Freeway. </w:t>
      </w:r>
    </w:p>
    <w:p w:rsidR="00E473CA" w:rsidRPr="00283CEC" w:rsidRDefault="00E473CA" w:rsidP="007370A3">
      <w:pPr>
        <w:pStyle w:val="Heading2"/>
        <w:rPr>
          <w:color w:val="auto"/>
        </w:rPr>
      </w:pPr>
      <w:bookmarkStart w:id="142" w:name="_Toc371582844"/>
      <w:bookmarkStart w:id="143" w:name="_Toc371950946"/>
      <w:bookmarkStart w:id="144" w:name="_Toc376791264"/>
      <w:r w:rsidRPr="00283CEC">
        <w:rPr>
          <w:color w:val="auto"/>
        </w:rPr>
        <w:t>Review and performance</w:t>
      </w:r>
      <w:bookmarkEnd w:id="142"/>
      <w:bookmarkEnd w:id="143"/>
      <w:bookmarkEnd w:id="144"/>
    </w:p>
    <w:p w:rsidR="00E473CA" w:rsidRPr="00283CEC" w:rsidRDefault="00E473CA" w:rsidP="00E473CA">
      <w:pPr>
        <w:rPr>
          <w:rFonts w:asciiTheme="minorHAnsi" w:hAnsiTheme="minorHAnsi" w:cstheme="minorHAnsi"/>
          <w:sz w:val="20"/>
          <w:szCs w:val="20"/>
        </w:rPr>
      </w:pPr>
      <w:r w:rsidRPr="00283CEC">
        <w:rPr>
          <w:rFonts w:asciiTheme="minorHAnsi" w:hAnsiTheme="minorHAnsi" w:cstheme="minorHAnsi"/>
          <w:sz w:val="20"/>
          <w:szCs w:val="20"/>
        </w:rPr>
        <w:t>It is intended that this plan will inform any subsequent review of the Gippsland Regional Plan.</w:t>
      </w:r>
    </w:p>
    <w:p w:rsidR="00E473CA" w:rsidRPr="00283CEC" w:rsidRDefault="00E473CA" w:rsidP="00E473CA">
      <w:pPr>
        <w:rPr>
          <w:rFonts w:asciiTheme="minorHAnsi" w:hAnsiTheme="minorHAnsi" w:cstheme="minorHAnsi"/>
          <w:sz w:val="20"/>
          <w:szCs w:val="20"/>
        </w:rPr>
      </w:pPr>
      <w:r w:rsidRPr="00283CEC">
        <w:rPr>
          <w:rFonts w:asciiTheme="minorHAnsi" w:hAnsiTheme="minorHAnsi" w:cstheme="minorHAnsi"/>
          <w:sz w:val="20"/>
          <w:szCs w:val="20"/>
        </w:rPr>
        <w:t xml:space="preserve">The plan is intended to be a living and adaptable plan, able to respond to new data and information as it arises, including information from state or regional strategies and programs. The plan is to be reviewed on a </w:t>
      </w:r>
      <w:r w:rsidR="007C63F6" w:rsidRPr="00283CEC">
        <w:rPr>
          <w:rFonts w:asciiTheme="minorHAnsi" w:hAnsiTheme="minorHAnsi" w:cstheme="minorHAnsi"/>
          <w:sz w:val="20"/>
          <w:szCs w:val="20"/>
        </w:rPr>
        <w:t xml:space="preserve">four- </w:t>
      </w:r>
      <w:r w:rsidRPr="00283CEC">
        <w:rPr>
          <w:rFonts w:asciiTheme="minorHAnsi" w:hAnsiTheme="minorHAnsi" w:cstheme="minorHAnsi"/>
          <w:sz w:val="20"/>
          <w:szCs w:val="20"/>
        </w:rPr>
        <w:t xml:space="preserve">to </w:t>
      </w:r>
      <w:r w:rsidR="007C63F6" w:rsidRPr="00283CEC">
        <w:rPr>
          <w:rFonts w:asciiTheme="minorHAnsi" w:hAnsiTheme="minorHAnsi" w:cstheme="minorHAnsi"/>
          <w:sz w:val="20"/>
          <w:szCs w:val="20"/>
        </w:rPr>
        <w:t>five-</w:t>
      </w:r>
      <w:r w:rsidRPr="00283CEC">
        <w:rPr>
          <w:rFonts w:asciiTheme="minorHAnsi" w:hAnsiTheme="minorHAnsi" w:cstheme="minorHAnsi"/>
          <w:sz w:val="20"/>
          <w:szCs w:val="20"/>
        </w:rPr>
        <w:t>year cycle. Any review process will involve broad community and stakeholder engagement.</w:t>
      </w:r>
    </w:p>
    <w:p w:rsidR="006D09F5" w:rsidRPr="00283CEC" w:rsidRDefault="00E473CA">
      <w:pPr>
        <w:rPr>
          <w:rFonts w:asciiTheme="minorHAnsi" w:hAnsiTheme="minorHAnsi" w:cstheme="minorHAnsi"/>
          <w:sz w:val="20"/>
          <w:szCs w:val="20"/>
        </w:rPr>
      </w:pPr>
      <w:r w:rsidRPr="00283CEC">
        <w:rPr>
          <w:rFonts w:asciiTheme="minorHAnsi" w:hAnsiTheme="minorHAnsi" w:cstheme="minorHAnsi"/>
          <w:sz w:val="20"/>
          <w:szCs w:val="20"/>
        </w:rPr>
        <w:t>Implementation of this plan will be integrated with the overall implementation of the Gippsland Regional Plan and included in the performance monitoring framework already established or</w:t>
      </w:r>
      <w:r w:rsidRPr="00283CEC">
        <w:rPr>
          <w:rFonts w:asciiTheme="minorHAnsi" w:hAnsiTheme="minorHAnsi" w:cstheme="minorHAnsi"/>
          <w:i/>
          <w:sz w:val="20"/>
          <w:szCs w:val="20"/>
        </w:rPr>
        <w:t xml:space="preserve"> </w:t>
      </w:r>
      <w:r w:rsidRPr="00283CEC">
        <w:rPr>
          <w:rFonts w:asciiTheme="minorHAnsi" w:hAnsiTheme="minorHAnsi" w:cstheme="minorHAnsi"/>
          <w:sz w:val="20"/>
          <w:szCs w:val="20"/>
        </w:rPr>
        <w:t>being established in future, for the implementation of the Gippsland Regional Plan. This framework includes an assessment of performance and project progress and sets out performance measures for the key directions of the Gippsland Regional Plan.</w:t>
      </w:r>
    </w:p>
    <w:p w:rsidR="00E473CA" w:rsidRPr="00283CEC" w:rsidRDefault="00E473CA" w:rsidP="007370A3">
      <w:pPr>
        <w:pStyle w:val="Heading2"/>
        <w:rPr>
          <w:color w:val="auto"/>
        </w:rPr>
      </w:pPr>
      <w:bookmarkStart w:id="145" w:name="_Toc371582845"/>
      <w:bookmarkStart w:id="146" w:name="_Toc371950947"/>
      <w:bookmarkStart w:id="147" w:name="_Toc376791265"/>
      <w:r w:rsidRPr="00283CEC">
        <w:rPr>
          <w:color w:val="auto"/>
        </w:rPr>
        <w:t>Implementation summary</w:t>
      </w:r>
      <w:bookmarkEnd w:id="145"/>
      <w:bookmarkEnd w:id="146"/>
      <w:bookmarkEnd w:id="147"/>
    </w:p>
    <w:p w:rsidR="00E473CA" w:rsidRDefault="00E473CA" w:rsidP="00E473CA">
      <w:pPr>
        <w:rPr>
          <w:rFonts w:asciiTheme="minorHAnsi" w:hAnsiTheme="minorHAnsi" w:cstheme="minorHAnsi"/>
          <w:sz w:val="20"/>
          <w:szCs w:val="20"/>
        </w:rPr>
      </w:pPr>
      <w:r w:rsidRPr="00283CEC">
        <w:rPr>
          <w:rFonts w:asciiTheme="minorHAnsi" w:hAnsiTheme="minorHAnsi" w:cstheme="minorHAnsi"/>
          <w:sz w:val="20"/>
          <w:szCs w:val="20"/>
        </w:rPr>
        <w:t>The key implementation actions, priorities, partners and responsibilities are summarised below:</w:t>
      </w:r>
    </w:p>
    <w:p w:rsidR="00E23461" w:rsidRDefault="00E23461" w:rsidP="00CC3A69">
      <w:pPr>
        <w:pStyle w:val="Heading4"/>
      </w:pPr>
      <w:bookmarkStart w:id="148" w:name="_Toc367196718"/>
      <w:r w:rsidRPr="00B0122E">
        <w:t>Action</w:t>
      </w:r>
      <w:bookmarkEnd w:id="148"/>
    </w:p>
    <w:p w:rsidR="00E23461" w:rsidRPr="00B0122E" w:rsidRDefault="00E23461" w:rsidP="00AD1D2A">
      <w:pPr>
        <w:pStyle w:val="bt"/>
        <w:numPr>
          <w:ilvl w:val="0"/>
          <w:numId w:val="20"/>
        </w:numPr>
        <w:ind w:left="426" w:hanging="426"/>
      </w:pPr>
      <w:bookmarkStart w:id="149" w:name="_Toc367196723"/>
      <w:r w:rsidRPr="00B0122E">
        <w:t>Planning scheme implementation of regional growth plan</w:t>
      </w:r>
      <w:bookmarkEnd w:id="149"/>
    </w:p>
    <w:p w:rsidR="00E23461" w:rsidRDefault="00E23461" w:rsidP="00CC3A69">
      <w:pPr>
        <w:pStyle w:val="Heading4"/>
      </w:pPr>
      <w:bookmarkStart w:id="150" w:name="_Toc367196719"/>
      <w:r w:rsidRPr="00B0122E">
        <w:t>Priority</w:t>
      </w:r>
      <w:bookmarkEnd w:id="150"/>
    </w:p>
    <w:p w:rsidR="00E23461" w:rsidRPr="003A58CF" w:rsidRDefault="00E23461" w:rsidP="00E23461">
      <w:pPr>
        <w:pStyle w:val="bt"/>
      </w:pPr>
      <w:bookmarkStart w:id="151" w:name="_Toc367196724"/>
      <w:r w:rsidRPr="003A58CF">
        <w:t>High</w:t>
      </w:r>
      <w:bookmarkEnd w:id="151"/>
    </w:p>
    <w:p w:rsidR="00E23461" w:rsidRDefault="00E23461" w:rsidP="00CC3A69">
      <w:pPr>
        <w:pStyle w:val="Heading4"/>
      </w:pPr>
      <w:bookmarkStart w:id="152" w:name="_Toc367196720"/>
      <w:r w:rsidRPr="00B0122E">
        <w:t>Timing</w:t>
      </w:r>
      <w:bookmarkEnd w:id="152"/>
    </w:p>
    <w:p w:rsidR="00E23461" w:rsidRPr="003A58CF" w:rsidRDefault="00E23461" w:rsidP="00E23461">
      <w:pPr>
        <w:pStyle w:val="bt"/>
      </w:pPr>
      <w:r w:rsidRPr="003A58CF">
        <w:t>2013–2014</w:t>
      </w:r>
    </w:p>
    <w:p w:rsidR="00E23461" w:rsidRPr="00B0122E" w:rsidRDefault="00E23461" w:rsidP="00CC3A69">
      <w:pPr>
        <w:pStyle w:val="Heading4"/>
      </w:pPr>
      <w:bookmarkStart w:id="153" w:name="_Toc367196721"/>
      <w:r w:rsidRPr="00B0122E">
        <w:t>Lead responsibility</w:t>
      </w:r>
      <w:bookmarkEnd w:id="153"/>
    </w:p>
    <w:p w:rsidR="00E23461" w:rsidRPr="003A58CF" w:rsidRDefault="00E23461" w:rsidP="00E23461">
      <w:pPr>
        <w:pStyle w:val="bt"/>
      </w:pPr>
      <w:bookmarkStart w:id="154" w:name="_Toc367196722"/>
      <w:r w:rsidRPr="003A58CF">
        <w:t>Department of Transport, Planning and Local Infrastructure</w:t>
      </w:r>
    </w:p>
    <w:p w:rsidR="00E23461" w:rsidRPr="00B0122E" w:rsidRDefault="00E23461" w:rsidP="00CC3A69">
      <w:pPr>
        <w:pStyle w:val="Heading4"/>
      </w:pPr>
      <w:r w:rsidRPr="00B0122E">
        <w:t>Key partners</w:t>
      </w:r>
      <w:bookmarkEnd w:id="154"/>
    </w:p>
    <w:p w:rsidR="00E23461" w:rsidRDefault="00E23461" w:rsidP="00E23461">
      <w:pPr>
        <w:pStyle w:val="bt"/>
      </w:pPr>
      <w:r>
        <w:t>Gippsland</w:t>
      </w:r>
      <w:r w:rsidRPr="003A58CF">
        <w:t xml:space="preserve"> region councils</w:t>
      </w:r>
    </w:p>
    <w:p w:rsidR="00E23461" w:rsidRPr="00B0122E" w:rsidRDefault="00E23461" w:rsidP="00CC3A69">
      <w:pPr>
        <w:pStyle w:val="Heading4"/>
      </w:pPr>
      <w:r w:rsidRPr="00B0122E">
        <w:t>Action</w:t>
      </w:r>
    </w:p>
    <w:p w:rsidR="00E23461" w:rsidRPr="00B0122E" w:rsidRDefault="00E23461" w:rsidP="00AD1D2A">
      <w:pPr>
        <w:pStyle w:val="bt"/>
        <w:numPr>
          <w:ilvl w:val="0"/>
          <w:numId w:val="20"/>
        </w:numPr>
        <w:ind w:left="426" w:hanging="426"/>
      </w:pPr>
      <w:r w:rsidRPr="00B0122E">
        <w:t xml:space="preserve">Implementation </w:t>
      </w:r>
      <w:r w:rsidR="0020053A">
        <w:t>P</w:t>
      </w:r>
      <w:r w:rsidRPr="00B0122E">
        <w:t>lan</w:t>
      </w:r>
    </w:p>
    <w:p w:rsidR="00E23461" w:rsidRPr="00B0122E" w:rsidRDefault="00E23461" w:rsidP="00CC3A69">
      <w:pPr>
        <w:pStyle w:val="Heading4"/>
      </w:pPr>
      <w:r w:rsidRPr="00B0122E">
        <w:t>Priority</w:t>
      </w:r>
    </w:p>
    <w:p w:rsidR="00E23461" w:rsidRPr="003A58CF" w:rsidRDefault="00E23461" w:rsidP="00E23461">
      <w:pPr>
        <w:pStyle w:val="bt"/>
      </w:pPr>
      <w:r w:rsidRPr="003A58CF">
        <w:t>High</w:t>
      </w:r>
    </w:p>
    <w:p w:rsidR="00E23461" w:rsidRPr="00B0122E" w:rsidRDefault="00E23461" w:rsidP="00CC3A69">
      <w:pPr>
        <w:pStyle w:val="Heading4"/>
      </w:pPr>
      <w:r w:rsidRPr="00B0122E">
        <w:t>Timing</w:t>
      </w:r>
    </w:p>
    <w:p w:rsidR="00E23461" w:rsidRPr="003A58CF" w:rsidRDefault="00E23461" w:rsidP="00E23461">
      <w:pPr>
        <w:pStyle w:val="bt"/>
      </w:pPr>
      <w:r w:rsidRPr="003A58CF">
        <w:t>2014–2015</w:t>
      </w:r>
    </w:p>
    <w:p w:rsidR="00E23461" w:rsidRPr="00B0122E" w:rsidRDefault="00E23461" w:rsidP="00CC3A69">
      <w:pPr>
        <w:pStyle w:val="Heading4"/>
      </w:pPr>
      <w:r w:rsidRPr="00B0122E">
        <w:t>Lead responsibility</w:t>
      </w:r>
    </w:p>
    <w:p w:rsidR="00E23461" w:rsidRPr="003A58CF" w:rsidRDefault="00E23461" w:rsidP="00E23461">
      <w:pPr>
        <w:pStyle w:val="bt"/>
      </w:pPr>
      <w:r>
        <w:t>Gippsland</w:t>
      </w:r>
      <w:r w:rsidRPr="003A58CF">
        <w:t xml:space="preserve"> region lead governance entity</w:t>
      </w:r>
    </w:p>
    <w:p w:rsidR="00E23461" w:rsidRPr="00B0122E" w:rsidRDefault="00E23461" w:rsidP="00CC3A69">
      <w:pPr>
        <w:pStyle w:val="Heading4"/>
      </w:pPr>
      <w:r w:rsidRPr="00B0122E">
        <w:t>Key partners</w:t>
      </w:r>
    </w:p>
    <w:p w:rsidR="00E23461" w:rsidRPr="003A58CF" w:rsidRDefault="00E23461" w:rsidP="00E23461">
      <w:pPr>
        <w:pStyle w:val="bt"/>
      </w:pPr>
      <w:r>
        <w:t>Gippsland</w:t>
      </w:r>
      <w:r w:rsidRPr="003A58CF">
        <w:t xml:space="preserve"> Regional Growth Plan project partners</w:t>
      </w:r>
    </w:p>
    <w:p w:rsidR="00E23461" w:rsidRPr="00B0122E" w:rsidRDefault="00E23461" w:rsidP="00CC3A69">
      <w:pPr>
        <w:pStyle w:val="Heading4"/>
      </w:pPr>
      <w:r w:rsidRPr="00B0122E">
        <w:t>Action</w:t>
      </w:r>
    </w:p>
    <w:p w:rsidR="00E23461" w:rsidRPr="00B0122E" w:rsidRDefault="00E23461" w:rsidP="00AD1D2A">
      <w:pPr>
        <w:pStyle w:val="bt"/>
        <w:numPr>
          <w:ilvl w:val="0"/>
          <w:numId w:val="20"/>
        </w:numPr>
        <w:ind w:left="426" w:hanging="426"/>
      </w:pPr>
      <w:r>
        <w:t>Gippsland</w:t>
      </w:r>
      <w:r w:rsidRPr="00B0122E">
        <w:t xml:space="preserve"> region Municipal Strategic Statement reviews</w:t>
      </w:r>
    </w:p>
    <w:p w:rsidR="00E23461" w:rsidRPr="00B0122E" w:rsidRDefault="00E23461" w:rsidP="00CC3A69">
      <w:pPr>
        <w:pStyle w:val="Heading4"/>
      </w:pPr>
      <w:r w:rsidRPr="00B0122E">
        <w:t>Priority</w:t>
      </w:r>
    </w:p>
    <w:p w:rsidR="00E23461" w:rsidRPr="003A58CF" w:rsidRDefault="00E23461" w:rsidP="00E23461">
      <w:pPr>
        <w:pStyle w:val="bt"/>
      </w:pPr>
      <w:r w:rsidRPr="003A58CF">
        <w:t>Medium</w:t>
      </w:r>
    </w:p>
    <w:p w:rsidR="00E23461" w:rsidRPr="00B0122E" w:rsidRDefault="00E23461" w:rsidP="00CC3A69">
      <w:pPr>
        <w:pStyle w:val="Heading4"/>
      </w:pPr>
      <w:r w:rsidRPr="00B0122E">
        <w:t>Timing</w:t>
      </w:r>
    </w:p>
    <w:p w:rsidR="00E23461" w:rsidRPr="003A58CF" w:rsidRDefault="00E23461" w:rsidP="00E23461">
      <w:pPr>
        <w:pStyle w:val="bt"/>
      </w:pPr>
      <w:r w:rsidRPr="003A58CF">
        <w:t>To coincide with Municipal Strategic Statement review cycles</w:t>
      </w:r>
    </w:p>
    <w:p w:rsidR="00E23461" w:rsidRPr="00B0122E" w:rsidRDefault="00E23461" w:rsidP="00CC3A69">
      <w:pPr>
        <w:pStyle w:val="Heading4"/>
      </w:pPr>
      <w:r w:rsidRPr="00B0122E">
        <w:t>Lead responsibility</w:t>
      </w:r>
    </w:p>
    <w:p w:rsidR="00E23461" w:rsidRPr="003A58CF" w:rsidRDefault="00E23461" w:rsidP="00E23461">
      <w:pPr>
        <w:pStyle w:val="bt"/>
      </w:pPr>
      <w:r>
        <w:t>Gippsland</w:t>
      </w:r>
      <w:r w:rsidRPr="003A58CF">
        <w:t xml:space="preserve"> region councils</w:t>
      </w:r>
    </w:p>
    <w:p w:rsidR="00E23461" w:rsidRPr="00B0122E" w:rsidRDefault="00E23461" w:rsidP="00CC3A69">
      <w:pPr>
        <w:pStyle w:val="Heading4"/>
      </w:pPr>
      <w:r w:rsidRPr="00B0122E">
        <w:t>Key partners</w:t>
      </w:r>
    </w:p>
    <w:p w:rsidR="00E23461" w:rsidRPr="003A58CF" w:rsidRDefault="00E23461" w:rsidP="00E23461">
      <w:pPr>
        <w:pStyle w:val="bt"/>
      </w:pPr>
      <w:r w:rsidRPr="003A58CF">
        <w:t>Department of Transport, Planning and Local Infrastructure</w:t>
      </w:r>
    </w:p>
    <w:p w:rsidR="00E23461" w:rsidRPr="00B0122E" w:rsidRDefault="00E23461" w:rsidP="00CC3A69">
      <w:pPr>
        <w:pStyle w:val="Heading4"/>
      </w:pPr>
      <w:r w:rsidRPr="00B0122E">
        <w:t>Action</w:t>
      </w:r>
    </w:p>
    <w:p w:rsidR="00E23461" w:rsidRPr="00B0122E" w:rsidRDefault="00E23461" w:rsidP="00AD1D2A">
      <w:pPr>
        <w:pStyle w:val="bt"/>
        <w:numPr>
          <w:ilvl w:val="0"/>
          <w:numId w:val="20"/>
        </w:numPr>
        <w:ind w:left="426" w:hanging="426"/>
      </w:pPr>
      <w:r w:rsidRPr="00B0122E">
        <w:t>Review</w:t>
      </w:r>
    </w:p>
    <w:p w:rsidR="00E23461" w:rsidRPr="00B0122E" w:rsidRDefault="00E23461" w:rsidP="00CC3A69">
      <w:pPr>
        <w:pStyle w:val="Heading4"/>
      </w:pPr>
      <w:r w:rsidRPr="00B0122E">
        <w:t>Priority</w:t>
      </w:r>
    </w:p>
    <w:p w:rsidR="00E23461" w:rsidRPr="003A58CF" w:rsidRDefault="00E23461" w:rsidP="00E23461">
      <w:pPr>
        <w:pStyle w:val="bt"/>
      </w:pPr>
      <w:r w:rsidRPr="003A58CF">
        <w:t>Medium</w:t>
      </w:r>
    </w:p>
    <w:p w:rsidR="00E23461" w:rsidRPr="00B0122E" w:rsidRDefault="00E23461" w:rsidP="00CC3A69">
      <w:pPr>
        <w:pStyle w:val="Heading4"/>
      </w:pPr>
      <w:r w:rsidRPr="00B0122E">
        <w:t>Timing</w:t>
      </w:r>
    </w:p>
    <w:p w:rsidR="00E23461" w:rsidRPr="003A58CF" w:rsidRDefault="00E23461" w:rsidP="00E23461">
      <w:pPr>
        <w:pStyle w:val="bt"/>
      </w:pPr>
      <w:r w:rsidRPr="003A58CF">
        <w:t>2016–18</w:t>
      </w:r>
    </w:p>
    <w:p w:rsidR="00E23461" w:rsidRPr="00B0122E" w:rsidRDefault="00E23461" w:rsidP="00CC3A69">
      <w:pPr>
        <w:pStyle w:val="Heading4"/>
      </w:pPr>
      <w:r w:rsidRPr="00B0122E">
        <w:t>Lead responsibility</w:t>
      </w:r>
    </w:p>
    <w:p w:rsidR="00E23461" w:rsidRPr="003A58CF" w:rsidRDefault="00E23461" w:rsidP="00E23461">
      <w:pPr>
        <w:pStyle w:val="bt"/>
      </w:pPr>
      <w:r>
        <w:t>Gippsland</w:t>
      </w:r>
      <w:r w:rsidRPr="003A58CF">
        <w:t xml:space="preserve"> region lead governance entity</w:t>
      </w:r>
    </w:p>
    <w:p w:rsidR="00E23461" w:rsidRPr="00B0122E" w:rsidRDefault="00E23461" w:rsidP="00CC3A69">
      <w:pPr>
        <w:pStyle w:val="Heading4"/>
      </w:pPr>
      <w:r w:rsidRPr="00B0122E">
        <w:t>Key partners</w:t>
      </w:r>
    </w:p>
    <w:p w:rsidR="00E23461" w:rsidRDefault="00E23461" w:rsidP="00E23461">
      <w:pPr>
        <w:pStyle w:val="bt"/>
        <w:sectPr w:rsidR="00E23461" w:rsidSect="005178B8">
          <w:headerReference w:type="default" r:id="rId26"/>
          <w:pgSz w:w="11906" w:h="16838"/>
          <w:pgMar w:top="1440" w:right="1440" w:bottom="993" w:left="1440" w:header="709" w:footer="708" w:gutter="0"/>
          <w:cols w:space="708"/>
          <w:docGrid w:linePitch="360"/>
        </w:sectPr>
      </w:pPr>
      <w:r>
        <w:t xml:space="preserve">Gippsland </w:t>
      </w:r>
      <w:r w:rsidRPr="003A58CF">
        <w:t>Regional Growth Plan project partners</w:t>
      </w:r>
    </w:p>
    <w:p w:rsidR="002717D5" w:rsidRPr="00283CEC" w:rsidRDefault="002717D5" w:rsidP="002717D5">
      <w:pPr>
        <w:pStyle w:val="Heading1"/>
      </w:pPr>
      <w:bookmarkStart w:id="155" w:name="_Toc376791266"/>
      <w:bookmarkEnd w:id="136"/>
      <w:r w:rsidRPr="00283CEC">
        <w:t>Glossary</w:t>
      </w:r>
      <w:bookmarkEnd w:id="155"/>
    </w:p>
    <w:p w:rsidR="002717D5" w:rsidRPr="00283CEC" w:rsidRDefault="002717D5" w:rsidP="002717D5">
      <w:pPr>
        <w:pStyle w:val="bt"/>
        <w:rPr>
          <w:rStyle w:val="Strong"/>
          <w:b w:val="0"/>
          <w:bCs w:val="0"/>
        </w:rPr>
      </w:pPr>
      <w:r w:rsidRPr="00283CEC">
        <w:rPr>
          <w:rStyle w:val="Strong"/>
        </w:rPr>
        <w:t>Aboriginal cultural heritage:</w:t>
      </w:r>
      <w:r w:rsidRPr="00283CEC">
        <w:rPr>
          <w:rStyle w:val="Strong"/>
          <w:b w:val="0"/>
          <w:bCs w:val="0"/>
        </w:rPr>
        <w:t xml:space="preserve"> means Aboriginal places, Aboriginal objects and Aboriginal human remains. They tell the story of Aboriginal use and occupation of the land. An Aboriginal place can be an area of land or water, a natural feature, formation or</w:t>
      </w:r>
      <w:r w:rsidRPr="00283CEC">
        <w:t xml:space="preserve"> landscape, an archaeological site, as well as a building or structure. Aboriginal cultural heritage also includes intangible places where there may be no physical evidence of past cultural activities. These include places of spiritual </w:t>
      </w:r>
      <w:r w:rsidRPr="00283CEC">
        <w:rPr>
          <w:rStyle w:val="Strong"/>
          <w:b w:val="0"/>
          <w:bCs w:val="0"/>
        </w:rPr>
        <w:t xml:space="preserve">or ceremonial significance, places where traditional plant or mineral </w:t>
      </w:r>
      <w:r w:rsidRPr="00283CEC">
        <w:t xml:space="preserve">resources occur, or trade and travel routes. </w:t>
      </w:r>
    </w:p>
    <w:p w:rsidR="002717D5" w:rsidRPr="00283CEC" w:rsidRDefault="002717D5" w:rsidP="002717D5">
      <w:pPr>
        <w:pStyle w:val="bt"/>
        <w:rPr>
          <w:rStyle w:val="Strong"/>
          <w:b w:val="0"/>
          <w:bCs w:val="0"/>
        </w:rPr>
      </w:pPr>
      <w:r w:rsidRPr="00283CEC">
        <w:rPr>
          <w:rStyle w:val="Strong"/>
        </w:rPr>
        <w:t>Advanced manufacturing:</w:t>
      </w:r>
      <w:r w:rsidRPr="00283CEC">
        <w:rPr>
          <w:rStyle w:val="Strong"/>
          <w:b w:val="0"/>
          <w:bCs w:val="0"/>
        </w:rPr>
        <w:t xml:space="preserve"> </w:t>
      </w:r>
      <w:r w:rsidRPr="00283CEC">
        <w:rPr>
          <w:szCs w:val="20"/>
        </w:rPr>
        <w:t>manufacture by automated and sophisticated processing.</w:t>
      </w:r>
    </w:p>
    <w:p w:rsidR="002717D5" w:rsidRPr="00283CEC" w:rsidRDefault="002717D5" w:rsidP="002717D5">
      <w:pPr>
        <w:pStyle w:val="bt"/>
        <w:rPr>
          <w:rStyle w:val="Strong"/>
          <w:b w:val="0"/>
          <w:bCs w:val="0"/>
        </w:rPr>
      </w:pPr>
      <w:r w:rsidRPr="00283CEC">
        <w:rPr>
          <w:rStyle w:val="Strong"/>
        </w:rPr>
        <w:t xml:space="preserve">Area of strategic significance (agriculture and forestry): </w:t>
      </w:r>
      <w:r w:rsidRPr="00283CEC">
        <w:rPr>
          <w:szCs w:val="20"/>
        </w:rPr>
        <w:t>land identified as prime productive agricultural land and/or land within an industry cluster.</w:t>
      </w:r>
    </w:p>
    <w:p w:rsidR="002717D5" w:rsidRPr="00283CEC" w:rsidRDefault="002717D5" w:rsidP="002717D5">
      <w:pPr>
        <w:pStyle w:val="bt"/>
      </w:pPr>
      <w:r w:rsidRPr="00283CEC">
        <w:rPr>
          <w:rStyle w:val="Strong"/>
        </w:rPr>
        <w:t xml:space="preserve">Bioenergy: </w:t>
      </w:r>
      <w:r w:rsidRPr="00283CEC">
        <w:t>energy generated from organic matter, such as agricultural waste.</w:t>
      </w:r>
    </w:p>
    <w:p w:rsidR="002717D5" w:rsidRPr="00283CEC" w:rsidRDefault="002717D5" w:rsidP="002717D5">
      <w:pPr>
        <w:pStyle w:val="bt"/>
        <w:spacing w:before="120" w:after="140"/>
      </w:pPr>
      <w:r w:rsidRPr="00283CEC">
        <w:rPr>
          <w:rStyle w:val="Strong"/>
        </w:rPr>
        <w:t>Biofuels:</w:t>
      </w:r>
      <w:r w:rsidRPr="00283CEC">
        <w:t xml:space="preserve"> liquid or gaseous fuels derived from biomass. </w:t>
      </w:r>
    </w:p>
    <w:p w:rsidR="002717D5" w:rsidRPr="00283CEC" w:rsidRDefault="002717D5" w:rsidP="002717D5">
      <w:pPr>
        <w:pStyle w:val="bt"/>
        <w:spacing w:before="120" w:after="140"/>
      </w:pPr>
      <w:r w:rsidRPr="00283CEC">
        <w:rPr>
          <w:b/>
        </w:rPr>
        <w:t>Biomass:</w:t>
      </w:r>
      <w:r w:rsidRPr="00283CEC">
        <w:t xml:space="preserve"> includes agricultural residues and waste products, forestry residues, organic wastes, purpose-grown energy crops, woody weeds, algae and biodegradable municipal waste streams.</w:t>
      </w:r>
    </w:p>
    <w:p w:rsidR="002717D5" w:rsidRPr="00283CEC" w:rsidRDefault="002717D5" w:rsidP="002717D5">
      <w:pPr>
        <w:pStyle w:val="bt"/>
        <w:rPr>
          <w:rStyle w:val="Strong"/>
          <w:b w:val="0"/>
          <w:bCs w:val="0"/>
        </w:rPr>
      </w:pPr>
      <w:r w:rsidRPr="00283CEC">
        <w:rPr>
          <w:rStyle w:val="Strong"/>
        </w:rPr>
        <w:t>Commercial centre:</w:t>
      </w:r>
      <w:r w:rsidRPr="00283CEC">
        <w:rPr>
          <w:rStyle w:val="Strong"/>
          <w:b w:val="0"/>
          <w:bCs w:val="0"/>
        </w:rPr>
        <w:t xml:space="preserve"> the area comprising the core commercial, civic and community functions of a town.</w:t>
      </w:r>
    </w:p>
    <w:p w:rsidR="002717D5" w:rsidRPr="00283CEC" w:rsidRDefault="002717D5" w:rsidP="002717D5">
      <w:pPr>
        <w:pStyle w:val="bt"/>
        <w:rPr>
          <w:rStyle w:val="Strong"/>
          <w:b w:val="0"/>
          <w:bCs w:val="0"/>
        </w:rPr>
      </w:pPr>
      <w:r w:rsidRPr="00283CEC">
        <w:rPr>
          <w:rStyle w:val="Strong"/>
        </w:rPr>
        <w:t xml:space="preserve">Cultural heritage: </w:t>
      </w:r>
      <w:r w:rsidRPr="00283CEC">
        <w:rPr>
          <w:rStyle w:val="Strong"/>
          <w:b w:val="0"/>
          <w:bCs w:val="0"/>
        </w:rPr>
        <w:t>captures both Aboriginal cultural heritage and historic heritage.</w:t>
      </w:r>
    </w:p>
    <w:p w:rsidR="002717D5" w:rsidRPr="00283CEC" w:rsidRDefault="002717D5" w:rsidP="002717D5">
      <w:pPr>
        <w:pStyle w:val="bt"/>
      </w:pPr>
      <w:proofErr w:type="gramStart"/>
      <w:r w:rsidRPr="00283CEC">
        <w:rPr>
          <w:rStyle w:val="Strong"/>
        </w:rPr>
        <w:t xml:space="preserve">Declared Water Supply Catchments: </w:t>
      </w:r>
      <w:r w:rsidRPr="00283CEC">
        <w:t xml:space="preserve">catchment areas as proclaimed under the </w:t>
      </w:r>
      <w:r w:rsidRPr="00283CEC">
        <w:rPr>
          <w:i/>
        </w:rPr>
        <w:t>Soil Conservation and Land Utilization Act 1958</w:t>
      </w:r>
      <w:r w:rsidRPr="00283CEC">
        <w:t xml:space="preserve"> in conjunction with the </w:t>
      </w:r>
      <w:r w:rsidRPr="00283CEC">
        <w:rPr>
          <w:i/>
        </w:rPr>
        <w:t>Land Conservation Act 1970</w:t>
      </w:r>
      <w:r w:rsidRPr="00283CEC">
        <w:t xml:space="preserve"> and subsequently incorporated into the </w:t>
      </w:r>
      <w:r w:rsidRPr="00283CEC">
        <w:rPr>
          <w:i/>
        </w:rPr>
        <w:t>Catchment and Land Protection Act 1994</w:t>
      </w:r>
      <w:r w:rsidRPr="00283CEC">
        <w:t>.</w:t>
      </w:r>
      <w:proofErr w:type="gramEnd"/>
    </w:p>
    <w:p w:rsidR="002717D5" w:rsidRPr="00283CEC" w:rsidRDefault="002717D5" w:rsidP="002717D5">
      <w:pPr>
        <w:pStyle w:val="bt"/>
        <w:rPr>
          <w:rStyle w:val="Strong"/>
          <w:b w:val="0"/>
          <w:bCs w:val="0"/>
        </w:rPr>
      </w:pPr>
      <w:r w:rsidRPr="00283CEC">
        <w:rPr>
          <w:rStyle w:val="Strong"/>
        </w:rPr>
        <w:t>Domestic wastewater management plan:</w:t>
      </w:r>
      <w:r w:rsidRPr="00283CEC">
        <w:t xml:space="preserve"> a document seeking to reduce the potential health and environmental impacts of on-site wastewater disposal. </w:t>
      </w:r>
    </w:p>
    <w:p w:rsidR="002717D5" w:rsidRDefault="002717D5" w:rsidP="002717D5">
      <w:pPr>
        <w:pStyle w:val="bt"/>
        <w:rPr>
          <w:rStyle w:val="Strong"/>
          <w:b w:val="0"/>
          <w:bCs w:val="0"/>
        </w:rPr>
      </w:pPr>
      <w:r w:rsidRPr="00283CEC">
        <w:rPr>
          <w:rStyle w:val="Strong"/>
        </w:rPr>
        <w:t xml:space="preserve">Earth resources: </w:t>
      </w:r>
      <w:r w:rsidRPr="00283CEC">
        <w:rPr>
          <w:rStyle w:val="Strong"/>
          <w:b w:val="0"/>
          <w:bCs w:val="0"/>
        </w:rPr>
        <w:t>these comprise minerals, petroleum, gas, extractive and geothermal industries.</w:t>
      </w:r>
    </w:p>
    <w:p w:rsidR="002717D5" w:rsidRPr="00283CEC" w:rsidRDefault="002717D5" w:rsidP="002717D5">
      <w:pPr>
        <w:pStyle w:val="bt"/>
        <w:rPr>
          <w:rStyle w:val="Strong"/>
          <w:b w:val="0"/>
          <w:bCs w:val="0"/>
        </w:rPr>
      </w:pPr>
      <w:r w:rsidRPr="002B06D8">
        <w:rPr>
          <w:rStyle w:val="Strong"/>
        </w:rPr>
        <w:t>Ecologically Sustainable Development:</w:t>
      </w:r>
      <w:r>
        <w:rPr>
          <w:rStyle w:val="Strong"/>
          <w:b w:val="0"/>
          <w:bCs w:val="0"/>
          <w:szCs w:val="22"/>
        </w:rPr>
        <w:t xml:space="preserve"> </w:t>
      </w:r>
      <w:r w:rsidRPr="00CE555D">
        <w:rPr>
          <w:rStyle w:val="Strong"/>
          <w:b w:val="0"/>
          <w:bCs w:val="0"/>
          <w:szCs w:val="22"/>
        </w:rPr>
        <w:t>using, conserving and enhancing the community’s resources so that ecological processes, on which life depends, are maintained, and the total quality of life now and in the future can be increased.</w:t>
      </w:r>
    </w:p>
    <w:p w:rsidR="002717D5" w:rsidRPr="00283CEC" w:rsidRDefault="002717D5" w:rsidP="002717D5">
      <w:pPr>
        <w:pStyle w:val="bt"/>
        <w:rPr>
          <w:rStyle w:val="Strong"/>
          <w:b w:val="0"/>
          <w:bCs w:val="0"/>
        </w:rPr>
      </w:pPr>
      <w:r w:rsidRPr="00283CEC">
        <w:rPr>
          <w:rStyle w:val="Strong"/>
        </w:rPr>
        <w:t>Environmental asset:</w:t>
      </w:r>
      <w:r w:rsidRPr="00283CEC">
        <w:rPr>
          <w:rStyle w:val="Strong"/>
          <w:b w:val="0"/>
          <w:bCs w:val="0"/>
        </w:rPr>
        <w:t xml:space="preserve"> a tangible biophysical element of the environment, such as terrestrial habitat, waterways, significant landscapes and soils.</w:t>
      </w:r>
    </w:p>
    <w:p w:rsidR="002717D5" w:rsidRPr="00283CEC" w:rsidRDefault="002717D5" w:rsidP="002717D5">
      <w:pPr>
        <w:pStyle w:val="bt"/>
        <w:rPr>
          <w:rStyle w:val="Strong"/>
          <w:b w:val="0"/>
          <w:bCs w:val="0"/>
        </w:rPr>
      </w:pPr>
      <w:r w:rsidRPr="00283CEC">
        <w:rPr>
          <w:rStyle w:val="Strong"/>
        </w:rPr>
        <w:t>Environmental value:</w:t>
      </w:r>
      <w:r w:rsidRPr="00283CEC">
        <w:rPr>
          <w:rStyle w:val="Strong"/>
          <w:b w:val="0"/>
          <w:bCs w:val="0"/>
        </w:rPr>
        <w:t xml:space="preserve"> the attributes of an environmental asset that make it valuable or important based on environmental, social or economic values.</w:t>
      </w:r>
    </w:p>
    <w:p w:rsidR="002717D5" w:rsidRPr="00283CEC" w:rsidRDefault="002717D5" w:rsidP="002717D5">
      <w:pPr>
        <w:pStyle w:val="bt"/>
        <w:rPr>
          <w:rStyle w:val="Strong"/>
          <w:b w:val="0"/>
          <w:bCs w:val="0"/>
        </w:rPr>
      </w:pPr>
      <w:r w:rsidRPr="00283CEC">
        <w:rPr>
          <w:rStyle w:val="Strong"/>
          <w:bCs w:val="0"/>
        </w:rPr>
        <w:t>Existing urban area:</w:t>
      </w:r>
      <w:r w:rsidRPr="00283CEC">
        <w:rPr>
          <w:rStyle w:val="Strong"/>
          <w:b w:val="0"/>
          <w:bCs w:val="0"/>
        </w:rPr>
        <w:t xml:space="preserve"> existing residential, business or industrial development areas.</w:t>
      </w:r>
    </w:p>
    <w:p w:rsidR="002717D5" w:rsidRPr="00283CEC" w:rsidRDefault="002717D5" w:rsidP="002717D5">
      <w:pPr>
        <w:pStyle w:val="bt"/>
        <w:spacing w:before="120" w:after="120"/>
        <w:rPr>
          <w:rStyle w:val="Strong"/>
          <w:b w:val="0"/>
          <w:bCs w:val="0"/>
        </w:rPr>
      </w:pPr>
      <w:r w:rsidRPr="00283CEC">
        <w:rPr>
          <w:rStyle w:val="Strong"/>
          <w:bCs w:val="0"/>
        </w:rPr>
        <w:t>Extractive Industry Interest Area (EIIA):</w:t>
      </w:r>
      <w:r w:rsidRPr="00283CEC">
        <w:rPr>
          <w:rStyle w:val="Strong"/>
          <w:b w:val="0"/>
          <w:bCs w:val="0"/>
        </w:rPr>
        <w:t xml:space="preserve"> identified areas around major centres in Victoria where it is possible that a quarry could be placed within defined constraints.</w:t>
      </w:r>
    </w:p>
    <w:p w:rsidR="002717D5" w:rsidRPr="00283CEC" w:rsidRDefault="002717D5" w:rsidP="002717D5">
      <w:pPr>
        <w:pStyle w:val="bt"/>
        <w:rPr>
          <w:rStyle w:val="Strong"/>
          <w:b w:val="0"/>
          <w:bCs w:val="0"/>
        </w:rPr>
      </w:pPr>
      <w:r w:rsidRPr="00283CEC">
        <w:rPr>
          <w:rStyle w:val="Strong"/>
        </w:rPr>
        <w:t xml:space="preserve">Freight and logistics precincts: </w:t>
      </w:r>
      <w:r w:rsidRPr="00283CEC">
        <w:rPr>
          <w:rStyle w:val="Strong"/>
          <w:b w:val="0"/>
          <w:bCs w:val="0"/>
        </w:rPr>
        <w:t xml:space="preserve">places where large volumes of freight are </w:t>
      </w:r>
      <w:proofErr w:type="gramStart"/>
      <w:r w:rsidRPr="00283CEC">
        <w:rPr>
          <w:rStyle w:val="Strong"/>
          <w:b w:val="0"/>
          <w:bCs w:val="0"/>
        </w:rPr>
        <w:t>received,</w:t>
      </w:r>
      <w:proofErr w:type="gramEnd"/>
      <w:r w:rsidRPr="00283CEC">
        <w:rPr>
          <w:rStyle w:val="Strong"/>
          <w:b w:val="0"/>
          <w:bCs w:val="0"/>
        </w:rPr>
        <w:t xml:space="preserve"> stored and despatched. These precincts may support port, airport or rail and road intermodal terminals and may include manufacturing activity, warehouses and distribution centres within the broader precinct of complementary freight and freight-related activities.</w:t>
      </w:r>
    </w:p>
    <w:p w:rsidR="002717D5" w:rsidRPr="00283CEC" w:rsidRDefault="002717D5" w:rsidP="002717D5">
      <w:pPr>
        <w:pStyle w:val="bt"/>
        <w:rPr>
          <w:rStyle w:val="Strong"/>
          <w:b w:val="0"/>
          <w:bCs w:val="0"/>
        </w:rPr>
      </w:pPr>
      <w:r w:rsidRPr="00283CEC">
        <w:rPr>
          <w:rStyle w:val="Strong"/>
          <w:bCs w:val="0"/>
        </w:rPr>
        <w:t>Future investigation for urban growth:</w:t>
      </w:r>
      <w:r w:rsidRPr="00283CEC">
        <w:rPr>
          <w:rStyle w:val="Strong"/>
          <w:b w:val="0"/>
          <w:bCs w:val="0"/>
        </w:rPr>
        <w:t xml:space="preserve"> vacant or undeveloped land currently not zoned for urban development (farming or other non-urban zone).</w:t>
      </w:r>
    </w:p>
    <w:p w:rsidR="002717D5" w:rsidRPr="00283CEC" w:rsidRDefault="002717D5" w:rsidP="002717D5">
      <w:pPr>
        <w:pStyle w:val="bt"/>
        <w:rPr>
          <w:rStyle w:val="Strong"/>
          <w:b w:val="0"/>
          <w:bCs w:val="0"/>
        </w:rPr>
      </w:pPr>
      <w:r w:rsidRPr="00283CEC">
        <w:rPr>
          <w:rStyle w:val="Strong"/>
          <w:bCs w:val="0"/>
        </w:rPr>
        <w:t>Future urban growth (planned):</w:t>
      </w:r>
      <w:r w:rsidRPr="00283CEC">
        <w:rPr>
          <w:rStyle w:val="Strong"/>
          <w:b w:val="0"/>
          <w:bCs w:val="0"/>
        </w:rPr>
        <w:t xml:space="preserve"> vacant or undeveloped land currently not zoned for urban development. </w:t>
      </w:r>
      <w:proofErr w:type="gramStart"/>
      <w:r w:rsidRPr="00283CEC">
        <w:rPr>
          <w:rStyle w:val="Strong"/>
          <w:b w:val="0"/>
          <w:bCs w:val="0"/>
        </w:rPr>
        <w:t>Subject to precinct structure plan or development plan preparation.</w:t>
      </w:r>
      <w:proofErr w:type="gramEnd"/>
    </w:p>
    <w:p w:rsidR="002717D5" w:rsidRPr="00283CEC" w:rsidRDefault="002717D5" w:rsidP="002717D5">
      <w:pPr>
        <w:pStyle w:val="bt"/>
        <w:rPr>
          <w:rStyle w:val="Strong"/>
          <w:b w:val="0"/>
          <w:bCs w:val="0"/>
        </w:rPr>
      </w:pPr>
      <w:r w:rsidRPr="00283CEC">
        <w:rPr>
          <w:rStyle w:val="Strong"/>
          <w:bCs w:val="0"/>
        </w:rPr>
        <w:t>Future urban growth (zoned):</w:t>
      </w:r>
      <w:r w:rsidRPr="00283CEC">
        <w:rPr>
          <w:rStyle w:val="Strong"/>
          <w:b w:val="0"/>
          <w:bCs w:val="0"/>
        </w:rPr>
        <w:t xml:space="preserve"> vacant or undeveloped land currently zoned for urban development (residential, business or industrial zone).</w:t>
      </w:r>
    </w:p>
    <w:p w:rsidR="002717D5" w:rsidRPr="00283CEC" w:rsidRDefault="002717D5" w:rsidP="002717D5">
      <w:pPr>
        <w:pStyle w:val="bt"/>
        <w:rPr>
          <w:rStyle w:val="Strong"/>
          <w:b w:val="0"/>
          <w:bCs w:val="0"/>
        </w:rPr>
      </w:pPr>
      <w:r w:rsidRPr="00283CEC">
        <w:rPr>
          <w:rStyle w:val="Strong"/>
        </w:rPr>
        <w:t>Higher order services:</w:t>
      </w:r>
      <w:r w:rsidRPr="00283CEC">
        <w:rPr>
          <w:rStyle w:val="Strong"/>
          <w:b w:val="0"/>
          <w:bCs w:val="0"/>
        </w:rPr>
        <w:t xml:space="preserve"> services that are only provided in a limited number of locations and have a large catchment area, such as a university or department store.</w:t>
      </w:r>
    </w:p>
    <w:p w:rsidR="002717D5" w:rsidRPr="00283CEC" w:rsidRDefault="002717D5" w:rsidP="002717D5">
      <w:pPr>
        <w:pStyle w:val="bt"/>
      </w:pPr>
      <w:r w:rsidRPr="00283CEC">
        <w:rPr>
          <w:rStyle w:val="Strong"/>
        </w:rPr>
        <w:t>Historic heritage:</w:t>
      </w:r>
      <w:r w:rsidRPr="00283CEC">
        <w:rPr>
          <w:szCs w:val="20"/>
        </w:rPr>
        <w:t xml:space="preserve"> refers to the fabric of our past that we value today and includes archaeological sites, buildings and precincts, structures, gardens, trees, cemeteries, cultural landscapes, shipwrecks and significant objects and artefacts.</w:t>
      </w:r>
    </w:p>
    <w:p w:rsidR="002717D5" w:rsidRPr="00283CEC" w:rsidRDefault="002717D5" w:rsidP="002717D5">
      <w:pPr>
        <w:pStyle w:val="bt"/>
        <w:rPr>
          <w:rStyle w:val="Strong"/>
          <w:b w:val="0"/>
          <w:bCs w:val="0"/>
        </w:rPr>
      </w:pPr>
      <w:r w:rsidRPr="00283CEC">
        <w:rPr>
          <w:rStyle w:val="Strong"/>
        </w:rPr>
        <w:t>Housing diversity:</w:t>
      </w:r>
      <w:r w:rsidRPr="00283CEC">
        <w:rPr>
          <w:rStyle w:val="Strong"/>
          <w:b w:val="0"/>
          <w:bCs w:val="0"/>
        </w:rPr>
        <w:t xml:space="preserve"> the provision of a range of different housing types to suit different ages, lifestyles and incomes.</w:t>
      </w:r>
    </w:p>
    <w:p w:rsidR="002717D5" w:rsidRPr="00283CEC" w:rsidRDefault="002717D5" w:rsidP="002717D5">
      <w:pPr>
        <w:pStyle w:val="bt"/>
        <w:rPr>
          <w:rStyle w:val="Strong"/>
          <w:b w:val="0"/>
          <w:bCs w:val="0"/>
        </w:rPr>
      </w:pPr>
      <w:r w:rsidRPr="00283CEC">
        <w:rPr>
          <w:rStyle w:val="Strong"/>
        </w:rPr>
        <w:t xml:space="preserve">Infill development: </w:t>
      </w:r>
      <w:r w:rsidRPr="00283CEC">
        <w:rPr>
          <w:rStyle w:val="Strong"/>
          <w:b w:val="0"/>
          <w:bCs w:val="0"/>
        </w:rPr>
        <w:t>the development of additional dwellings in established urban areas.</w:t>
      </w:r>
    </w:p>
    <w:p w:rsidR="002717D5" w:rsidRPr="00283CEC" w:rsidRDefault="002717D5" w:rsidP="002717D5">
      <w:pPr>
        <w:pStyle w:val="bt"/>
        <w:rPr>
          <w:rStyle w:val="Strong"/>
          <w:b w:val="0"/>
          <w:bCs w:val="0"/>
        </w:rPr>
      </w:pPr>
      <w:r w:rsidRPr="00283CEC">
        <w:rPr>
          <w:rStyle w:val="Strong"/>
        </w:rPr>
        <w:t>Intensive agriculture:</w:t>
      </w:r>
      <w:r w:rsidRPr="00283CEC">
        <w:rPr>
          <w:rStyle w:val="Strong"/>
          <w:b w:val="0"/>
          <w:bCs w:val="0"/>
        </w:rPr>
        <w:t xml:space="preserve"> land used to intensively produce agricultural products through ventures such as poultry farms, piggeries, feedlots, aquaculture, hydroponics, greenhouses and glasshouses. This includes ‘intensive animal husbandry’ and intensive ‘crop </w:t>
      </w:r>
      <w:proofErr w:type="gramStart"/>
      <w:r w:rsidRPr="00283CEC">
        <w:rPr>
          <w:rStyle w:val="Strong"/>
          <w:b w:val="0"/>
          <w:bCs w:val="0"/>
        </w:rPr>
        <w:t>raising</w:t>
      </w:r>
      <w:proofErr w:type="gramEnd"/>
      <w:r w:rsidRPr="00283CEC">
        <w:rPr>
          <w:rStyle w:val="Strong"/>
          <w:b w:val="0"/>
          <w:bCs w:val="0"/>
        </w:rPr>
        <w:t>’ as defined in planning schemes.</w:t>
      </w:r>
    </w:p>
    <w:p w:rsidR="002717D5" w:rsidRPr="00283CEC" w:rsidRDefault="002717D5" w:rsidP="002717D5">
      <w:pPr>
        <w:pStyle w:val="bt"/>
        <w:rPr>
          <w:rStyle w:val="Strong"/>
          <w:b w:val="0"/>
          <w:bCs w:val="0"/>
        </w:rPr>
      </w:pPr>
      <w:r w:rsidRPr="00283CEC">
        <w:rPr>
          <w:rStyle w:val="Strong"/>
        </w:rPr>
        <w:t xml:space="preserve">Latrobe City: </w:t>
      </w:r>
      <w:r w:rsidRPr="00283CEC">
        <w:rPr>
          <w:rStyle w:val="Strong"/>
          <w:b w:val="0"/>
          <w:bCs w:val="0"/>
        </w:rPr>
        <w:t>is the grouping of Traralgon, Moe, Morwell and Churchill.</w:t>
      </w:r>
    </w:p>
    <w:p w:rsidR="002717D5" w:rsidRPr="00283CEC" w:rsidRDefault="002717D5" w:rsidP="002717D5">
      <w:pPr>
        <w:pStyle w:val="bt"/>
        <w:rPr>
          <w:rStyle w:val="Strong"/>
          <w:b w:val="0"/>
          <w:bCs w:val="0"/>
        </w:rPr>
      </w:pPr>
      <w:r w:rsidRPr="00283CEC">
        <w:rPr>
          <w:rStyle w:val="Strong"/>
        </w:rPr>
        <w:t>National Broadband Network (NBN):</w:t>
      </w:r>
      <w:r w:rsidRPr="00283CEC">
        <w:rPr>
          <w:rStyle w:val="Strong"/>
          <w:b w:val="0"/>
          <w:bCs w:val="0"/>
        </w:rPr>
        <w:t xml:space="preserve"> high-speed internet network being provided across Australia.</w:t>
      </w:r>
    </w:p>
    <w:p w:rsidR="002717D5" w:rsidRPr="00283CEC" w:rsidRDefault="002717D5" w:rsidP="002717D5">
      <w:pPr>
        <w:pStyle w:val="bt"/>
      </w:pPr>
      <w:r w:rsidRPr="00283CEC">
        <w:rPr>
          <w:rStyle w:val="Strong"/>
        </w:rPr>
        <w:t>Natural hazard:</w:t>
      </w:r>
      <w:r w:rsidRPr="00283CEC">
        <w:t xml:space="preserve"> a naturally occurring source of potential harm or a situation with the potential to cause loss, for example bushfire, flood</w:t>
      </w:r>
      <w:r w:rsidRPr="00283CEC">
        <w:rPr>
          <w:rStyle w:val="Strong"/>
          <w:b w:val="0"/>
          <w:bCs w:val="0"/>
        </w:rPr>
        <w:t xml:space="preserve"> and coastal storm surges</w:t>
      </w:r>
      <w:r w:rsidRPr="00283CEC">
        <w:t>.</w:t>
      </w:r>
    </w:p>
    <w:p w:rsidR="002717D5" w:rsidRPr="00283CEC" w:rsidRDefault="002717D5" w:rsidP="002717D5">
      <w:pPr>
        <w:pStyle w:val="bt"/>
      </w:pPr>
      <w:r w:rsidRPr="00283CEC">
        <w:rPr>
          <w:rStyle w:val="Strong"/>
        </w:rPr>
        <w:t>Natural resources:</w:t>
      </w:r>
      <w:r w:rsidRPr="00283CEC">
        <w:t xml:space="preserve"> naturally </w:t>
      </w:r>
      <w:proofErr w:type="gramStart"/>
      <w:r w:rsidRPr="00283CEC">
        <w:t>occurring</w:t>
      </w:r>
      <w:proofErr w:type="gramEnd"/>
      <w:r w:rsidRPr="00283CEC">
        <w:t xml:space="preserve"> commodities such as oil, gas, sand and stone, minerals, fisheries, timber or places of solar or geothermal energy potential.</w:t>
      </w:r>
    </w:p>
    <w:p w:rsidR="002717D5" w:rsidRPr="00283CEC" w:rsidRDefault="002717D5" w:rsidP="002717D5">
      <w:pPr>
        <w:pStyle w:val="bt"/>
      </w:pPr>
      <w:r w:rsidRPr="00283CEC">
        <w:rPr>
          <w:rStyle w:val="Strong"/>
        </w:rPr>
        <w:t>Nature-based tourism:</w:t>
      </w:r>
      <w:r w:rsidRPr="00283CEC">
        <w:t xml:space="preserve"> any activity that relies on experiences directly related to natural attractions including ecotourism, adventure tourism, wildlife tourism and extractive tourism, for example, fishing or gold panning.</w:t>
      </w:r>
    </w:p>
    <w:p w:rsidR="002717D5" w:rsidRPr="00283CEC" w:rsidRDefault="002717D5" w:rsidP="002717D5">
      <w:pPr>
        <w:pStyle w:val="bt"/>
        <w:rPr>
          <w:rStyle w:val="Strong"/>
          <w:b w:val="0"/>
          <w:bCs w:val="0"/>
        </w:rPr>
      </w:pPr>
      <w:r w:rsidRPr="00283CEC">
        <w:rPr>
          <w:rStyle w:val="Strong"/>
        </w:rPr>
        <w:t xml:space="preserve">Overlays: </w:t>
      </w:r>
      <w:r w:rsidRPr="00283CEC">
        <w:rPr>
          <w:rStyle w:val="Strong"/>
          <w:b w:val="0"/>
          <w:bCs w:val="0"/>
        </w:rPr>
        <w:t>planning scheme provisions generally related to a particular issue, such as heritage or flood.</w:t>
      </w:r>
    </w:p>
    <w:p w:rsidR="002717D5" w:rsidRPr="00283CEC" w:rsidRDefault="002717D5" w:rsidP="002717D5">
      <w:pPr>
        <w:pStyle w:val="bt"/>
        <w:rPr>
          <w:rStyle w:val="Strong"/>
          <w:b w:val="0"/>
          <w:bCs w:val="0"/>
        </w:rPr>
      </w:pPr>
      <w:proofErr w:type="gramStart"/>
      <w:r w:rsidRPr="00283CEC">
        <w:rPr>
          <w:rStyle w:val="Strong"/>
        </w:rPr>
        <w:t>Planning scheme:</w:t>
      </w:r>
      <w:r w:rsidRPr="00283CEC">
        <w:rPr>
          <w:rStyle w:val="Strong"/>
          <w:b w:val="0"/>
          <w:bCs w:val="0"/>
        </w:rPr>
        <w:t xml:space="preserve"> policies and provisions for the use, development and protection of land prepared by councils or the Minister for Planning.</w:t>
      </w:r>
      <w:proofErr w:type="gramEnd"/>
    </w:p>
    <w:p w:rsidR="002717D5" w:rsidRPr="00283CEC" w:rsidRDefault="002717D5" w:rsidP="002717D5">
      <w:pPr>
        <w:pStyle w:val="bt"/>
      </w:pPr>
      <w:r w:rsidRPr="00283CEC">
        <w:rPr>
          <w:rStyle w:val="Strong"/>
        </w:rPr>
        <w:t>Primary production:</w:t>
      </w:r>
      <w:r w:rsidRPr="00283CEC">
        <w:t xml:space="preserve"> growing, harvesting or extraction of primary (raw) products. Major industries in this sector include agriculture, fishing, aquaculture, forestry and all mining and quarrying industries.</w:t>
      </w:r>
    </w:p>
    <w:p w:rsidR="002717D5" w:rsidRPr="00283CEC" w:rsidRDefault="002717D5" w:rsidP="002717D5">
      <w:pPr>
        <w:pStyle w:val="bt"/>
      </w:pPr>
      <w:r w:rsidRPr="00283CEC">
        <w:rPr>
          <w:rStyle w:val="Strong"/>
        </w:rPr>
        <w:t>Regional catchment strategy:</w:t>
      </w:r>
      <w:r w:rsidRPr="00283CEC">
        <w:t xml:space="preserve"> a document setting out the management of natural resources, such as rivers, wetlands, terrestrial habitat and agricultural land. </w:t>
      </w:r>
    </w:p>
    <w:p w:rsidR="002717D5" w:rsidRPr="00283CEC" w:rsidRDefault="002717D5" w:rsidP="002717D5">
      <w:pPr>
        <w:pStyle w:val="bt"/>
      </w:pPr>
      <w:r w:rsidRPr="00283CEC">
        <w:rPr>
          <w:rStyle w:val="Strong"/>
        </w:rPr>
        <w:t xml:space="preserve">Regional cities: </w:t>
      </w:r>
      <w:r w:rsidRPr="00283CEC">
        <w:t>the 10 largest cities outside metropolitan Melbourne (Ballarat, Bendigo, Geelong, Horsham, Latrobe, Mildura, Shepparton, Warrnambool, Wangaratta and Wodonga). The relevant municipalities are represented by the Regional Cities Victoria group and together they advocate a whole-of-government approach to delivering services and infrastructure.</w:t>
      </w:r>
    </w:p>
    <w:p w:rsidR="002717D5" w:rsidRPr="00283CEC" w:rsidRDefault="002717D5" w:rsidP="002717D5">
      <w:pPr>
        <w:pStyle w:val="bt"/>
        <w:rPr>
          <w:rStyle w:val="Strong"/>
          <w:b w:val="0"/>
          <w:bCs w:val="0"/>
        </w:rPr>
      </w:pPr>
      <w:r w:rsidRPr="00283CEC">
        <w:rPr>
          <w:rStyle w:val="Strong"/>
        </w:rPr>
        <w:t>Registered Aboriginal Party:</w:t>
      </w:r>
      <w:r w:rsidRPr="00283CEC">
        <w:t xml:space="preserve"> represents Aboriginal people in the management and protection of Aboriginal cultural heritage.</w:t>
      </w:r>
    </w:p>
    <w:p w:rsidR="002717D5" w:rsidRPr="00283CEC" w:rsidRDefault="002717D5" w:rsidP="002717D5">
      <w:pPr>
        <w:pStyle w:val="bt"/>
      </w:pPr>
      <w:r w:rsidRPr="00283CEC">
        <w:rPr>
          <w:rStyle w:val="Strong"/>
        </w:rPr>
        <w:t>Social infrastructure:</w:t>
      </w:r>
      <w:r w:rsidRPr="00283CEC">
        <w:t xml:space="preserve"> includes community facilities, services, and networks that help communities meet their social needs and maximise their potential wellbeing such as, sports and recreation facilities, schools and hospitals.</w:t>
      </w:r>
    </w:p>
    <w:p w:rsidR="002717D5" w:rsidRPr="00283CEC" w:rsidRDefault="002717D5" w:rsidP="002717D5">
      <w:pPr>
        <w:pStyle w:val="bt"/>
        <w:rPr>
          <w:rStyle w:val="Strong"/>
          <w:b w:val="0"/>
          <w:bCs w:val="0"/>
        </w:rPr>
      </w:pPr>
      <w:r w:rsidRPr="00283CEC">
        <w:rPr>
          <w:rStyle w:val="Strong"/>
        </w:rPr>
        <w:t>Strategic tourism investment areas:</w:t>
      </w:r>
      <w:r w:rsidRPr="00283CEC">
        <w:rPr>
          <w:rStyle w:val="Strong"/>
          <w:b w:val="0"/>
          <w:bCs w:val="0"/>
        </w:rPr>
        <w:t xml:space="preserve"> </w:t>
      </w:r>
      <w:r w:rsidRPr="00283CEC">
        <w:rPr>
          <w:szCs w:val="20"/>
        </w:rPr>
        <w:t>areas identified as having potential to rejuvenate, expand or develop tourism product of regional significance. These areas have been identified through an assessment of existing tourism strategies (national, statewide, regional and local) and criteria including proximity to existing tourism products and infrastructure, and proximity to national or state parks, coastal parks or ocean beaches linked to a touring route.</w:t>
      </w:r>
    </w:p>
    <w:p w:rsidR="002717D5" w:rsidRPr="00283CEC" w:rsidRDefault="002717D5" w:rsidP="002717D5">
      <w:pPr>
        <w:pStyle w:val="bt"/>
      </w:pPr>
      <w:r w:rsidRPr="00283CEC">
        <w:rPr>
          <w:rStyle w:val="Strong"/>
        </w:rPr>
        <w:t>Terrestrial habitats:</w:t>
      </w:r>
      <w:r w:rsidRPr="00283CEC">
        <w:t xml:space="preserve">  combinations of biological and physical features of the landscape (including native vegetation, fallen timber and litter, soil, rocks, etc) that enable populations of each native plant or animal species (or group of species) to live and reproduce. Features can be considered at the site scale, for example, the food sources used by individuals, and the landscape scale, for example, the linkages used for movement between areas, or the refuges used to cope with disturbance events.</w:t>
      </w:r>
    </w:p>
    <w:p w:rsidR="002717D5" w:rsidRPr="00283CEC" w:rsidRDefault="002717D5" w:rsidP="002717D5">
      <w:pPr>
        <w:pStyle w:val="bt"/>
        <w:rPr>
          <w:rStyle w:val="Strong"/>
          <w:b w:val="0"/>
          <w:bCs w:val="0"/>
        </w:rPr>
      </w:pPr>
      <w:r w:rsidRPr="00283CEC">
        <w:rPr>
          <w:rStyle w:val="Strong"/>
        </w:rPr>
        <w:t>Town centre:</w:t>
      </w:r>
      <w:r w:rsidRPr="00283CEC">
        <w:rPr>
          <w:rStyle w:val="Strong"/>
          <w:b w:val="0"/>
          <w:bCs w:val="0"/>
        </w:rPr>
        <w:t xml:space="preserve"> the area comprising the core commercial, civic and community functions of a town.</w:t>
      </w:r>
    </w:p>
    <w:p w:rsidR="002717D5" w:rsidRPr="00283CEC" w:rsidRDefault="002717D5" w:rsidP="002717D5">
      <w:pPr>
        <w:pStyle w:val="bt"/>
        <w:rPr>
          <w:rStyle w:val="Strong"/>
          <w:b w:val="0"/>
          <w:bCs w:val="0"/>
        </w:rPr>
      </w:pPr>
      <w:r w:rsidRPr="00283CEC">
        <w:rPr>
          <w:rStyle w:val="Strong"/>
        </w:rPr>
        <w:t>Transport corridor:</w:t>
      </w:r>
      <w:r w:rsidRPr="00283CEC">
        <w:t xml:space="preserve"> a linear tract of land that contains lines of transportation such as highways or railway lines.</w:t>
      </w:r>
    </w:p>
    <w:p w:rsidR="009727FA" w:rsidRPr="00283CEC" w:rsidRDefault="002717D5" w:rsidP="006063C7">
      <w:pPr>
        <w:pStyle w:val="bt"/>
      </w:pPr>
      <w:r w:rsidRPr="00283CEC">
        <w:rPr>
          <w:rStyle w:val="Strong"/>
        </w:rPr>
        <w:t>Water sensitive urban design:</w:t>
      </w:r>
      <w:r w:rsidRPr="00283CEC">
        <w:t xml:space="preserve"> a planning and engineering design approach that integrates the urban water cycle – including stormwater, groundwater and wastewater management and water supply – into the design of urban areas to minimise environmental degradation and improve aesthetic and recreational appeal.</w:t>
      </w:r>
    </w:p>
    <w:sectPr w:rsidR="009727FA" w:rsidRPr="00283CEC" w:rsidSect="00D047F1">
      <w:headerReference w:type="default" r:id="rId27"/>
      <w:pgSz w:w="11906" w:h="16838"/>
      <w:pgMar w:top="1440" w:right="1440" w:bottom="993"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F41" w:rsidRDefault="00DF7F41" w:rsidP="00E02F62">
      <w:pPr>
        <w:spacing w:after="0" w:line="240" w:lineRule="auto"/>
      </w:pPr>
      <w:r>
        <w:separator/>
      </w:r>
    </w:p>
    <w:p w:rsidR="00DF7F41" w:rsidRDefault="00DF7F41"/>
  </w:endnote>
  <w:endnote w:type="continuationSeparator" w:id="0">
    <w:p w:rsidR="00DF7F41" w:rsidRDefault="00DF7F41" w:rsidP="00E02F62">
      <w:pPr>
        <w:spacing w:after="0" w:line="240" w:lineRule="auto"/>
      </w:pPr>
      <w:r>
        <w:continuationSeparator/>
      </w:r>
    </w:p>
    <w:p w:rsidR="00DF7F41" w:rsidRDefault="00DF7F41"/>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DIN">
    <w:altName w:val="DIN"/>
    <w:panose1 w:val="00000000000000000000"/>
    <w:charset w:val="00"/>
    <w:family w:val="swiss"/>
    <w:notTrueType/>
    <w:pitch w:val="default"/>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256DAE" w:rsidRDefault="00DF7F41" w:rsidP="00256DAE">
    <w:pPr>
      <w:pStyle w:val="Footer"/>
      <w:rPr>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A5266D" w:rsidRDefault="00DF7F41" w:rsidP="00A5266D">
    <w:pPr>
      <w:pStyle w:val="Footer"/>
      <w:rPr>
        <w:szCs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Default="00DF7F41" w:rsidP="00CF205A">
    <w:pPr>
      <w:pStyle w:val="Foote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E24106" w:rsidRDefault="00E2132D" w:rsidP="00E24106">
    <w:pPr>
      <w:pStyle w:val="Footer"/>
      <w:pBdr>
        <w:top w:val="single" w:sz="4" w:space="1" w:color="auto"/>
      </w:pBdr>
    </w:pPr>
    <w:fldSimple w:instr=" PAGE   \* MERGEFORMAT ">
      <w:r w:rsidR="001765A4">
        <w:rPr>
          <w:noProof/>
        </w:rPr>
        <w:t>62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F41" w:rsidRDefault="00DF7F41" w:rsidP="00E02F62">
      <w:pPr>
        <w:spacing w:after="0" w:line="240" w:lineRule="auto"/>
      </w:pPr>
      <w:r>
        <w:separator/>
      </w:r>
    </w:p>
    <w:p w:rsidR="00DF7F41" w:rsidRDefault="00DF7F41"/>
  </w:footnote>
  <w:footnote w:type="continuationSeparator" w:id="0">
    <w:p w:rsidR="00DF7F41" w:rsidRDefault="00DF7F41" w:rsidP="00E02F62">
      <w:pPr>
        <w:spacing w:after="0" w:line="240" w:lineRule="auto"/>
      </w:pPr>
      <w:r>
        <w:continuationSeparator/>
      </w:r>
    </w:p>
    <w:p w:rsidR="00DF7F41" w:rsidRDefault="00DF7F41"/>
  </w:footnote>
  <w:footnote w:id="1">
    <w:p w:rsidR="00DF7F41" w:rsidRPr="00071613" w:rsidRDefault="00DF7F41" w:rsidP="00071613">
      <w:pPr>
        <w:pStyle w:val="FootnoteText"/>
      </w:pPr>
      <w:r w:rsidRPr="00071613">
        <w:rPr>
          <w:rStyle w:val="FootnoteReference"/>
          <w:vertAlign w:val="baseline"/>
        </w:rPr>
        <w:footnoteRef/>
      </w:r>
      <w:r w:rsidRPr="00071613">
        <w:t xml:space="preserve"> REMPLAN, Gippsland Regional Plan 2010 Economic Profile: http://gippslandregionalplan.com.au/Our_economy.php</w:t>
      </w:r>
    </w:p>
  </w:footnote>
  <w:footnote w:id="2">
    <w:p w:rsidR="00DF7F41" w:rsidRPr="00071613" w:rsidRDefault="00DF7F41" w:rsidP="00D44026">
      <w:pPr>
        <w:pStyle w:val="FootnoteText"/>
      </w:pPr>
      <w:r w:rsidRPr="00071613">
        <w:rPr>
          <w:rStyle w:val="FootnoteReference"/>
          <w:vertAlign w:val="baseline"/>
        </w:rPr>
        <w:footnoteRef/>
      </w:r>
      <w:r w:rsidRPr="00071613">
        <w:t xml:space="preserve"> Throughout this document the term ‘Aboriginal’ is used to refer to both Aboriginal and Torres Strait Islander people. Use of the terms ‘Koori’, ‘Koorie’ and ‘Indigenous’ are retained in the names of programs and initiatives and, unless noted otherwise, are inclusive of both Aboriginal and Torres Strait Islander peoples.</w:t>
      </w:r>
    </w:p>
  </w:footnote>
  <w:footnote w:id="3">
    <w:p w:rsidR="00DF7F41" w:rsidRPr="00071613" w:rsidRDefault="00DF7F41" w:rsidP="00071613">
      <w:pPr>
        <w:pStyle w:val="FootnoteText"/>
      </w:pPr>
      <w:r w:rsidRPr="00071613">
        <w:rPr>
          <w:rStyle w:val="FootnoteReference"/>
          <w:vertAlign w:val="baseline"/>
        </w:rPr>
        <w:footnoteRef/>
      </w:r>
      <w:r w:rsidRPr="00071613">
        <w:t xml:space="preserve"> Providing ecosystem services through market-based approaches (including competitive tenders such as EcoTender and BushTender), can provide farmers with income for undertaking environmental works that conserves and enhances the environment.</w:t>
      </w:r>
    </w:p>
  </w:footnote>
  <w:footnote w:id="4">
    <w:p w:rsidR="00DF7F41" w:rsidRPr="00071613" w:rsidRDefault="00DF7F41" w:rsidP="00071613">
      <w:pPr>
        <w:pStyle w:val="FootnoteText"/>
      </w:pPr>
      <w:r w:rsidRPr="00071613">
        <w:rPr>
          <w:rStyle w:val="FootnoteReference"/>
          <w:vertAlign w:val="baseline"/>
        </w:rPr>
        <w:footnoteRef/>
      </w:r>
      <w:r w:rsidRPr="00071613">
        <w:t>Refer to Section 6.4 of the background report.</w:t>
      </w:r>
    </w:p>
  </w:footnote>
  <w:footnote w:id="5">
    <w:p w:rsidR="00DF7F41" w:rsidRDefault="00DF7F41" w:rsidP="00071613">
      <w:pPr>
        <w:pStyle w:val="FootnoteText"/>
      </w:pPr>
      <w:r w:rsidRPr="000E69CD">
        <w:rPr>
          <w:rStyle w:val="FootnoteReference"/>
          <w:szCs w:val="16"/>
          <w:vertAlign w:val="baseline"/>
        </w:rPr>
        <w:footnoteRef/>
      </w:r>
      <w:r w:rsidRPr="0033213D">
        <w:t xml:space="preserve"> Significant landscapes are </w:t>
      </w:r>
      <w:r>
        <w:t>considered by this plan to be those assessed for</w:t>
      </w:r>
      <w:r w:rsidRPr="0033213D">
        <w:t xml:space="preserve"> landscape ch</w:t>
      </w:r>
      <w:r>
        <w:t>aracteristics and identified</w:t>
      </w:r>
      <w:r w:rsidRPr="0033213D">
        <w:t xml:space="preserve"> </w:t>
      </w:r>
      <w:r>
        <w:t>as</w:t>
      </w:r>
      <w:r w:rsidRPr="0033213D">
        <w:t xml:space="preserve"> visually</w:t>
      </w:r>
      <w:r>
        <w:t xml:space="preserve"> </w:t>
      </w:r>
      <w:r w:rsidRPr="0033213D">
        <w:t>significant landscape</w:t>
      </w:r>
      <w:r>
        <w:t xml:space="preserve">s, consistent with the </w:t>
      </w:r>
      <w:r w:rsidRPr="00104FBB">
        <w:t>Coastal Spaces Landscape Assessment Study</w:t>
      </w:r>
      <w:r>
        <w:t>.</w:t>
      </w:r>
    </w:p>
  </w:footnote>
  <w:footnote w:id="6">
    <w:p w:rsidR="00DF7F41" w:rsidRPr="00071613" w:rsidRDefault="00DF7F41" w:rsidP="00071613">
      <w:pPr>
        <w:pStyle w:val="FootnoteText"/>
      </w:pPr>
      <w:r w:rsidRPr="00071613">
        <w:rPr>
          <w:rStyle w:val="FootnoteReference"/>
          <w:vertAlign w:val="baseline"/>
        </w:rPr>
        <w:footnoteRef/>
      </w:r>
      <w:r w:rsidRPr="00071613">
        <w:t xml:space="preserve"> www.climatechange.vic.gov.au/adapting-to-climate-change/future-coasts</w:t>
      </w:r>
    </w:p>
  </w:footnote>
  <w:footnote w:id="7">
    <w:p w:rsidR="00DF7F41" w:rsidRPr="00071613" w:rsidRDefault="00DF7F41" w:rsidP="007801D8">
      <w:pPr>
        <w:pStyle w:val="FootnoteText"/>
      </w:pPr>
      <w:r w:rsidRPr="00071613">
        <w:rPr>
          <w:rStyle w:val="FootnoteReference"/>
          <w:vertAlign w:val="baseline"/>
        </w:rPr>
        <w:footnoteRef/>
      </w:r>
      <w:r w:rsidRPr="00071613">
        <w:t xml:space="preserve"> Integrated water cycle strategies will supersede water supply demand strategies by 2017.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Default="00DF7F41" w:rsidP="006C25FB">
    <w:pPr>
      <w:pStyle w:val="Header"/>
      <w:ind w:left="-1418" w:firstLine="142"/>
    </w:pPr>
    <w:r>
      <w:rPr>
        <w:noProof/>
        <w:lang w:eastAsia="en-AU"/>
      </w:rPr>
      <w:drawing>
        <wp:inline distT="0" distB="0" distL="0" distR="0">
          <wp:extent cx="7193280" cy="1554480"/>
          <wp:effectExtent l="19050" t="0" r="7620" b="7620"/>
          <wp:docPr id="1" name="Picture 2" descr="Banner for Regional Growth Plans, A Vision for Victoria - draft Gipps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ner for Regional Growth Plans, A Vision for Victoria - draft Gippsland"/>
                  <pic:cNvPicPr>
                    <a:picLocks noChangeAspect="1" noChangeArrowheads="1"/>
                  </pic:cNvPicPr>
                </pic:nvPicPr>
                <pic:blipFill>
                  <a:blip r:embed="rId1"/>
                  <a:srcRect/>
                  <a:stretch>
                    <a:fillRect/>
                  </a:stretch>
                </pic:blipFill>
                <pic:spPr bwMode="auto">
                  <a:xfrm>
                    <a:off x="0" y="0"/>
                    <a:ext cx="7193280" cy="1554480"/>
                  </a:xfrm>
                  <a:prstGeom prst="rect">
                    <a:avLst/>
                  </a:prstGeom>
                  <a:noFill/>
                  <a:ln w="9525">
                    <a:noFill/>
                    <a:miter lim="800000"/>
                    <a:headEnd/>
                    <a:tailEnd/>
                  </a:ln>
                </pic:spPr>
              </pic:pic>
            </a:graphicData>
          </a:graphic>
        </wp:inline>
      </w:drawing>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A5266D" w:rsidRDefault="00DF7F41" w:rsidP="008140B0">
    <w:pPr>
      <w:pStyle w:val="Header-Main"/>
      <w:pBdr>
        <w:bottom w:val="none" w:sz="0" w:space="0" w:color="auto"/>
      </w:pBdr>
      <w:rPr>
        <w:rStyle w:val="Header-MainChar"/>
      </w:rPr>
    </w:pPr>
    <w:r>
      <w:rPr>
        <w:rStyle w:val="Header-MainChar"/>
      </w:rPr>
      <w:t>Gippsla</w:t>
    </w:r>
    <w:r w:rsidRPr="00A5266D">
      <w:rPr>
        <w:rStyle w:val="Header-MainChar"/>
      </w:rPr>
      <w:t>nd Regional Growth Plan</w:t>
    </w:r>
  </w:p>
  <w:p w:rsidR="00DF7F41" w:rsidRDefault="00DF7F41" w:rsidP="00CC3A69">
    <w:pPr>
      <w:pStyle w:val="Header-Sub"/>
      <w:pBdr>
        <w:bottom w:val="none" w:sz="0" w:space="0" w:color="auto"/>
      </w:pBdr>
    </w:pPr>
    <w:r w:rsidRPr="003B4400">
      <w:t xml:space="preserve">Part </w:t>
    </w:r>
    <w:r>
      <w:t xml:space="preserve">C: Towards the regional growth plan – Regional land use framework  </w:t>
    </w:r>
  </w:p>
  <w:p w:rsidR="00DF7F41" w:rsidRPr="003B4400" w:rsidRDefault="00DF7F41" w:rsidP="00CC3A69">
    <w:pPr>
      <w:pStyle w:val="Header"/>
      <w:pBdr>
        <w:top w:val="single" w:sz="4" w:space="1" w:color="auto"/>
      </w:pBdr>
      <w:tabs>
        <w:tab w:val="clear" w:pos="9026"/>
        <w:tab w:val="right" w:pos="9072"/>
      </w:tabs>
      <w:spacing w:line="276" w:lineRule="auto"/>
      <w:rPr>
        <w:rFonts w:cs="Calibri"/>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1" w:rsidRPr="00A5266D" w:rsidRDefault="00C26151" w:rsidP="008140B0">
    <w:pPr>
      <w:pStyle w:val="Header-Main"/>
      <w:pBdr>
        <w:bottom w:val="none" w:sz="0" w:space="0" w:color="auto"/>
      </w:pBdr>
      <w:rPr>
        <w:rStyle w:val="Header-MainChar"/>
      </w:rPr>
    </w:pPr>
    <w:r>
      <w:rPr>
        <w:rStyle w:val="Header-MainChar"/>
      </w:rPr>
      <w:t>Gippsla</w:t>
    </w:r>
    <w:r w:rsidRPr="00A5266D">
      <w:rPr>
        <w:rStyle w:val="Header-MainChar"/>
      </w:rPr>
      <w:t>nd Regional Growth Plan</w:t>
    </w:r>
  </w:p>
  <w:p w:rsidR="00C26151" w:rsidRDefault="00C26151" w:rsidP="00CC3A69">
    <w:pPr>
      <w:pStyle w:val="Header-Sub"/>
      <w:pBdr>
        <w:bottom w:val="none" w:sz="0" w:space="0" w:color="auto"/>
      </w:pBdr>
    </w:pPr>
    <w:r w:rsidRPr="003B4400">
      <w:t xml:space="preserve">Part </w:t>
    </w:r>
    <w:r>
      <w:t xml:space="preserve">D: Regional Growth Plan  </w:t>
    </w:r>
  </w:p>
  <w:p w:rsidR="00C26151" w:rsidRPr="003B4400" w:rsidRDefault="00C26151" w:rsidP="00CC3A69">
    <w:pPr>
      <w:pStyle w:val="Header"/>
      <w:pBdr>
        <w:top w:val="single" w:sz="4" w:space="1" w:color="auto"/>
      </w:pBdr>
      <w:tabs>
        <w:tab w:val="clear" w:pos="9026"/>
        <w:tab w:val="right" w:pos="9072"/>
      </w:tabs>
      <w:spacing w:line="276" w:lineRule="auto"/>
      <w:rPr>
        <w:rFonts w:cs="Calibri"/>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6151" w:rsidRPr="00A5266D" w:rsidRDefault="00C26151" w:rsidP="008140B0">
    <w:pPr>
      <w:pStyle w:val="Header-Main"/>
      <w:pBdr>
        <w:bottom w:val="none" w:sz="0" w:space="0" w:color="auto"/>
      </w:pBdr>
      <w:rPr>
        <w:rStyle w:val="Header-MainChar"/>
      </w:rPr>
    </w:pPr>
    <w:r>
      <w:rPr>
        <w:rStyle w:val="Header-MainChar"/>
      </w:rPr>
      <w:t>Gippsla</w:t>
    </w:r>
    <w:r w:rsidRPr="00A5266D">
      <w:rPr>
        <w:rStyle w:val="Header-MainChar"/>
      </w:rPr>
      <w:t>nd Regional Growth Plan</w:t>
    </w:r>
  </w:p>
  <w:p w:rsidR="00C26151" w:rsidRDefault="00C26151" w:rsidP="00CC3A69">
    <w:pPr>
      <w:pStyle w:val="Header-Sub"/>
      <w:pBdr>
        <w:bottom w:val="none" w:sz="0" w:space="0" w:color="auto"/>
      </w:pBdr>
    </w:pPr>
    <w:r w:rsidRPr="003B4400">
      <w:t xml:space="preserve">Part </w:t>
    </w:r>
    <w:r>
      <w:t xml:space="preserve">E: Delivering Regional Growth </w:t>
    </w:r>
  </w:p>
  <w:p w:rsidR="00C26151" w:rsidRPr="003B4400" w:rsidRDefault="00C26151" w:rsidP="00CC3A69">
    <w:pPr>
      <w:pStyle w:val="Header"/>
      <w:pBdr>
        <w:top w:val="single" w:sz="4" w:space="1" w:color="auto"/>
      </w:pBdr>
      <w:tabs>
        <w:tab w:val="clear" w:pos="9026"/>
        <w:tab w:val="right" w:pos="9072"/>
      </w:tabs>
      <w:spacing w:line="276" w:lineRule="auto"/>
      <w:rPr>
        <w:rFonts w:cs="Calibri"/>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A5266D" w:rsidRDefault="00DF7F41" w:rsidP="00A5266D">
    <w:pPr>
      <w:pStyle w:val="Header-Main"/>
      <w:pBdr>
        <w:bottom w:val="none" w:sz="0" w:space="0" w:color="auto"/>
      </w:pBdr>
      <w:rPr>
        <w:rStyle w:val="Header-MainChar"/>
      </w:rPr>
    </w:pPr>
    <w:r>
      <w:rPr>
        <w:rStyle w:val="Header-MainChar"/>
      </w:rPr>
      <w:t>Gippsla</w:t>
    </w:r>
    <w:r w:rsidRPr="00A5266D">
      <w:rPr>
        <w:rStyle w:val="Header-MainChar"/>
      </w:rPr>
      <w:t>nd Regional Growth Plan</w:t>
    </w:r>
  </w:p>
  <w:p w:rsidR="00DF7F41" w:rsidRDefault="00DF7F41" w:rsidP="00A5266D">
    <w:pPr>
      <w:pStyle w:val="Header-Sub"/>
      <w:pBdr>
        <w:bottom w:val="none" w:sz="0" w:space="0" w:color="auto"/>
      </w:pBdr>
    </w:pPr>
    <w:r>
      <w:t>Glossary</w:t>
    </w:r>
  </w:p>
  <w:p w:rsidR="00DF7F41" w:rsidRDefault="00DF7F41" w:rsidP="00A5266D">
    <w:pPr>
      <w:pStyle w:val="Header"/>
      <w:pBdr>
        <w:top w:val="single" w:sz="4" w:space="1" w:color="auto"/>
      </w:pBdr>
      <w:tabs>
        <w:tab w:val="clear" w:pos="9026"/>
        <w:tab w:val="right" w:pos="9072"/>
      </w:tabs>
      <w:spacing w:line="276" w:lineRule="auto"/>
      <w:rPr>
        <w:sz w:val="18"/>
        <w:szCs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256DAE" w:rsidRDefault="00DF7F41" w:rsidP="00256DAE">
    <w:pPr>
      <w:pStyle w:val="Header"/>
      <w:rPr>
        <w:szCs w:val="1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Default="00DF7F41" w:rsidP="006C25FB">
    <w:pPr>
      <w:pStyle w:val="Header"/>
      <w:ind w:left="-1418" w:firstLine="142"/>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AE29CC" w:rsidRDefault="00DF7F41" w:rsidP="006F7125">
    <w:pPr>
      <w:pStyle w:val="Header"/>
      <w:tabs>
        <w:tab w:val="clear" w:pos="4513"/>
        <w:tab w:val="clear" w:pos="9026"/>
        <w:tab w:val="left" w:pos="0"/>
        <w:tab w:val="right" w:pos="9072"/>
      </w:tabs>
      <w:spacing w:line="276" w:lineRule="auto"/>
      <w:rPr>
        <w:b/>
        <w:sz w:val="18"/>
        <w:szCs w:val="18"/>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Default="00DF7F41">
    <w:pPr>
      <w:pStyle w:val="Heade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A5266D" w:rsidRDefault="00DF7F41" w:rsidP="00A5266D">
    <w:pPr>
      <w:pStyle w:val="Header-Main"/>
      <w:pBdr>
        <w:bottom w:val="none" w:sz="0" w:space="0" w:color="auto"/>
      </w:pBdr>
      <w:rPr>
        <w:rStyle w:val="Header-MainChar"/>
      </w:rPr>
    </w:pPr>
    <w:r>
      <w:rPr>
        <w:rStyle w:val="Header-MainChar"/>
      </w:rPr>
      <w:t>Gippsla</w:t>
    </w:r>
    <w:r w:rsidRPr="00A5266D">
      <w:rPr>
        <w:rStyle w:val="Header-MainChar"/>
      </w:rPr>
      <w:t>nd Regional Growth Plan</w:t>
    </w:r>
  </w:p>
  <w:p w:rsidR="00DF7F41" w:rsidRDefault="00DF7F41" w:rsidP="00A5266D">
    <w:pPr>
      <w:pStyle w:val="Header-Sub"/>
      <w:pBdr>
        <w:bottom w:val="none" w:sz="0" w:space="0" w:color="auto"/>
      </w:pBdr>
    </w:pPr>
    <w:r>
      <w:t>Executive summary</w:t>
    </w:r>
  </w:p>
  <w:p w:rsidR="00DF7F41" w:rsidRDefault="00DF7F41" w:rsidP="00A5266D">
    <w:pPr>
      <w:pStyle w:val="Header"/>
      <w:pBdr>
        <w:top w:val="single" w:sz="4" w:space="1" w:color="auto"/>
      </w:pBdr>
      <w:tabs>
        <w:tab w:val="clear" w:pos="9026"/>
        <w:tab w:val="right" w:pos="9072"/>
      </w:tabs>
      <w:spacing w:line="276" w:lineRule="auto"/>
      <w:rPr>
        <w:sz w:val="18"/>
        <w:szCs w:val="18"/>
      </w:rPr>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6C25FB" w:rsidRDefault="00E2132D" w:rsidP="006B4B1C">
    <w:pPr>
      <w:pStyle w:val="Header"/>
      <w:tabs>
        <w:tab w:val="clear" w:pos="4513"/>
        <w:tab w:val="clear" w:pos="9026"/>
        <w:tab w:val="left" w:pos="0"/>
        <w:tab w:val="right" w:pos="9072"/>
      </w:tabs>
      <w:spacing w:line="276" w:lineRule="auto"/>
      <w:jc w:val="both"/>
      <w:rPr>
        <w:sz w:val="18"/>
        <w:szCs w:val="18"/>
      </w:rPr>
    </w:pPr>
    <w:fldSimple w:instr=" STYLEREF  &quot;Heading 1,1 NoNum&quot;  \* MERGEFORMAT ">
      <w:r w:rsidR="001D67DE" w:rsidRPr="001D67DE">
        <w:rPr>
          <w:noProof/>
          <w:sz w:val="18"/>
          <w:szCs w:val="18"/>
        </w:rPr>
        <w:t>EXECUTIVE SUMMARY</w:t>
      </w:r>
    </w:fldSimple>
    <w:r w:rsidR="00DF7F41">
      <w:rPr>
        <w:sz w:val="18"/>
        <w:szCs w:val="18"/>
      </w:rPr>
      <w:tab/>
    </w:r>
    <w:r>
      <w:fldChar w:fldCharType="begin"/>
    </w:r>
    <w:r w:rsidR="00DF7F41">
      <w:instrText xml:space="preserve"> STYLEREF  "Heading 2_no num"  \* MERGEFORMAT </w:instrText>
    </w:r>
    <w:r>
      <w:fldChar w:fldCharType="separate"/>
    </w:r>
    <w:r w:rsidR="001D67DE">
      <w:rPr>
        <w:b/>
        <w:bCs/>
        <w:noProof/>
        <w:lang w:val="en-US"/>
      </w:rPr>
      <w:t>Error! No text of specified style in document.</w:t>
    </w:r>
    <w:r>
      <w:fldChar w:fldCharType="end"/>
    </w:r>
  </w:p>
  <w:p w:rsidR="00DF7F41" w:rsidRDefault="00DF7F41" w:rsidP="006B4B1C">
    <w:pPr>
      <w:pStyle w:val="Header"/>
      <w:spacing w:line="276" w:lineRule="auto"/>
      <w:jc w:val="center"/>
    </w:pPr>
  </w:p>
  <w:p w:rsidR="00DF7F41" w:rsidRDefault="00DF7F41">
    <w:pPr>
      <w:pStyle w:val="Header"/>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A5266D" w:rsidRDefault="00DF7F41" w:rsidP="00A5266D">
    <w:pPr>
      <w:pStyle w:val="Header-Main"/>
      <w:pBdr>
        <w:bottom w:val="none" w:sz="0" w:space="0" w:color="auto"/>
      </w:pBdr>
      <w:rPr>
        <w:rStyle w:val="Header-MainChar"/>
      </w:rPr>
    </w:pPr>
    <w:r>
      <w:rPr>
        <w:rStyle w:val="Header-MainChar"/>
      </w:rPr>
      <w:t>Gippsla</w:t>
    </w:r>
    <w:r w:rsidRPr="00A5266D">
      <w:rPr>
        <w:rStyle w:val="Header-MainChar"/>
      </w:rPr>
      <w:t>nd Regional Growth Plan</w:t>
    </w:r>
  </w:p>
  <w:p w:rsidR="00DF7F41" w:rsidRPr="00AE29CC" w:rsidRDefault="00DF7F41" w:rsidP="00A5266D">
    <w:pPr>
      <w:pStyle w:val="Header-Sub"/>
    </w:pPr>
    <w:r>
      <w:t>Part A: Introduction</w:t>
    </w:r>
  </w:p>
  <w:p w:rsidR="00DF7F41" w:rsidRPr="00BC653A" w:rsidRDefault="00DF7F41" w:rsidP="00BC653A">
    <w:pPr>
      <w:pStyle w:val="Header"/>
      <w:rPr>
        <w:szCs w:val="18"/>
      </w:rP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7F41" w:rsidRPr="00A5266D" w:rsidRDefault="00DF7F41" w:rsidP="00A5266D">
    <w:pPr>
      <w:pStyle w:val="Header-Main"/>
      <w:pBdr>
        <w:bottom w:val="none" w:sz="0" w:space="0" w:color="auto"/>
      </w:pBdr>
      <w:rPr>
        <w:rStyle w:val="Header-MainChar"/>
      </w:rPr>
    </w:pPr>
    <w:r>
      <w:rPr>
        <w:rStyle w:val="Header-MainChar"/>
      </w:rPr>
      <w:t>Gippsla</w:t>
    </w:r>
    <w:r w:rsidRPr="00A5266D">
      <w:rPr>
        <w:rStyle w:val="Header-MainChar"/>
      </w:rPr>
      <w:t>nd Regional Growth Plan</w:t>
    </w:r>
  </w:p>
  <w:p w:rsidR="00DF7F41" w:rsidRPr="00AE29CC" w:rsidRDefault="00DF7F41" w:rsidP="00A5266D">
    <w:pPr>
      <w:pStyle w:val="Header-Sub"/>
    </w:pPr>
    <w:r>
      <w:t>Part B: Regional overview</w:t>
    </w:r>
  </w:p>
  <w:p w:rsidR="00DF7F41" w:rsidRPr="00BC653A" w:rsidRDefault="00DF7F41" w:rsidP="00BC653A">
    <w:pPr>
      <w:pStyle w:val="Header"/>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8ED2AAC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D3D2DEDA"/>
    <w:lvl w:ilvl="0">
      <w:start w:val="1"/>
      <w:numFmt w:val="decimal"/>
      <w:pStyle w:val="ListNumber3"/>
      <w:lvlText w:val="%1."/>
      <w:lvlJc w:val="left"/>
      <w:pPr>
        <w:tabs>
          <w:tab w:val="num" w:pos="926"/>
        </w:tabs>
        <w:ind w:left="926" w:hanging="360"/>
      </w:pPr>
    </w:lvl>
  </w:abstractNum>
  <w:abstractNum w:abstractNumId="2">
    <w:nsid w:val="FFFFFF7F"/>
    <w:multiLevelType w:val="singleLevel"/>
    <w:tmpl w:val="4E28C6E8"/>
    <w:lvl w:ilvl="0">
      <w:start w:val="1"/>
      <w:numFmt w:val="decimal"/>
      <w:pStyle w:val="ListNumber2"/>
      <w:lvlText w:val="%1."/>
      <w:lvlJc w:val="left"/>
      <w:pPr>
        <w:tabs>
          <w:tab w:val="num" w:pos="643"/>
        </w:tabs>
        <w:ind w:left="643" w:hanging="360"/>
      </w:pPr>
    </w:lvl>
  </w:abstractNum>
  <w:abstractNum w:abstractNumId="3">
    <w:nsid w:val="FFFFFF83"/>
    <w:multiLevelType w:val="singleLevel"/>
    <w:tmpl w:val="A75AA1E4"/>
    <w:lvl w:ilvl="0">
      <w:start w:val="1"/>
      <w:numFmt w:val="bullet"/>
      <w:pStyle w:val="ListBullet2"/>
      <w:lvlText w:val="o"/>
      <w:lvlJc w:val="left"/>
      <w:pPr>
        <w:ind w:left="814" w:hanging="360"/>
      </w:pPr>
      <w:rPr>
        <w:rFonts w:ascii="Courier New" w:hAnsi="Courier New" w:cs="Courier New" w:hint="default"/>
        <w:color w:val="auto"/>
      </w:rPr>
    </w:lvl>
  </w:abstractNum>
  <w:abstractNum w:abstractNumId="4">
    <w:nsid w:val="FFFFFF88"/>
    <w:multiLevelType w:val="singleLevel"/>
    <w:tmpl w:val="4018531E"/>
    <w:lvl w:ilvl="0">
      <w:start w:val="1"/>
      <w:numFmt w:val="decimal"/>
      <w:pStyle w:val="ListNumber"/>
      <w:lvlText w:val="%1."/>
      <w:lvlJc w:val="left"/>
      <w:pPr>
        <w:tabs>
          <w:tab w:val="num" w:pos="360"/>
        </w:tabs>
        <w:ind w:left="360" w:hanging="360"/>
      </w:pPr>
    </w:lvl>
  </w:abstractNum>
  <w:abstractNum w:abstractNumId="5">
    <w:nsid w:val="13321B93"/>
    <w:multiLevelType w:val="hybridMultilevel"/>
    <w:tmpl w:val="41D4CB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DC28BC"/>
    <w:multiLevelType w:val="hybridMultilevel"/>
    <w:tmpl w:val="332A2E92"/>
    <w:lvl w:ilvl="0" w:tplc="FD265288">
      <w:start w:val="1"/>
      <w:numFmt w:val="bullet"/>
      <w:pStyle w:val="bt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FAC33FE"/>
    <w:multiLevelType w:val="hybridMultilevel"/>
    <w:tmpl w:val="BC9059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C5877E4"/>
    <w:multiLevelType w:val="hybridMultilevel"/>
    <w:tmpl w:val="2470554E"/>
    <w:lvl w:ilvl="0" w:tplc="FDB6D9A6">
      <w:start w:val="1"/>
      <w:numFmt w:val="bullet"/>
      <w:pStyle w:val="ListBullet3"/>
      <w:lvlText w:val="o"/>
      <w:lvlJc w:val="left"/>
      <w:pPr>
        <w:tabs>
          <w:tab w:val="num" w:pos="1077"/>
        </w:tabs>
        <w:ind w:left="1077" w:hanging="226"/>
      </w:pPr>
      <w:rPr>
        <w:rFonts w:ascii="Courier New" w:hAnsi="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nsid w:val="4696254A"/>
    <w:multiLevelType w:val="hybridMultilevel"/>
    <w:tmpl w:val="A1BC3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5C892D35"/>
    <w:multiLevelType w:val="hybridMultilevel"/>
    <w:tmpl w:val="B4386306"/>
    <w:lvl w:ilvl="0" w:tplc="60A64F3A">
      <w:start w:val="1"/>
      <w:numFmt w:val="bullet"/>
      <w:pStyle w:val="tabletextbullet"/>
      <w:lvlText w:val=""/>
      <w:lvlJc w:val="left"/>
      <w:pPr>
        <w:tabs>
          <w:tab w:val="num" w:pos="530"/>
        </w:tabs>
        <w:ind w:left="528" w:hanging="358"/>
      </w:pPr>
      <w:rPr>
        <w:rFonts w:ascii="Wingdings" w:hAnsi="Wingdings" w:hint="default"/>
      </w:rPr>
    </w:lvl>
    <w:lvl w:ilvl="1" w:tplc="0C090003" w:tentative="1">
      <w:start w:val="1"/>
      <w:numFmt w:val="bullet"/>
      <w:lvlText w:val="o"/>
      <w:lvlJc w:val="left"/>
      <w:pPr>
        <w:tabs>
          <w:tab w:val="num" w:pos="1499"/>
        </w:tabs>
        <w:ind w:left="1499" w:hanging="360"/>
      </w:pPr>
      <w:rPr>
        <w:rFonts w:ascii="Courier New" w:hAnsi="Courier New" w:cs="Courier New" w:hint="default"/>
      </w:rPr>
    </w:lvl>
    <w:lvl w:ilvl="2" w:tplc="0C090005" w:tentative="1">
      <w:start w:val="1"/>
      <w:numFmt w:val="bullet"/>
      <w:lvlText w:val=""/>
      <w:lvlJc w:val="left"/>
      <w:pPr>
        <w:tabs>
          <w:tab w:val="num" w:pos="2219"/>
        </w:tabs>
        <w:ind w:left="2219" w:hanging="360"/>
      </w:pPr>
      <w:rPr>
        <w:rFonts w:ascii="Wingdings" w:hAnsi="Wingdings" w:hint="default"/>
      </w:rPr>
    </w:lvl>
    <w:lvl w:ilvl="3" w:tplc="0C090001" w:tentative="1">
      <w:start w:val="1"/>
      <w:numFmt w:val="bullet"/>
      <w:lvlText w:val=""/>
      <w:lvlJc w:val="left"/>
      <w:pPr>
        <w:tabs>
          <w:tab w:val="num" w:pos="2939"/>
        </w:tabs>
        <w:ind w:left="2939" w:hanging="360"/>
      </w:pPr>
      <w:rPr>
        <w:rFonts w:ascii="Symbol" w:hAnsi="Symbol" w:hint="default"/>
      </w:rPr>
    </w:lvl>
    <w:lvl w:ilvl="4" w:tplc="0C090003" w:tentative="1">
      <w:start w:val="1"/>
      <w:numFmt w:val="bullet"/>
      <w:lvlText w:val="o"/>
      <w:lvlJc w:val="left"/>
      <w:pPr>
        <w:tabs>
          <w:tab w:val="num" w:pos="3659"/>
        </w:tabs>
        <w:ind w:left="3659" w:hanging="360"/>
      </w:pPr>
      <w:rPr>
        <w:rFonts w:ascii="Courier New" w:hAnsi="Courier New" w:cs="Courier New" w:hint="default"/>
      </w:rPr>
    </w:lvl>
    <w:lvl w:ilvl="5" w:tplc="0C090005" w:tentative="1">
      <w:start w:val="1"/>
      <w:numFmt w:val="bullet"/>
      <w:lvlText w:val=""/>
      <w:lvlJc w:val="left"/>
      <w:pPr>
        <w:tabs>
          <w:tab w:val="num" w:pos="4379"/>
        </w:tabs>
        <w:ind w:left="4379" w:hanging="360"/>
      </w:pPr>
      <w:rPr>
        <w:rFonts w:ascii="Wingdings" w:hAnsi="Wingdings" w:hint="default"/>
      </w:rPr>
    </w:lvl>
    <w:lvl w:ilvl="6" w:tplc="0C090001" w:tentative="1">
      <w:start w:val="1"/>
      <w:numFmt w:val="bullet"/>
      <w:lvlText w:val=""/>
      <w:lvlJc w:val="left"/>
      <w:pPr>
        <w:tabs>
          <w:tab w:val="num" w:pos="5099"/>
        </w:tabs>
        <w:ind w:left="5099" w:hanging="360"/>
      </w:pPr>
      <w:rPr>
        <w:rFonts w:ascii="Symbol" w:hAnsi="Symbol" w:hint="default"/>
      </w:rPr>
    </w:lvl>
    <w:lvl w:ilvl="7" w:tplc="0C090003" w:tentative="1">
      <w:start w:val="1"/>
      <w:numFmt w:val="bullet"/>
      <w:lvlText w:val="o"/>
      <w:lvlJc w:val="left"/>
      <w:pPr>
        <w:tabs>
          <w:tab w:val="num" w:pos="5819"/>
        </w:tabs>
        <w:ind w:left="5819" w:hanging="360"/>
      </w:pPr>
      <w:rPr>
        <w:rFonts w:ascii="Courier New" w:hAnsi="Courier New" w:cs="Courier New" w:hint="default"/>
      </w:rPr>
    </w:lvl>
    <w:lvl w:ilvl="8" w:tplc="0C090005" w:tentative="1">
      <w:start w:val="1"/>
      <w:numFmt w:val="bullet"/>
      <w:lvlText w:val=""/>
      <w:lvlJc w:val="left"/>
      <w:pPr>
        <w:tabs>
          <w:tab w:val="num" w:pos="6539"/>
        </w:tabs>
        <w:ind w:left="6539" w:hanging="360"/>
      </w:pPr>
      <w:rPr>
        <w:rFonts w:ascii="Wingdings" w:hAnsi="Wingdings" w:hint="default"/>
      </w:rPr>
    </w:lvl>
  </w:abstractNum>
  <w:abstractNum w:abstractNumId="11">
    <w:nsid w:val="676C5B70"/>
    <w:multiLevelType w:val="hybridMultilevel"/>
    <w:tmpl w:val="A82AEAF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A4065FE"/>
    <w:multiLevelType w:val="hybridMultilevel"/>
    <w:tmpl w:val="17DA4FEA"/>
    <w:lvl w:ilvl="0" w:tplc="8FFE9884">
      <w:start w:val="1"/>
      <w:numFmt w:val="bullet"/>
      <w:lvlText w:val=""/>
      <w:lvlJc w:val="left"/>
      <w:pPr>
        <w:ind w:left="720" w:hanging="360"/>
      </w:pPr>
      <w:rPr>
        <w:rFonts w:ascii="Wingdings"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6CC6478A"/>
    <w:multiLevelType w:val="multilevel"/>
    <w:tmpl w:val="22AC73AC"/>
    <w:lvl w:ilvl="0">
      <w:start w:val="1"/>
      <w:numFmt w:val="decimal"/>
      <w:pStyle w:val="Heading11"/>
      <w:lvlText w:val="%1."/>
      <w:lvlJc w:val="left"/>
      <w:pPr>
        <w:tabs>
          <w:tab w:val="num" w:pos="432"/>
        </w:tabs>
        <w:ind w:left="432" w:hanging="432"/>
      </w:pPr>
      <w:rPr>
        <w:rFonts w:hint="default"/>
      </w:rPr>
    </w:lvl>
    <w:lvl w:ilvl="1">
      <w:start w:val="1"/>
      <w:numFmt w:val="decimal"/>
      <w:pStyle w:val="Heading2"/>
      <w:lvlText w:val="%1.%2"/>
      <w:lvlJc w:val="left"/>
      <w:pPr>
        <w:tabs>
          <w:tab w:val="num" w:pos="396"/>
        </w:tabs>
        <w:ind w:left="3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684"/>
        </w:tabs>
        <w:ind w:left="684" w:hanging="864"/>
      </w:pPr>
      <w:rPr>
        <w:rFonts w:hint="default"/>
      </w:rPr>
    </w:lvl>
    <w:lvl w:ilvl="4">
      <w:start w:val="1"/>
      <w:numFmt w:val="decimal"/>
      <w:lvlText w:val="%1.%2.%3.%4.%5"/>
      <w:lvlJc w:val="left"/>
      <w:pPr>
        <w:tabs>
          <w:tab w:val="num" w:pos="828"/>
        </w:tabs>
        <w:ind w:left="828" w:hanging="1008"/>
      </w:pPr>
      <w:rPr>
        <w:rFonts w:hint="default"/>
      </w:rPr>
    </w:lvl>
    <w:lvl w:ilvl="5">
      <w:start w:val="1"/>
      <w:numFmt w:val="decimal"/>
      <w:lvlText w:val="%1.%2.%3.%4.%5.%6"/>
      <w:lvlJc w:val="left"/>
      <w:pPr>
        <w:tabs>
          <w:tab w:val="num" w:pos="972"/>
        </w:tabs>
        <w:ind w:left="972" w:hanging="1152"/>
      </w:pPr>
      <w:rPr>
        <w:rFonts w:hint="default"/>
      </w:rPr>
    </w:lvl>
    <w:lvl w:ilvl="6">
      <w:start w:val="1"/>
      <w:numFmt w:val="decimal"/>
      <w:lvlText w:val="%1.%2.%3.%4.%5.%6.%7"/>
      <w:lvlJc w:val="left"/>
      <w:pPr>
        <w:tabs>
          <w:tab w:val="num" w:pos="1116"/>
        </w:tabs>
        <w:ind w:left="1116" w:hanging="1296"/>
      </w:pPr>
      <w:rPr>
        <w:rFonts w:hint="default"/>
      </w:rPr>
    </w:lvl>
    <w:lvl w:ilvl="7">
      <w:start w:val="1"/>
      <w:numFmt w:val="decimal"/>
      <w:lvlText w:val="%1.%2.%3.%4.%5.%6.%7.%8"/>
      <w:lvlJc w:val="left"/>
      <w:pPr>
        <w:tabs>
          <w:tab w:val="num" w:pos="1260"/>
        </w:tabs>
        <w:ind w:left="1260" w:hanging="1440"/>
      </w:pPr>
      <w:rPr>
        <w:rFonts w:hint="default"/>
      </w:rPr>
    </w:lvl>
    <w:lvl w:ilvl="8">
      <w:start w:val="1"/>
      <w:numFmt w:val="decimal"/>
      <w:lvlText w:val="%1.%2.%3.%4.%5.%6.%7.%8.%9"/>
      <w:lvlJc w:val="left"/>
      <w:pPr>
        <w:tabs>
          <w:tab w:val="num" w:pos="1404"/>
        </w:tabs>
        <w:ind w:left="1404" w:hanging="1584"/>
      </w:pPr>
      <w:rPr>
        <w:rFonts w:hint="default"/>
      </w:rPr>
    </w:lvl>
  </w:abstractNum>
  <w:abstractNum w:abstractNumId="14">
    <w:nsid w:val="73AB404B"/>
    <w:multiLevelType w:val="hybridMultilevel"/>
    <w:tmpl w:val="595A634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752C787C"/>
    <w:multiLevelType w:val="hybridMultilevel"/>
    <w:tmpl w:val="25A233AC"/>
    <w:lvl w:ilvl="0" w:tplc="D6CE393E">
      <w:start w:val="1"/>
      <w:numFmt w:val="bullet"/>
      <w:pStyle w:val="ListBullet"/>
      <w:lvlText w:val=""/>
      <w:lvlJc w:val="left"/>
      <w:pPr>
        <w:ind w:left="1630" w:hanging="360"/>
      </w:pPr>
      <w:rPr>
        <w:rFonts w:ascii="Wingdings" w:hAnsi="Wingdings" w:hint="default"/>
        <w:color w:val="auto"/>
      </w:rPr>
    </w:lvl>
    <w:lvl w:ilvl="1" w:tplc="0C090003" w:tentative="1">
      <w:start w:val="1"/>
      <w:numFmt w:val="bullet"/>
      <w:lvlText w:val="o"/>
      <w:lvlJc w:val="left"/>
      <w:pPr>
        <w:ind w:left="2350" w:hanging="360"/>
      </w:pPr>
      <w:rPr>
        <w:rFonts w:ascii="Courier New" w:hAnsi="Courier New" w:cs="Courier New" w:hint="default"/>
      </w:rPr>
    </w:lvl>
    <w:lvl w:ilvl="2" w:tplc="0C090005" w:tentative="1">
      <w:start w:val="1"/>
      <w:numFmt w:val="bullet"/>
      <w:lvlText w:val=""/>
      <w:lvlJc w:val="left"/>
      <w:pPr>
        <w:ind w:left="3070" w:hanging="360"/>
      </w:pPr>
      <w:rPr>
        <w:rFonts w:ascii="Wingdings" w:hAnsi="Wingdings" w:hint="default"/>
      </w:rPr>
    </w:lvl>
    <w:lvl w:ilvl="3" w:tplc="0C090001" w:tentative="1">
      <w:start w:val="1"/>
      <w:numFmt w:val="bullet"/>
      <w:lvlText w:val=""/>
      <w:lvlJc w:val="left"/>
      <w:pPr>
        <w:ind w:left="3790" w:hanging="360"/>
      </w:pPr>
      <w:rPr>
        <w:rFonts w:ascii="Symbol" w:hAnsi="Symbol" w:hint="default"/>
      </w:rPr>
    </w:lvl>
    <w:lvl w:ilvl="4" w:tplc="0C090003" w:tentative="1">
      <w:start w:val="1"/>
      <w:numFmt w:val="bullet"/>
      <w:lvlText w:val="o"/>
      <w:lvlJc w:val="left"/>
      <w:pPr>
        <w:ind w:left="4510" w:hanging="360"/>
      </w:pPr>
      <w:rPr>
        <w:rFonts w:ascii="Courier New" w:hAnsi="Courier New" w:cs="Courier New" w:hint="default"/>
      </w:rPr>
    </w:lvl>
    <w:lvl w:ilvl="5" w:tplc="0C090005" w:tentative="1">
      <w:start w:val="1"/>
      <w:numFmt w:val="bullet"/>
      <w:lvlText w:val=""/>
      <w:lvlJc w:val="left"/>
      <w:pPr>
        <w:ind w:left="5230" w:hanging="360"/>
      </w:pPr>
      <w:rPr>
        <w:rFonts w:ascii="Wingdings" w:hAnsi="Wingdings" w:hint="default"/>
      </w:rPr>
    </w:lvl>
    <w:lvl w:ilvl="6" w:tplc="0C090001" w:tentative="1">
      <w:start w:val="1"/>
      <w:numFmt w:val="bullet"/>
      <w:lvlText w:val=""/>
      <w:lvlJc w:val="left"/>
      <w:pPr>
        <w:ind w:left="5950" w:hanging="360"/>
      </w:pPr>
      <w:rPr>
        <w:rFonts w:ascii="Symbol" w:hAnsi="Symbol" w:hint="default"/>
      </w:rPr>
    </w:lvl>
    <w:lvl w:ilvl="7" w:tplc="0C090003" w:tentative="1">
      <w:start w:val="1"/>
      <w:numFmt w:val="bullet"/>
      <w:lvlText w:val="o"/>
      <w:lvlJc w:val="left"/>
      <w:pPr>
        <w:ind w:left="6670" w:hanging="360"/>
      </w:pPr>
      <w:rPr>
        <w:rFonts w:ascii="Courier New" w:hAnsi="Courier New" w:cs="Courier New" w:hint="default"/>
      </w:rPr>
    </w:lvl>
    <w:lvl w:ilvl="8" w:tplc="0C090005" w:tentative="1">
      <w:start w:val="1"/>
      <w:numFmt w:val="bullet"/>
      <w:lvlText w:val=""/>
      <w:lvlJc w:val="left"/>
      <w:pPr>
        <w:ind w:left="7390" w:hanging="360"/>
      </w:pPr>
      <w:rPr>
        <w:rFonts w:ascii="Wingdings" w:hAnsi="Wingdings" w:hint="default"/>
      </w:rPr>
    </w:lvl>
  </w:abstractNum>
  <w:num w:numId="1">
    <w:abstractNumId w:val="9"/>
  </w:num>
  <w:num w:numId="2">
    <w:abstractNumId w:val="6"/>
  </w:num>
  <w:num w:numId="3">
    <w:abstractNumId w:val="13"/>
  </w:num>
  <w:num w:numId="4">
    <w:abstractNumId w:val="15"/>
  </w:num>
  <w:num w:numId="5">
    <w:abstractNumId w:val="3"/>
  </w:num>
  <w:num w:numId="6">
    <w:abstractNumId w:val="8"/>
  </w:num>
  <w:num w:numId="7">
    <w:abstractNumId w:val="4"/>
  </w:num>
  <w:num w:numId="8">
    <w:abstractNumId w:val="2"/>
  </w:num>
  <w:num w:numId="9">
    <w:abstractNumId w:val="1"/>
  </w:num>
  <w:num w:numId="10">
    <w:abstractNumId w:val="0"/>
  </w:num>
  <w:num w:numId="11">
    <w:abstractNumId w:val="10"/>
  </w:num>
  <w:num w:numId="12">
    <w:abstractNumId w:val="4"/>
    <w:lvlOverride w:ilvl="0">
      <w:startOverride w:val="1"/>
    </w:lvlOverride>
  </w:num>
  <w:num w:numId="13">
    <w:abstractNumId w:val="12"/>
  </w:num>
  <w:num w:numId="14">
    <w:abstractNumId w:val="14"/>
  </w:num>
  <w:num w:numId="15">
    <w:abstractNumId w:val="10"/>
  </w:num>
  <w:num w:numId="16">
    <w:abstractNumId w:val="5"/>
  </w:num>
  <w:num w:numId="17">
    <w:abstractNumId w:val="13"/>
  </w:num>
  <w:num w:numId="18">
    <w:abstractNumId w:val="7"/>
  </w:num>
  <w:num w:numId="19">
    <w:abstractNumId w:val="10"/>
  </w:num>
  <w:num w:numId="20">
    <w:abstractNumId w:val="11"/>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stylePaneFormatFilter w:val="1021"/>
  <w:defaultTabStop w:val="720"/>
  <w:drawingGridHorizontalSpacing w:val="110"/>
  <w:displayHorizontalDrawingGridEvery w:val="2"/>
  <w:characterSpacingControl w:val="doNotCompress"/>
  <w:hdrShapeDefaults>
    <o:shapedefaults v:ext="edit" spidmax="100353"/>
  </w:hdrShapeDefaults>
  <w:footnotePr>
    <w:footnote w:id="-1"/>
    <w:footnote w:id="0"/>
  </w:footnotePr>
  <w:endnotePr>
    <w:endnote w:id="-1"/>
    <w:endnote w:id="0"/>
  </w:endnotePr>
  <w:compat/>
  <w:rsids>
    <w:rsidRoot w:val="000527F8"/>
    <w:rsid w:val="00001FD0"/>
    <w:rsid w:val="00002955"/>
    <w:rsid w:val="00002C5B"/>
    <w:rsid w:val="00002C90"/>
    <w:rsid w:val="00003692"/>
    <w:rsid w:val="00003949"/>
    <w:rsid w:val="00003C9D"/>
    <w:rsid w:val="00003CDA"/>
    <w:rsid w:val="000042ED"/>
    <w:rsid w:val="0000489E"/>
    <w:rsid w:val="00004931"/>
    <w:rsid w:val="00004B33"/>
    <w:rsid w:val="000057AA"/>
    <w:rsid w:val="00006103"/>
    <w:rsid w:val="00006F58"/>
    <w:rsid w:val="00010247"/>
    <w:rsid w:val="00010678"/>
    <w:rsid w:val="0001078A"/>
    <w:rsid w:val="00012085"/>
    <w:rsid w:val="000130EA"/>
    <w:rsid w:val="000131D5"/>
    <w:rsid w:val="00013517"/>
    <w:rsid w:val="00013746"/>
    <w:rsid w:val="00014F6A"/>
    <w:rsid w:val="000157F3"/>
    <w:rsid w:val="00017097"/>
    <w:rsid w:val="0001764B"/>
    <w:rsid w:val="00017E2E"/>
    <w:rsid w:val="00020576"/>
    <w:rsid w:val="000208EF"/>
    <w:rsid w:val="000219B7"/>
    <w:rsid w:val="00021F56"/>
    <w:rsid w:val="00023215"/>
    <w:rsid w:val="0002348E"/>
    <w:rsid w:val="00024045"/>
    <w:rsid w:val="00024936"/>
    <w:rsid w:val="000258BA"/>
    <w:rsid w:val="000273FF"/>
    <w:rsid w:val="00027A13"/>
    <w:rsid w:val="000306C1"/>
    <w:rsid w:val="00032632"/>
    <w:rsid w:val="00032955"/>
    <w:rsid w:val="00033C18"/>
    <w:rsid w:val="000358CE"/>
    <w:rsid w:val="00040C0F"/>
    <w:rsid w:val="000414FB"/>
    <w:rsid w:val="000416C1"/>
    <w:rsid w:val="00043A3C"/>
    <w:rsid w:val="0004400C"/>
    <w:rsid w:val="00044C51"/>
    <w:rsid w:val="00045404"/>
    <w:rsid w:val="000463C9"/>
    <w:rsid w:val="00047150"/>
    <w:rsid w:val="00051473"/>
    <w:rsid w:val="000527F8"/>
    <w:rsid w:val="00052834"/>
    <w:rsid w:val="000538AD"/>
    <w:rsid w:val="00053C42"/>
    <w:rsid w:val="00053FC0"/>
    <w:rsid w:val="000554AD"/>
    <w:rsid w:val="000554FB"/>
    <w:rsid w:val="00056C66"/>
    <w:rsid w:val="00056D39"/>
    <w:rsid w:val="00057A45"/>
    <w:rsid w:val="00060F2A"/>
    <w:rsid w:val="00061234"/>
    <w:rsid w:val="000612EA"/>
    <w:rsid w:val="000614DE"/>
    <w:rsid w:val="00061F19"/>
    <w:rsid w:val="000628F1"/>
    <w:rsid w:val="00062D39"/>
    <w:rsid w:val="000647A5"/>
    <w:rsid w:val="000648E0"/>
    <w:rsid w:val="00065709"/>
    <w:rsid w:val="00065DC1"/>
    <w:rsid w:val="000661C8"/>
    <w:rsid w:val="00066DAB"/>
    <w:rsid w:val="00067486"/>
    <w:rsid w:val="00067F03"/>
    <w:rsid w:val="00071613"/>
    <w:rsid w:val="00072476"/>
    <w:rsid w:val="00072BC3"/>
    <w:rsid w:val="00072E41"/>
    <w:rsid w:val="00073606"/>
    <w:rsid w:val="00074CFB"/>
    <w:rsid w:val="00075888"/>
    <w:rsid w:val="00076145"/>
    <w:rsid w:val="00076696"/>
    <w:rsid w:val="00076BAB"/>
    <w:rsid w:val="00076CCD"/>
    <w:rsid w:val="00076F11"/>
    <w:rsid w:val="000773D4"/>
    <w:rsid w:val="000779CF"/>
    <w:rsid w:val="00080949"/>
    <w:rsid w:val="00080D7F"/>
    <w:rsid w:val="00081332"/>
    <w:rsid w:val="000820EB"/>
    <w:rsid w:val="00084384"/>
    <w:rsid w:val="000845A7"/>
    <w:rsid w:val="00085A34"/>
    <w:rsid w:val="00085E20"/>
    <w:rsid w:val="000861F2"/>
    <w:rsid w:val="00086700"/>
    <w:rsid w:val="00086EAB"/>
    <w:rsid w:val="00087009"/>
    <w:rsid w:val="00087F33"/>
    <w:rsid w:val="00091334"/>
    <w:rsid w:val="00091889"/>
    <w:rsid w:val="0009239E"/>
    <w:rsid w:val="0009326E"/>
    <w:rsid w:val="0009347B"/>
    <w:rsid w:val="00093A5E"/>
    <w:rsid w:val="00094542"/>
    <w:rsid w:val="00094A35"/>
    <w:rsid w:val="00094DF8"/>
    <w:rsid w:val="00096270"/>
    <w:rsid w:val="00096F67"/>
    <w:rsid w:val="000A00A6"/>
    <w:rsid w:val="000A0D95"/>
    <w:rsid w:val="000A1786"/>
    <w:rsid w:val="000A185B"/>
    <w:rsid w:val="000A2132"/>
    <w:rsid w:val="000A2CBB"/>
    <w:rsid w:val="000A332D"/>
    <w:rsid w:val="000A42EE"/>
    <w:rsid w:val="000A431C"/>
    <w:rsid w:val="000A4CB6"/>
    <w:rsid w:val="000A55BD"/>
    <w:rsid w:val="000A5AC6"/>
    <w:rsid w:val="000A6196"/>
    <w:rsid w:val="000A6D60"/>
    <w:rsid w:val="000A7015"/>
    <w:rsid w:val="000A740C"/>
    <w:rsid w:val="000B2039"/>
    <w:rsid w:val="000B245B"/>
    <w:rsid w:val="000B34B8"/>
    <w:rsid w:val="000B3B71"/>
    <w:rsid w:val="000B3FE0"/>
    <w:rsid w:val="000B4BD9"/>
    <w:rsid w:val="000B5F30"/>
    <w:rsid w:val="000B62B3"/>
    <w:rsid w:val="000B632B"/>
    <w:rsid w:val="000B6588"/>
    <w:rsid w:val="000B7145"/>
    <w:rsid w:val="000B76D4"/>
    <w:rsid w:val="000C03A5"/>
    <w:rsid w:val="000C0657"/>
    <w:rsid w:val="000C0E5B"/>
    <w:rsid w:val="000C0F43"/>
    <w:rsid w:val="000C1B12"/>
    <w:rsid w:val="000C41E4"/>
    <w:rsid w:val="000C468D"/>
    <w:rsid w:val="000C604F"/>
    <w:rsid w:val="000C64B4"/>
    <w:rsid w:val="000C6D36"/>
    <w:rsid w:val="000C7CBD"/>
    <w:rsid w:val="000D0427"/>
    <w:rsid w:val="000D103A"/>
    <w:rsid w:val="000D13E6"/>
    <w:rsid w:val="000D1724"/>
    <w:rsid w:val="000D1969"/>
    <w:rsid w:val="000D1CAB"/>
    <w:rsid w:val="000D20A7"/>
    <w:rsid w:val="000D2BF5"/>
    <w:rsid w:val="000D35A4"/>
    <w:rsid w:val="000D5974"/>
    <w:rsid w:val="000D5E3F"/>
    <w:rsid w:val="000D657B"/>
    <w:rsid w:val="000D7510"/>
    <w:rsid w:val="000D7CB6"/>
    <w:rsid w:val="000E05F3"/>
    <w:rsid w:val="000E16F7"/>
    <w:rsid w:val="000E22E2"/>
    <w:rsid w:val="000E2B6B"/>
    <w:rsid w:val="000E3845"/>
    <w:rsid w:val="000E3D0D"/>
    <w:rsid w:val="000E3D56"/>
    <w:rsid w:val="000E3E7C"/>
    <w:rsid w:val="000E69CD"/>
    <w:rsid w:val="000E6D48"/>
    <w:rsid w:val="000E7A79"/>
    <w:rsid w:val="000E7BAB"/>
    <w:rsid w:val="000F110C"/>
    <w:rsid w:val="000F13D9"/>
    <w:rsid w:val="000F1932"/>
    <w:rsid w:val="000F193A"/>
    <w:rsid w:val="000F204E"/>
    <w:rsid w:val="000F2430"/>
    <w:rsid w:val="000F257E"/>
    <w:rsid w:val="000F4059"/>
    <w:rsid w:val="000F409C"/>
    <w:rsid w:val="000F42E7"/>
    <w:rsid w:val="000F4383"/>
    <w:rsid w:val="000F494D"/>
    <w:rsid w:val="000F4DB8"/>
    <w:rsid w:val="000F5898"/>
    <w:rsid w:val="000F58AC"/>
    <w:rsid w:val="000F77DF"/>
    <w:rsid w:val="000F7A1A"/>
    <w:rsid w:val="000F7FA8"/>
    <w:rsid w:val="00100DA2"/>
    <w:rsid w:val="0010109E"/>
    <w:rsid w:val="0010139A"/>
    <w:rsid w:val="00101472"/>
    <w:rsid w:val="0010159C"/>
    <w:rsid w:val="00102011"/>
    <w:rsid w:val="00102741"/>
    <w:rsid w:val="0010372E"/>
    <w:rsid w:val="0010449F"/>
    <w:rsid w:val="00104717"/>
    <w:rsid w:val="00104EB6"/>
    <w:rsid w:val="00104FBB"/>
    <w:rsid w:val="00105323"/>
    <w:rsid w:val="00105B57"/>
    <w:rsid w:val="00105EC3"/>
    <w:rsid w:val="00106794"/>
    <w:rsid w:val="001070AC"/>
    <w:rsid w:val="00107284"/>
    <w:rsid w:val="001077D4"/>
    <w:rsid w:val="00110499"/>
    <w:rsid w:val="00110527"/>
    <w:rsid w:val="00110959"/>
    <w:rsid w:val="001110EC"/>
    <w:rsid w:val="00111E58"/>
    <w:rsid w:val="001123E4"/>
    <w:rsid w:val="00114630"/>
    <w:rsid w:val="00114777"/>
    <w:rsid w:val="00114B3C"/>
    <w:rsid w:val="0011528B"/>
    <w:rsid w:val="001157E3"/>
    <w:rsid w:val="00117280"/>
    <w:rsid w:val="00117FDC"/>
    <w:rsid w:val="0012126F"/>
    <w:rsid w:val="001212AE"/>
    <w:rsid w:val="001225FD"/>
    <w:rsid w:val="001231A5"/>
    <w:rsid w:val="0012336D"/>
    <w:rsid w:val="00123412"/>
    <w:rsid w:val="00123864"/>
    <w:rsid w:val="00123C6B"/>
    <w:rsid w:val="001250D3"/>
    <w:rsid w:val="00125F4A"/>
    <w:rsid w:val="00126830"/>
    <w:rsid w:val="00126C1A"/>
    <w:rsid w:val="00126CF1"/>
    <w:rsid w:val="00126EB4"/>
    <w:rsid w:val="00127673"/>
    <w:rsid w:val="0012799F"/>
    <w:rsid w:val="00130822"/>
    <w:rsid w:val="00131272"/>
    <w:rsid w:val="00131758"/>
    <w:rsid w:val="00131A11"/>
    <w:rsid w:val="00131D49"/>
    <w:rsid w:val="001322EF"/>
    <w:rsid w:val="00133573"/>
    <w:rsid w:val="00133F6F"/>
    <w:rsid w:val="00134A4D"/>
    <w:rsid w:val="00135CAD"/>
    <w:rsid w:val="00140CC1"/>
    <w:rsid w:val="00141006"/>
    <w:rsid w:val="00141A1E"/>
    <w:rsid w:val="00141CDB"/>
    <w:rsid w:val="00141D8A"/>
    <w:rsid w:val="00141DEB"/>
    <w:rsid w:val="001445D6"/>
    <w:rsid w:val="00144A9A"/>
    <w:rsid w:val="0014508B"/>
    <w:rsid w:val="001454D4"/>
    <w:rsid w:val="0014558B"/>
    <w:rsid w:val="001466CE"/>
    <w:rsid w:val="00146741"/>
    <w:rsid w:val="00146EC8"/>
    <w:rsid w:val="00147923"/>
    <w:rsid w:val="001502DD"/>
    <w:rsid w:val="00151385"/>
    <w:rsid w:val="00151828"/>
    <w:rsid w:val="0015481C"/>
    <w:rsid w:val="0015525C"/>
    <w:rsid w:val="001567B4"/>
    <w:rsid w:val="00157140"/>
    <w:rsid w:val="00161AE5"/>
    <w:rsid w:val="00161F52"/>
    <w:rsid w:val="001628D3"/>
    <w:rsid w:val="00162BDB"/>
    <w:rsid w:val="00163104"/>
    <w:rsid w:val="0016320F"/>
    <w:rsid w:val="00163886"/>
    <w:rsid w:val="00164051"/>
    <w:rsid w:val="001665F7"/>
    <w:rsid w:val="001666CF"/>
    <w:rsid w:val="00167ED5"/>
    <w:rsid w:val="001709DC"/>
    <w:rsid w:val="00170EBD"/>
    <w:rsid w:val="00170F72"/>
    <w:rsid w:val="00171098"/>
    <w:rsid w:val="0017118B"/>
    <w:rsid w:val="00175A2B"/>
    <w:rsid w:val="001763B4"/>
    <w:rsid w:val="00176417"/>
    <w:rsid w:val="001765A4"/>
    <w:rsid w:val="00176CC7"/>
    <w:rsid w:val="00177079"/>
    <w:rsid w:val="00177480"/>
    <w:rsid w:val="00177EF6"/>
    <w:rsid w:val="00180B32"/>
    <w:rsid w:val="00181248"/>
    <w:rsid w:val="001813B5"/>
    <w:rsid w:val="00181D08"/>
    <w:rsid w:val="00181D76"/>
    <w:rsid w:val="0018220E"/>
    <w:rsid w:val="00182950"/>
    <w:rsid w:val="001839BE"/>
    <w:rsid w:val="001843C8"/>
    <w:rsid w:val="00184644"/>
    <w:rsid w:val="00184B28"/>
    <w:rsid w:val="0018638C"/>
    <w:rsid w:val="00186412"/>
    <w:rsid w:val="00187A02"/>
    <w:rsid w:val="001914E8"/>
    <w:rsid w:val="001918F9"/>
    <w:rsid w:val="00191948"/>
    <w:rsid w:val="0019266B"/>
    <w:rsid w:val="00192FFA"/>
    <w:rsid w:val="00193584"/>
    <w:rsid w:val="001937E6"/>
    <w:rsid w:val="00193897"/>
    <w:rsid w:val="00194F0F"/>
    <w:rsid w:val="001960DD"/>
    <w:rsid w:val="001967EF"/>
    <w:rsid w:val="001A084F"/>
    <w:rsid w:val="001A2825"/>
    <w:rsid w:val="001A41FF"/>
    <w:rsid w:val="001A4A01"/>
    <w:rsid w:val="001A53DF"/>
    <w:rsid w:val="001A5F69"/>
    <w:rsid w:val="001A6472"/>
    <w:rsid w:val="001A7F4C"/>
    <w:rsid w:val="001B05E9"/>
    <w:rsid w:val="001B088C"/>
    <w:rsid w:val="001B0EE7"/>
    <w:rsid w:val="001B46F0"/>
    <w:rsid w:val="001B4875"/>
    <w:rsid w:val="001B4E32"/>
    <w:rsid w:val="001B654E"/>
    <w:rsid w:val="001B74A4"/>
    <w:rsid w:val="001B7F57"/>
    <w:rsid w:val="001C1D74"/>
    <w:rsid w:val="001C35A8"/>
    <w:rsid w:val="001C3685"/>
    <w:rsid w:val="001C3AE8"/>
    <w:rsid w:val="001C456B"/>
    <w:rsid w:val="001C484C"/>
    <w:rsid w:val="001C485A"/>
    <w:rsid w:val="001C51F1"/>
    <w:rsid w:val="001C58D8"/>
    <w:rsid w:val="001C65B6"/>
    <w:rsid w:val="001D18CB"/>
    <w:rsid w:val="001D1E4A"/>
    <w:rsid w:val="001D1EC3"/>
    <w:rsid w:val="001D26E6"/>
    <w:rsid w:val="001D2C94"/>
    <w:rsid w:val="001D3740"/>
    <w:rsid w:val="001D3C17"/>
    <w:rsid w:val="001D404E"/>
    <w:rsid w:val="001D4BF9"/>
    <w:rsid w:val="001D55E0"/>
    <w:rsid w:val="001D5671"/>
    <w:rsid w:val="001D5C7A"/>
    <w:rsid w:val="001D5DDE"/>
    <w:rsid w:val="001D5E06"/>
    <w:rsid w:val="001D62E7"/>
    <w:rsid w:val="001D635B"/>
    <w:rsid w:val="001D645A"/>
    <w:rsid w:val="001D6558"/>
    <w:rsid w:val="001D6648"/>
    <w:rsid w:val="001D67DE"/>
    <w:rsid w:val="001D6E5B"/>
    <w:rsid w:val="001D780E"/>
    <w:rsid w:val="001D7FC7"/>
    <w:rsid w:val="001E0099"/>
    <w:rsid w:val="001E0428"/>
    <w:rsid w:val="001E25EC"/>
    <w:rsid w:val="001E2AC0"/>
    <w:rsid w:val="001E2BEE"/>
    <w:rsid w:val="001E3AA5"/>
    <w:rsid w:val="001E4246"/>
    <w:rsid w:val="001E54CD"/>
    <w:rsid w:val="001E6227"/>
    <w:rsid w:val="001E6341"/>
    <w:rsid w:val="001E6346"/>
    <w:rsid w:val="001E659A"/>
    <w:rsid w:val="001E65F8"/>
    <w:rsid w:val="001E69E0"/>
    <w:rsid w:val="001E6A5D"/>
    <w:rsid w:val="001E6DC6"/>
    <w:rsid w:val="001E7F90"/>
    <w:rsid w:val="001F0190"/>
    <w:rsid w:val="001F0BE2"/>
    <w:rsid w:val="001F102A"/>
    <w:rsid w:val="001F11AB"/>
    <w:rsid w:val="001F12AA"/>
    <w:rsid w:val="001F12CC"/>
    <w:rsid w:val="001F1862"/>
    <w:rsid w:val="001F4D19"/>
    <w:rsid w:val="001F56CC"/>
    <w:rsid w:val="001F5925"/>
    <w:rsid w:val="001F5D04"/>
    <w:rsid w:val="002000C9"/>
    <w:rsid w:val="0020053A"/>
    <w:rsid w:val="00203234"/>
    <w:rsid w:val="00204B0A"/>
    <w:rsid w:val="0020528A"/>
    <w:rsid w:val="00205448"/>
    <w:rsid w:val="00205BF6"/>
    <w:rsid w:val="00206166"/>
    <w:rsid w:val="002067A6"/>
    <w:rsid w:val="0020699A"/>
    <w:rsid w:val="00206BC5"/>
    <w:rsid w:val="00206F37"/>
    <w:rsid w:val="00206F98"/>
    <w:rsid w:val="00207C1A"/>
    <w:rsid w:val="00210A5D"/>
    <w:rsid w:val="00210AA9"/>
    <w:rsid w:val="00211EC3"/>
    <w:rsid w:val="00212E7F"/>
    <w:rsid w:val="00214566"/>
    <w:rsid w:val="0021493D"/>
    <w:rsid w:val="0021526C"/>
    <w:rsid w:val="0021547D"/>
    <w:rsid w:val="00216315"/>
    <w:rsid w:val="0021641B"/>
    <w:rsid w:val="002171CD"/>
    <w:rsid w:val="0021739C"/>
    <w:rsid w:val="00217C6E"/>
    <w:rsid w:val="0022100F"/>
    <w:rsid w:val="002226F3"/>
    <w:rsid w:val="00222EA8"/>
    <w:rsid w:val="00223309"/>
    <w:rsid w:val="00223381"/>
    <w:rsid w:val="002235EA"/>
    <w:rsid w:val="00223CBB"/>
    <w:rsid w:val="0022426C"/>
    <w:rsid w:val="00224934"/>
    <w:rsid w:val="00224E64"/>
    <w:rsid w:val="002258B2"/>
    <w:rsid w:val="00225919"/>
    <w:rsid w:val="002268DC"/>
    <w:rsid w:val="00226E26"/>
    <w:rsid w:val="002278BB"/>
    <w:rsid w:val="00227F02"/>
    <w:rsid w:val="0023087F"/>
    <w:rsid w:val="002317F5"/>
    <w:rsid w:val="0023214C"/>
    <w:rsid w:val="0023286B"/>
    <w:rsid w:val="00232B52"/>
    <w:rsid w:val="00233428"/>
    <w:rsid w:val="0023396D"/>
    <w:rsid w:val="00234059"/>
    <w:rsid w:val="00234EA0"/>
    <w:rsid w:val="00236530"/>
    <w:rsid w:val="002370AD"/>
    <w:rsid w:val="00237213"/>
    <w:rsid w:val="002373D3"/>
    <w:rsid w:val="00237C7D"/>
    <w:rsid w:val="002401C3"/>
    <w:rsid w:val="00241D62"/>
    <w:rsid w:val="002432C5"/>
    <w:rsid w:val="0024367C"/>
    <w:rsid w:val="002438CC"/>
    <w:rsid w:val="00243AC1"/>
    <w:rsid w:val="002447A8"/>
    <w:rsid w:val="002470ED"/>
    <w:rsid w:val="00247478"/>
    <w:rsid w:val="00247D48"/>
    <w:rsid w:val="00247FA5"/>
    <w:rsid w:val="00252363"/>
    <w:rsid w:val="00253211"/>
    <w:rsid w:val="00253536"/>
    <w:rsid w:val="00253A79"/>
    <w:rsid w:val="0025512B"/>
    <w:rsid w:val="002556DD"/>
    <w:rsid w:val="00255A14"/>
    <w:rsid w:val="00256C96"/>
    <w:rsid w:val="00256DAE"/>
    <w:rsid w:val="00257C94"/>
    <w:rsid w:val="0026023D"/>
    <w:rsid w:val="002609A3"/>
    <w:rsid w:val="0026160A"/>
    <w:rsid w:val="00262134"/>
    <w:rsid w:val="00262B7B"/>
    <w:rsid w:val="00264212"/>
    <w:rsid w:val="0026433A"/>
    <w:rsid w:val="00264A88"/>
    <w:rsid w:val="00264BF3"/>
    <w:rsid w:val="002702E4"/>
    <w:rsid w:val="002703C5"/>
    <w:rsid w:val="00270A82"/>
    <w:rsid w:val="00270BF3"/>
    <w:rsid w:val="002717D5"/>
    <w:rsid w:val="00271E3B"/>
    <w:rsid w:val="002720A4"/>
    <w:rsid w:val="0027228F"/>
    <w:rsid w:val="00272617"/>
    <w:rsid w:val="00272EBC"/>
    <w:rsid w:val="00272F15"/>
    <w:rsid w:val="00272F89"/>
    <w:rsid w:val="00274011"/>
    <w:rsid w:val="00274881"/>
    <w:rsid w:val="00274B90"/>
    <w:rsid w:val="00274DA3"/>
    <w:rsid w:val="00275346"/>
    <w:rsid w:val="00275350"/>
    <w:rsid w:val="00275520"/>
    <w:rsid w:val="00275577"/>
    <w:rsid w:val="0027585F"/>
    <w:rsid w:val="00276B1E"/>
    <w:rsid w:val="00277940"/>
    <w:rsid w:val="002803A1"/>
    <w:rsid w:val="00280DCB"/>
    <w:rsid w:val="00280DDE"/>
    <w:rsid w:val="0028179B"/>
    <w:rsid w:val="00282121"/>
    <w:rsid w:val="00282C62"/>
    <w:rsid w:val="00282F9B"/>
    <w:rsid w:val="00283CEC"/>
    <w:rsid w:val="00283CF9"/>
    <w:rsid w:val="00283D66"/>
    <w:rsid w:val="002842AB"/>
    <w:rsid w:val="00285C8F"/>
    <w:rsid w:val="00286614"/>
    <w:rsid w:val="00287221"/>
    <w:rsid w:val="002872F6"/>
    <w:rsid w:val="00287697"/>
    <w:rsid w:val="00287B5F"/>
    <w:rsid w:val="0029213E"/>
    <w:rsid w:val="00293A47"/>
    <w:rsid w:val="002948D0"/>
    <w:rsid w:val="00294A1F"/>
    <w:rsid w:val="00294A45"/>
    <w:rsid w:val="00295CB9"/>
    <w:rsid w:val="00296762"/>
    <w:rsid w:val="002975C0"/>
    <w:rsid w:val="002979F3"/>
    <w:rsid w:val="002A0745"/>
    <w:rsid w:val="002A2C44"/>
    <w:rsid w:val="002A2E08"/>
    <w:rsid w:val="002A2FA0"/>
    <w:rsid w:val="002A428B"/>
    <w:rsid w:val="002A563F"/>
    <w:rsid w:val="002A5AE6"/>
    <w:rsid w:val="002A5B76"/>
    <w:rsid w:val="002A6760"/>
    <w:rsid w:val="002A76D6"/>
    <w:rsid w:val="002A785F"/>
    <w:rsid w:val="002A7AC4"/>
    <w:rsid w:val="002B05CB"/>
    <w:rsid w:val="002B06D8"/>
    <w:rsid w:val="002B0B54"/>
    <w:rsid w:val="002B156E"/>
    <w:rsid w:val="002B185B"/>
    <w:rsid w:val="002B26F7"/>
    <w:rsid w:val="002B288D"/>
    <w:rsid w:val="002B2D0F"/>
    <w:rsid w:val="002B35A0"/>
    <w:rsid w:val="002B3F7B"/>
    <w:rsid w:val="002B4241"/>
    <w:rsid w:val="002B4501"/>
    <w:rsid w:val="002B49F3"/>
    <w:rsid w:val="002B4D5D"/>
    <w:rsid w:val="002B68B0"/>
    <w:rsid w:val="002B7C46"/>
    <w:rsid w:val="002C051E"/>
    <w:rsid w:val="002C0CBF"/>
    <w:rsid w:val="002C25FF"/>
    <w:rsid w:val="002C2666"/>
    <w:rsid w:val="002C2CD4"/>
    <w:rsid w:val="002C2D3D"/>
    <w:rsid w:val="002C32D9"/>
    <w:rsid w:val="002C3AF4"/>
    <w:rsid w:val="002C3F14"/>
    <w:rsid w:val="002C40AD"/>
    <w:rsid w:val="002C457D"/>
    <w:rsid w:val="002C6FF1"/>
    <w:rsid w:val="002C7A82"/>
    <w:rsid w:val="002D0B57"/>
    <w:rsid w:val="002D0BD2"/>
    <w:rsid w:val="002D1221"/>
    <w:rsid w:val="002D17D4"/>
    <w:rsid w:val="002D2CBA"/>
    <w:rsid w:val="002D55AA"/>
    <w:rsid w:val="002D603A"/>
    <w:rsid w:val="002D65BF"/>
    <w:rsid w:val="002D6FE1"/>
    <w:rsid w:val="002D7010"/>
    <w:rsid w:val="002E0AB2"/>
    <w:rsid w:val="002E1076"/>
    <w:rsid w:val="002E148D"/>
    <w:rsid w:val="002E1DFB"/>
    <w:rsid w:val="002E30A7"/>
    <w:rsid w:val="002E3390"/>
    <w:rsid w:val="002E33E9"/>
    <w:rsid w:val="002E47DC"/>
    <w:rsid w:val="002E5E80"/>
    <w:rsid w:val="002E6458"/>
    <w:rsid w:val="002E67F3"/>
    <w:rsid w:val="002E7095"/>
    <w:rsid w:val="002F066B"/>
    <w:rsid w:val="002F0A46"/>
    <w:rsid w:val="002F16A5"/>
    <w:rsid w:val="002F187E"/>
    <w:rsid w:val="002F1D17"/>
    <w:rsid w:val="002F1F04"/>
    <w:rsid w:val="002F4E43"/>
    <w:rsid w:val="002F556D"/>
    <w:rsid w:val="002F57F9"/>
    <w:rsid w:val="002F587F"/>
    <w:rsid w:val="002F5A4F"/>
    <w:rsid w:val="002F5DCB"/>
    <w:rsid w:val="002F67F6"/>
    <w:rsid w:val="002F7423"/>
    <w:rsid w:val="002F75A3"/>
    <w:rsid w:val="002F799D"/>
    <w:rsid w:val="00300A1F"/>
    <w:rsid w:val="00301205"/>
    <w:rsid w:val="003036BD"/>
    <w:rsid w:val="00303D3F"/>
    <w:rsid w:val="00303D76"/>
    <w:rsid w:val="00304B64"/>
    <w:rsid w:val="00304D3F"/>
    <w:rsid w:val="00304FE2"/>
    <w:rsid w:val="003056CE"/>
    <w:rsid w:val="00305933"/>
    <w:rsid w:val="00305D97"/>
    <w:rsid w:val="0030619E"/>
    <w:rsid w:val="00307340"/>
    <w:rsid w:val="00307988"/>
    <w:rsid w:val="00310604"/>
    <w:rsid w:val="00310AE1"/>
    <w:rsid w:val="00311697"/>
    <w:rsid w:val="003119C0"/>
    <w:rsid w:val="00312276"/>
    <w:rsid w:val="0031229E"/>
    <w:rsid w:val="00312554"/>
    <w:rsid w:val="00312DC0"/>
    <w:rsid w:val="00313C3A"/>
    <w:rsid w:val="003140F1"/>
    <w:rsid w:val="0031509C"/>
    <w:rsid w:val="0031572D"/>
    <w:rsid w:val="00320231"/>
    <w:rsid w:val="00321568"/>
    <w:rsid w:val="003222FE"/>
    <w:rsid w:val="00324D06"/>
    <w:rsid w:val="00325289"/>
    <w:rsid w:val="00325BE7"/>
    <w:rsid w:val="00326247"/>
    <w:rsid w:val="0032765F"/>
    <w:rsid w:val="00330A2E"/>
    <w:rsid w:val="003318F6"/>
    <w:rsid w:val="003319BF"/>
    <w:rsid w:val="0033213D"/>
    <w:rsid w:val="00332A47"/>
    <w:rsid w:val="0033342D"/>
    <w:rsid w:val="003336AE"/>
    <w:rsid w:val="0033477C"/>
    <w:rsid w:val="00334B11"/>
    <w:rsid w:val="00335E63"/>
    <w:rsid w:val="00337D56"/>
    <w:rsid w:val="00337D58"/>
    <w:rsid w:val="00337E1D"/>
    <w:rsid w:val="003401FB"/>
    <w:rsid w:val="003428FD"/>
    <w:rsid w:val="00342DA2"/>
    <w:rsid w:val="00343149"/>
    <w:rsid w:val="00343A15"/>
    <w:rsid w:val="00344018"/>
    <w:rsid w:val="0034428A"/>
    <w:rsid w:val="00345109"/>
    <w:rsid w:val="0034654E"/>
    <w:rsid w:val="003468E1"/>
    <w:rsid w:val="00347476"/>
    <w:rsid w:val="00350737"/>
    <w:rsid w:val="00350E8C"/>
    <w:rsid w:val="00351016"/>
    <w:rsid w:val="003514C4"/>
    <w:rsid w:val="0035238E"/>
    <w:rsid w:val="003546C1"/>
    <w:rsid w:val="00354765"/>
    <w:rsid w:val="003547C6"/>
    <w:rsid w:val="0035496C"/>
    <w:rsid w:val="0035514B"/>
    <w:rsid w:val="00355788"/>
    <w:rsid w:val="00355B9B"/>
    <w:rsid w:val="00356A63"/>
    <w:rsid w:val="00357492"/>
    <w:rsid w:val="003577AF"/>
    <w:rsid w:val="00357C93"/>
    <w:rsid w:val="0036039F"/>
    <w:rsid w:val="003604F0"/>
    <w:rsid w:val="0036056A"/>
    <w:rsid w:val="00360824"/>
    <w:rsid w:val="003610C4"/>
    <w:rsid w:val="003612BF"/>
    <w:rsid w:val="003617AE"/>
    <w:rsid w:val="00361D74"/>
    <w:rsid w:val="00363773"/>
    <w:rsid w:val="00364B77"/>
    <w:rsid w:val="003651A3"/>
    <w:rsid w:val="0036526C"/>
    <w:rsid w:val="00365AF4"/>
    <w:rsid w:val="00366C05"/>
    <w:rsid w:val="003672FB"/>
    <w:rsid w:val="00367955"/>
    <w:rsid w:val="00367DC0"/>
    <w:rsid w:val="003704FC"/>
    <w:rsid w:val="00370DAE"/>
    <w:rsid w:val="0037157D"/>
    <w:rsid w:val="0037208A"/>
    <w:rsid w:val="003721FC"/>
    <w:rsid w:val="00373464"/>
    <w:rsid w:val="003739A1"/>
    <w:rsid w:val="00373A8B"/>
    <w:rsid w:val="00373F20"/>
    <w:rsid w:val="00373FF3"/>
    <w:rsid w:val="00374CFB"/>
    <w:rsid w:val="003752B3"/>
    <w:rsid w:val="00375301"/>
    <w:rsid w:val="003765F8"/>
    <w:rsid w:val="00380028"/>
    <w:rsid w:val="0038120A"/>
    <w:rsid w:val="00381453"/>
    <w:rsid w:val="003816A0"/>
    <w:rsid w:val="00381899"/>
    <w:rsid w:val="003819D0"/>
    <w:rsid w:val="00381BF0"/>
    <w:rsid w:val="00382C89"/>
    <w:rsid w:val="00382D82"/>
    <w:rsid w:val="0038308B"/>
    <w:rsid w:val="0038340A"/>
    <w:rsid w:val="00383770"/>
    <w:rsid w:val="00383BFD"/>
    <w:rsid w:val="0038569B"/>
    <w:rsid w:val="00385C56"/>
    <w:rsid w:val="003872A3"/>
    <w:rsid w:val="00387647"/>
    <w:rsid w:val="00387D5B"/>
    <w:rsid w:val="00387FFE"/>
    <w:rsid w:val="00390058"/>
    <w:rsid w:val="00390440"/>
    <w:rsid w:val="0039064B"/>
    <w:rsid w:val="00390E39"/>
    <w:rsid w:val="003911BE"/>
    <w:rsid w:val="003912DB"/>
    <w:rsid w:val="003919FE"/>
    <w:rsid w:val="00391AA1"/>
    <w:rsid w:val="003926C2"/>
    <w:rsid w:val="00392716"/>
    <w:rsid w:val="00392AE6"/>
    <w:rsid w:val="00392D62"/>
    <w:rsid w:val="00392DF4"/>
    <w:rsid w:val="0039308A"/>
    <w:rsid w:val="003938FC"/>
    <w:rsid w:val="003956E8"/>
    <w:rsid w:val="003958F2"/>
    <w:rsid w:val="003974E8"/>
    <w:rsid w:val="00397DCB"/>
    <w:rsid w:val="003A0075"/>
    <w:rsid w:val="003A0B44"/>
    <w:rsid w:val="003A0BCB"/>
    <w:rsid w:val="003A0DA3"/>
    <w:rsid w:val="003A171C"/>
    <w:rsid w:val="003A2039"/>
    <w:rsid w:val="003A254D"/>
    <w:rsid w:val="003A28E0"/>
    <w:rsid w:val="003A2D44"/>
    <w:rsid w:val="003A31B0"/>
    <w:rsid w:val="003A3794"/>
    <w:rsid w:val="003A3B1B"/>
    <w:rsid w:val="003A44D5"/>
    <w:rsid w:val="003A4E6C"/>
    <w:rsid w:val="003A6363"/>
    <w:rsid w:val="003A6A99"/>
    <w:rsid w:val="003A72D2"/>
    <w:rsid w:val="003A7506"/>
    <w:rsid w:val="003B015D"/>
    <w:rsid w:val="003B0504"/>
    <w:rsid w:val="003B0A7E"/>
    <w:rsid w:val="003B0A88"/>
    <w:rsid w:val="003B0D69"/>
    <w:rsid w:val="003B12FA"/>
    <w:rsid w:val="003B13DB"/>
    <w:rsid w:val="003B23C7"/>
    <w:rsid w:val="003B2B5F"/>
    <w:rsid w:val="003B4B6A"/>
    <w:rsid w:val="003B5472"/>
    <w:rsid w:val="003B69D3"/>
    <w:rsid w:val="003C131F"/>
    <w:rsid w:val="003C176F"/>
    <w:rsid w:val="003C1FCE"/>
    <w:rsid w:val="003C208C"/>
    <w:rsid w:val="003C33C9"/>
    <w:rsid w:val="003C3629"/>
    <w:rsid w:val="003C370D"/>
    <w:rsid w:val="003C3B80"/>
    <w:rsid w:val="003C523C"/>
    <w:rsid w:val="003C590D"/>
    <w:rsid w:val="003C6203"/>
    <w:rsid w:val="003C6FCC"/>
    <w:rsid w:val="003C7363"/>
    <w:rsid w:val="003C7D80"/>
    <w:rsid w:val="003C7E13"/>
    <w:rsid w:val="003D0BE6"/>
    <w:rsid w:val="003D180D"/>
    <w:rsid w:val="003D219D"/>
    <w:rsid w:val="003D262C"/>
    <w:rsid w:val="003D48F3"/>
    <w:rsid w:val="003D49CF"/>
    <w:rsid w:val="003D5AFB"/>
    <w:rsid w:val="003D5C83"/>
    <w:rsid w:val="003D6E4E"/>
    <w:rsid w:val="003D7A7B"/>
    <w:rsid w:val="003E1137"/>
    <w:rsid w:val="003E15FF"/>
    <w:rsid w:val="003E38F0"/>
    <w:rsid w:val="003E3989"/>
    <w:rsid w:val="003E4967"/>
    <w:rsid w:val="003E4D76"/>
    <w:rsid w:val="003E52CC"/>
    <w:rsid w:val="003E5717"/>
    <w:rsid w:val="003E58B3"/>
    <w:rsid w:val="003E7B47"/>
    <w:rsid w:val="003F141F"/>
    <w:rsid w:val="003F15D4"/>
    <w:rsid w:val="003F3018"/>
    <w:rsid w:val="003F3F5B"/>
    <w:rsid w:val="003F41A3"/>
    <w:rsid w:val="003F45F1"/>
    <w:rsid w:val="003F4BA5"/>
    <w:rsid w:val="003F51DA"/>
    <w:rsid w:val="003F58F4"/>
    <w:rsid w:val="003F59A9"/>
    <w:rsid w:val="003F7A66"/>
    <w:rsid w:val="00400207"/>
    <w:rsid w:val="0040027E"/>
    <w:rsid w:val="004005EB"/>
    <w:rsid w:val="00400CC9"/>
    <w:rsid w:val="0040136B"/>
    <w:rsid w:val="00403A62"/>
    <w:rsid w:val="00403F9C"/>
    <w:rsid w:val="00404311"/>
    <w:rsid w:val="00404DE9"/>
    <w:rsid w:val="0040539F"/>
    <w:rsid w:val="00407732"/>
    <w:rsid w:val="00410580"/>
    <w:rsid w:val="004105A3"/>
    <w:rsid w:val="00410AC3"/>
    <w:rsid w:val="00411B19"/>
    <w:rsid w:val="0041221B"/>
    <w:rsid w:val="004124D6"/>
    <w:rsid w:val="004132BE"/>
    <w:rsid w:val="00414004"/>
    <w:rsid w:val="004149FB"/>
    <w:rsid w:val="0041546F"/>
    <w:rsid w:val="00416540"/>
    <w:rsid w:val="00417393"/>
    <w:rsid w:val="00420B95"/>
    <w:rsid w:val="00420CFD"/>
    <w:rsid w:val="004210EC"/>
    <w:rsid w:val="00421395"/>
    <w:rsid w:val="004213F2"/>
    <w:rsid w:val="0042275C"/>
    <w:rsid w:val="00422804"/>
    <w:rsid w:val="00422B72"/>
    <w:rsid w:val="00422B8A"/>
    <w:rsid w:val="004230EA"/>
    <w:rsid w:val="00423A1C"/>
    <w:rsid w:val="004240FB"/>
    <w:rsid w:val="00424789"/>
    <w:rsid w:val="00424AC3"/>
    <w:rsid w:val="0042589C"/>
    <w:rsid w:val="004258FE"/>
    <w:rsid w:val="004276BE"/>
    <w:rsid w:val="004308F0"/>
    <w:rsid w:val="00431C02"/>
    <w:rsid w:val="00432449"/>
    <w:rsid w:val="00432E65"/>
    <w:rsid w:val="004338A5"/>
    <w:rsid w:val="00433978"/>
    <w:rsid w:val="00433F30"/>
    <w:rsid w:val="00433FB5"/>
    <w:rsid w:val="004340EA"/>
    <w:rsid w:val="00435052"/>
    <w:rsid w:val="00435834"/>
    <w:rsid w:val="00436F3D"/>
    <w:rsid w:val="004374A0"/>
    <w:rsid w:val="004378E9"/>
    <w:rsid w:val="00437BEF"/>
    <w:rsid w:val="00440B39"/>
    <w:rsid w:val="0044174A"/>
    <w:rsid w:val="004421B9"/>
    <w:rsid w:val="0044254D"/>
    <w:rsid w:val="004426FD"/>
    <w:rsid w:val="004429FF"/>
    <w:rsid w:val="0044307C"/>
    <w:rsid w:val="00443DFC"/>
    <w:rsid w:val="00444231"/>
    <w:rsid w:val="00444612"/>
    <w:rsid w:val="0044558D"/>
    <w:rsid w:val="00446AFD"/>
    <w:rsid w:val="00446F28"/>
    <w:rsid w:val="00447A03"/>
    <w:rsid w:val="0045042E"/>
    <w:rsid w:val="0045140B"/>
    <w:rsid w:val="0045149E"/>
    <w:rsid w:val="00452530"/>
    <w:rsid w:val="00453DBB"/>
    <w:rsid w:val="00454054"/>
    <w:rsid w:val="00454F5D"/>
    <w:rsid w:val="0045505F"/>
    <w:rsid w:val="0045576C"/>
    <w:rsid w:val="00455897"/>
    <w:rsid w:val="00455DBC"/>
    <w:rsid w:val="00455E78"/>
    <w:rsid w:val="0045654E"/>
    <w:rsid w:val="00456958"/>
    <w:rsid w:val="004578D4"/>
    <w:rsid w:val="00457AB9"/>
    <w:rsid w:val="00460F0D"/>
    <w:rsid w:val="0046255E"/>
    <w:rsid w:val="004625E8"/>
    <w:rsid w:val="00463AD7"/>
    <w:rsid w:val="00463ED0"/>
    <w:rsid w:val="00464E49"/>
    <w:rsid w:val="004672D2"/>
    <w:rsid w:val="004674E1"/>
    <w:rsid w:val="00470138"/>
    <w:rsid w:val="0047094B"/>
    <w:rsid w:val="004730B4"/>
    <w:rsid w:val="0047376E"/>
    <w:rsid w:val="004737E4"/>
    <w:rsid w:val="00473FDB"/>
    <w:rsid w:val="0047420E"/>
    <w:rsid w:val="00474E95"/>
    <w:rsid w:val="00475491"/>
    <w:rsid w:val="00475F6A"/>
    <w:rsid w:val="00476E6A"/>
    <w:rsid w:val="00477575"/>
    <w:rsid w:val="004802B8"/>
    <w:rsid w:val="004805ED"/>
    <w:rsid w:val="0048077C"/>
    <w:rsid w:val="00480BB2"/>
    <w:rsid w:val="0048138C"/>
    <w:rsid w:val="00481E39"/>
    <w:rsid w:val="00481E4D"/>
    <w:rsid w:val="004826D3"/>
    <w:rsid w:val="00482915"/>
    <w:rsid w:val="004835C1"/>
    <w:rsid w:val="00484477"/>
    <w:rsid w:val="0048452B"/>
    <w:rsid w:val="004853E7"/>
    <w:rsid w:val="004856CC"/>
    <w:rsid w:val="00485A4B"/>
    <w:rsid w:val="00485E96"/>
    <w:rsid w:val="00486098"/>
    <w:rsid w:val="004867FE"/>
    <w:rsid w:val="00487342"/>
    <w:rsid w:val="0048788C"/>
    <w:rsid w:val="00490925"/>
    <w:rsid w:val="00491037"/>
    <w:rsid w:val="00491091"/>
    <w:rsid w:val="00491A4D"/>
    <w:rsid w:val="004929BC"/>
    <w:rsid w:val="0049347A"/>
    <w:rsid w:val="004934DF"/>
    <w:rsid w:val="004935F6"/>
    <w:rsid w:val="00493A9F"/>
    <w:rsid w:val="00493CF5"/>
    <w:rsid w:val="00493D97"/>
    <w:rsid w:val="0049449B"/>
    <w:rsid w:val="00494BC9"/>
    <w:rsid w:val="00494E76"/>
    <w:rsid w:val="00496261"/>
    <w:rsid w:val="00496556"/>
    <w:rsid w:val="00496BE7"/>
    <w:rsid w:val="00497B4D"/>
    <w:rsid w:val="00497DD2"/>
    <w:rsid w:val="004A0799"/>
    <w:rsid w:val="004A110A"/>
    <w:rsid w:val="004A17B6"/>
    <w:rsid w:val="004A21DF"/>
    <w:rsid w:val="004A24E4"/>
    <w:rsid w:val="004A2A38"/>
    <w:rsid w:val="004A3920"/>
    <w:rsid w:val="004A3D38"/>
    <w:rsid w:val="004A401D"/>
    <w:rsid w:val="004A4875"/>
    <w:rsid w:val="004A4D24"/>
    <w:rsid w:val="004A51E4"/>
    <w:rsid w:val="004A52F1"/>
    <w:rsid w:val="004A61D3"/>
    <w:rsid w:val="004A636D"/>
    <w:rsid w:val="004A7023"/>
    <w:rsid w:val="004A71F4"/>
    <w:rsid w:val="004B039D"/>
    <w:rsid w:val="004B05FD"/>
    <w:rsid w:val="004B1542"/>
    <w:rsid w:val="004B21E0"/>
    <w:rsid w:val="004B3435"/>
    <w:rsid w:val="004B4152"/>
    <w:rsid w:val="004B42D3"/>
    <w:rsid w:val="004B4E00"/>
    <w:rsid w:val="004B586B"/>
    <w:rsid w:val="004B59B7"/>
    <w:rsid w:val="004B7B57"/>
    <w:rsid w:val="004C00C9"/>
    <w:rsid w:val="004C04B9"/>
    <w:rsid w:val="004C111D"/>
    <w:rsid w:val="004C1A70"/>
    <w:rsid w:val="004C1B61"/>
    <w:rsid w:val="004C3391"/>
    <w:rsid w:val="004C37A2"/>
    <w:rsid w:val="004C47F5"/>
    <w:rsid w:val="004C5937"/>
    <w:rsid w:val="004C5F3A"/>
    <w:rsid w:val="004C6FDB"/>
    <w:rsid w:val="004D0404"/>
    <w:rsid w:val="004D25FB"/>
    <w:rsid w:val="004D2BFB"/>
    <w:rsid w:val="004D2E08"/>
    <w:rsid w:val="004D31AC"/>
    <w:rsid w:val="004D496B"/>
    <w:rsid w:val="004D4DC5"/>
    <w:rsid w:val="004D552F"/>
    <w:rsid w:val="004D6019"/>
    <w:rsid w:val="004D68C4"/>
    <w:rsid w:val="004D74BA"/>
    <w:rsid w:val="004D76D6"/>
    <w:rsid w:val="004D781F"/>
    <w:rsid w:val="004D79DD"/>
    <w:rsid w:val="004D7BFC"/>
    <w:rsid w:val="004D7D0C"/>
    <w:rsid w:val="004E02AD"/>
    <w:rsid w:val="004E03CD"/>
    <w:rsid w:val="004E1E7B"/>
    <w:rsid w:val="004E2560"/>
    <w:rsid w:val="004E25F5"/>
    <w:rsid w:val="004E2B2C"/>
    <w:rsid w:val="004E3502"/>
    <w:rsid w:val="004E3A73"/>
    <w:rsid w:val="004E4489"/>
    <w:rsid w:val="004E68C2"/>
    <w:rsid w:val="004E7122"/>
    <w:rsid w:val="004E7AFC"/>
    <w:rsid w:val="004F096B"/>
    <w:rsid w:val="004F14AB"/>
    <w:rsid w:val="004F178C"/>
    <w:rsid w:val="004F4F2D"/>
    <w:rsid w:val="004F5515"/>
    <w:rsid w:val="004F57A0"/>
    <w:rsid w:val="004F5947"/>
    <w:rsid w:val="004F63BB"/>
    <w:rsid w:val="004F652F"/>
    <w:rsid w:val="004F6793"/>
    <w:rsid w:val="004F6AD6"/>
    <w:rsid w:val="004F7078"/>
    <w:rsid w:val="00500C93"/>
    <w:rsid w:val="00502619"/>
    <w:rsid w:val="00502872"/>
    <w:rsid w:val="00502F69"/>
    <w:rsid w:val="00503052"/>
    <w:rsid w:val="00504487"/>
    <w:rsid w:val="0050481E"/>
    <w:rsid w:val="00504D84"/>
    <w:rsid w:val="00505A11"/>
    <w:rsid w:val="00506031"/>
    <w:rsid w:val="00506504"/>
    <w:rsid w:val="00506C46"/>
    <w:rsid w:val="00506D35"/>
    <w:rsid w:val="00506D8F"/>
    <w:rsid w:val="0050700E"/>
    <w:rsid w:val="0050707F"/>
    <w:rsid w:val="0050778E"/>
    <w:rsid w:val="0051103C"/>
    <w:rsid w:val="0051295A"/>
    <w:rsid w:val="00513868"/>
    <w:rsid w:val="005163F0"/>
    <w:rsid w:val="005167E9"/>
    <w:rsid w:val="00516CF5"/>
    <w:rsid w:val="00516F61"/>
    <w:rsid w:val="005178B8"/>
    <w:rsid w:val="00521304"/>
    <w:rsid w:val="00522306"/>
    <w:rsid w:val="00522891"/>
    <w:rsid w:val="00522CEA"/>
    <w:rsid w:val="00524033"/>
    <w:rsid w:val="005241C0"/>
    <w:rsid w:val="005254B3"/>
    <w:rsid w:val="00525A47"/>
    <w:rsid w:val="00526520"/>
    <w:rsid w:val="00527EDA"/>
    <w:rsid w:val="00531CC2"/>
    <w:rsid w:val="005324A7"/>
    <w:rsid w:val="00535C0D"/>
    <w:rsid w:val="005406F6"/>
    <w:rsid w:val="00540780"/>
    <w:rsid w:val="00541018"/>
    <w:rsid w:val="005413BB"/>
    <w:rsid w:val="0054233A"/>
    <w:rsid w:val="00542A86"/>
    <w:rsid w:val="00542CAB"/>
    <w:rsid w:val="00544DE4"/>
    <w:rsid w:val="00545F9F"/>
    <w:rsid w:val="00545FA2"/>
    <w:rsid w:val="00546653"/>
    <w:rsid w:val="00551212"/>
    <w:rsid w:val="00551F0F"/>
    <w:rsid w:val="00552A8D"/>
    <w:rsid w:val="00552B76"/>
    <w:rsid w:val="0055328B"/>
    <w:rsid w:val="0055354F"/>
    <w:rsid w:val="00554661"/>
    <w:rsid w:val="00554DBE"/>
    <w:rsid w:val="00555418"/>
    <w:rsid w:val="00557577"/>
    <w:rsid w:val="005577B9"/>
    <w:rsid w:val="005610D0"/>
    <w:rsid w:val="00561293"/>
    <w:rsid w:val="00561781"/>
    <w:rsid w:val="00561B11"/>
    <w:rsid w:val="00561FA9"/>
    <w:rsid w:val="00562926"/>
    <w:rsid w:val="00563911"/>
    <w:rsid w:val="005640E3"/>
    <w:rsid w:val="00564530"/>
    <w:rsid w:val="00564EF0"/>
    <w:rsid w:val="0056505E"/>
    <w:rsid w:val="005659EF"/>
    <w:rsid w:val="00565AD8"/>
    <w:rsid w:val="00565EFB"/>
    <w:rsid w:val="00566C85"/>
    <w:rsid w:val="00567FB1"/>
    <w:rsid w:val="00570B81"/>
    <w:rsid w:val="00570C3A"/>
    <w:rsid w:val="005713DB"/>
    <w:rsid w:val="00571D4B"/>
    <w:rsid w:val="00571F53"/>
    <w:rsid w:val="005725A2"/>
    <w:rsid w:val="005726FE"/>
    <w:rsid w:val="00574BC5"/>
    <w:rsid w:val="00574EF8"/>
    <w:rsid w:val="00575025"/>
    <w:rsid w:val="00576C05"/>
    <w:rsid w:val="00577334"/>
    <w:rsid w:val="00577493"/>
    <w:rsid w:val="005779FA"/>
    <w:rsid w:val="00580F55"/>
    <w:rsid w:val="00581086"/>
    <w:rsid w:val="00582610"/>
    <w:rsid w:val="005835B2"/>
    <w:rsid w:val="005835FF"/>
    <w:rsid w:val="00584226"/>
    <w:rsid w:val="00584BC8"/>
    <w:rsid w:val="00585CAC"/>
    <w:rsid w:val="00586731"/>
    <w:rsid w:val="00586BBE"/>
    <w:rsid w:val="005875C4"/>
    <w:rsid w:val="0059033A"/>
    <w:rsid w:val="005907B8"/>
    <w:rsid w:val="00590CC4"/>
    <w:rsid w:val="00590EC8"/>
    <w:rsid w:val="00592703"/>
    <w:rsid w:val="00592B50"/>
    <w:rsid w:val="00592DD9"/>
    <w:rsid w:val="00592F76"/>
    <w:rsid w:val="005934AC"/>
    <w:rsid w:val="00595913"/>
    <w:rsid w:val="00595AE0"/>
    <w:rsid w:val="00596300"/>
    <w:rsid w:val="0059641D"/>
    <w:rsid w:val="00596C88"/>
    <w:rsid w:val="005975E4"/>
    <w:rsid w:val="005A0DCC"/>
    <w:rsid w:val="005A3369"/>
    <w:rsid w:val="005A3DF4"/>
    <w:rsid w:val="005A4446"/>
    <w:rsid w:val="005A5084"/>
    <w:rsid w:val="005A6518"/>
    <w:rsid w:val="005A6B53"/>
    <w:rsid w:val="005A7006"/>
    <w:rsid w:val="005B37C6"/>
    <w:rsid w:val="005B57B2"/>
    <w:rsid w:val="005B6F90"/>
    <w:rsid w:val="005C0F0F"/>
    <w:rsid w:val="005C11C1"/>
    <w:rsid w:val="005C16F0"/>
    <w:rsid w:val="005C282D"/>
    <w:rsid w:val="005C33DA"/>
    <w:rsid w:val="005C3400"/>
    <w:rsid w:val="005C34AD"/>
    <w:rsid w:val="005C359B"/>
    <w:rsid w:val="005C37B2"/>
    <w:rsid w:val="005C4829"/>
    <w:rsid w:val="005C4ACC"/>
    <w:rsid w:val="005C563C"/>
    <w:rsid w:val="005C7DD9"/>
    <w:rsid w:val="005D0B19"/>
    <w:rsid w:val="005D244F"/>
    <w:rsid w:val="005D2DCD"/>
    <w:rsid w:val="005D2F4E"/>
    <w:rsid w:val="005D3E4E"/>
    <w:rsid w:val="005D4006"/>
    <w:rsid w:val="005D4013"/>
    <w:rsid w:val="005D44DB"/>
    <w:rsid w:val="005D4894"/>
    <w:rsid w:val="005D551C"/>
    <w:rsid w:val="005D580B"/>
    <w:rsid w:val="005D5915"/>
    <w:rsid w:val="005D648D"/>
    <w:rsid w:val="005D707F"/>
    <w:rsid w:val="005D7096"/>
    <w:rsid w:val="005D7716"/>
    <w:rsid w:val="005E0D05"/>
    <w:rsid w:val="005E15D9"/>
    <w:rsid w:val="005E2037"/>
    <w:rsid w:val="005E3DAA"/>
    <w:rsid w:val="005E41A0"/>
    <w:rsid w:val="005E54E0"/>
    <w:rsid w:val="005E556D"/>
    <w:rsid w:val="005E73EF"/>
    <w:rsid w:val="005E76A6"/>
    <w:rsid w:val="005E7F48"/>
    <w:rsid w:val="005F0D5E"/>
    <w:rsid w:val="005F0DC2"/>
    <w:rsid w:val="005F276F"/>
    <w:rsid w:val="005F29B2"/>
    <w:rsid w:val="005F32F2"/>
    <w:rsid w:val="005F3396"/>
    <w:rsid w:val="005F38C0"/>
    <w:rsid w:val="005F428C"/>
    <w:rsid w:val="005F456F"/>
    <w:rsid w:val="005F5190"/>
    <w:rsid w:val="005F5554"/>
    <w:rsid w:val="005F604E"/>
    <w:rsid w:val="005F6857"/>
    <w:rsid w:val="005F6A49"/>
    <w:rsid w:val="006013AC"/>
    <w:rsid w:val="006018C0"/>
    <w:rsid w:val="006023D4"/>
    <w:rsid w:val="006030C9"/>
    <w:rsid w:val="00604071"/>
    <w:rsid w:val="00604823"/>
    <w:rsid w:val="00604E8F"/>
    <w:rsid w:val="0060505C"/>
    <w:rsid w:val="00605A9F"/>
    <w:rsid w:val="00606396"/>
    <w:rsid w:val="006063C7"/>
    <w:rsid w:val="006074E1"/>
    <w:rsid w:val="006108DF"/>
    <w:rsid w:val="00610CD7"/>
    <w:rsid w:val="00611623"/>
    <w:rsid w:val="00611CCB"/>
    <w:rsid w:val="006127E4"/>
    <w:rsid w:val="006151C2"/>
    <w:rsid w:val="006152B4"/>
    <w:rsid w:val="0061573D"/>
    <w:rsid w:val="00615D0B"/>
    <w:rsid w:val="00617430"/>
    <w:rsid w:val="00620152"/>
    <w:rsid w:val="00621595"/>
    <w:rsid w:val="00621CDC"/>
    <w:rsid w:val="00622B9C"/>
    <w:rsid w:val="00622CF6"/>
    <w:rsid w:val="00622D9D"/>
    <w:rsid w:val="00623717"/>
    <w:rsid w:val="00623E23"/>
    <w:rsid w:val="00623F43"/>
    <w:rsid w:val="0062410A"/>
    <w:rsid w:val="00624D44"/>
    <w:rsid w:val="00625948"/>
    <w:rsid w:val="00626542"/>
    <w:rsid w:val="00627DA3"/>
    <w:rsid w:val="00627E13"/>
    <w:rsid w:val="00627FD2"/>
    <w:rsid w:val="00630E85"/>
    <w:rsid w:val="00631259"/>
    <w:rsid w:val="0063129E"/>
    <w:rsid w:val="006321FC"/>
    <w:rsid w:val="00632207"/>
    <w:rsid w:val="00633C1A"/>
    <w:rsid w:val="00634002"/>
    <w:rsid w:val="00634E10"/>
    <w:rsid w:val="006353E8"/>
    <w:rsid w:val="006366E1"/>
    <w:rsid w:val="00636729"/>
    <w:rsid w:val="006370B8"/>
    <w:rsid w:val="00637191"/>
    <w:rsid w:val="0064090B"/>
    <w:rsid w:val="00642D93"/>
    <w:rsid w:val="00643D39"/>
    <w:rsid w:val="00644872"/>
    <w:rsid w:val="006459BB"/>
    <w:rsid w:val="00645B69"/>
    <w:rsid w:val="0064611A"/>
    <w:rsid w:val="006464C7"/>
    <w:rsid w:val="00646541"/>
    <w:rsid w:val="00646A55"/>
    <w:rsid w:val="00646CA9"/>
    <w:rsid w:val="00646DD2"/>
    <w:rsid w:val="00647647"/>
    <w:rsid w:val="0064792C"/>
    <w:rsid w:val="0065022B"/>
    <w:rsid w:val="00650FEB"/>
    <w:rsid w:val="0065167F"/>
    <w:rsid w:val="0065194B"/>
    <w:rsid w:val="00651C13"/>
    <w:rsid w:val="00652916"/>
    <w:rsid w:val="00653712"/>
    <w:rsid w:val="006542B8"/>
    <w:rsid w:val="00655F33"/>
    <w:rsid w:val="00656423"/>
    <w:rsid w:val="00656509"/>
    <w:rsid w:val="00657B30"/>
    <w:rsid w:val="00661686"/>
    <w:rsid w:val="00661845"/>
    <w:rsid w:val="00661C0E"/>
    <w:rsid w:val="0066204C"/>
    <w:rsid w:val="0066219D"/>
    <w:rsid w:val="00662417"/>
    <w:rsid w:val="006639F6"/>
    <w:rsid w:val="00663EDA"/>
    <w:rsid w:val="0066440A"/>
    <w:rsid w:val="0066571C"/>
    <w:rsid w:val="00665BC5"/>
    <w:rsid w:val="00667225"/>
    <w:rsid w:val="0066762C"/>
    <w:rsid w:val="0066797A"/>
    <w:rsid w:val="00667ECD"/>
    <w:rsid w:val="006703FA"/>
    <w:rsid w:val="00670511"/>
    <w:rsid w:val="00670799"/>
    <w:rsid w:val="0067080C"/>
    <w:rsid w:val="00670981"/>
    <w:rsid w:val="00670CD2"/>
    <w:rsid w:val="0067112E"/>
    <w:rsid w:val="006715DB"/>
    <w:rsid w:val="006716AD"/>
    <w:rsid w:val="006724C8"/>
    <w:rsid w:val="00672AC7"/>
    <w:rsid w:val="00673461"/>
    <w:rsid w:val="00673FE2"/>
    <w:rsid w:val="00674F5E"/>
    <w:rsid w:val="00675FBF"/>
    <w:rsid w:val="00676CB4"/>
    <w:rsid w:val="00676D94"/>
    <w:rsid w:val="00676F2B"/>
    <w:rsid w:val="006770F2"/>
    <w:rsid w:val="00677ABD"/>
    <w:rsid w:val="00677E5A"/>
    <w:rsid w:val="00680713"/>
    <w:rsid w:val="0068118C"/>
    <w:rsid w:val="006817A6"/>
    <w:rsid w:val="00681F06"/>
    <w:rsid w:val="0068231A"/>
    <w:rsid w:val="00684DEE"/>
    <w:rsid w:val="006858A5"/>
    <w:rsid w:val="00685D7A"/>
    <w:rsid w:val="00686D1B"/>
    <w:rsid w:val="00686DF1"/>
    <w:rsid w:val="006871B0"/>
    <w:rsid w:val="00690042"/>
    <w:rsid w:val="00691032"/>
    <w:rsid w:val="00692501"/>
    <w:rsid w:val="00693231"/>
    <w:rsid w:val="0069370D"/>
    <w:rsid w:val="006951B0"/>
    <w:rsid w:val="006951FB"/>
    <w:rsid w:val="0069581F"/>
    <w:rsid w:val="0069588C"/>
    <w:rsid w:val="00696214"/>
    <w:rsid w:val="00696752"/>
    <w:rsid w:val="00697881"/>
    <w:rsid w:val="0069797C"/>
    <w:rsid w:val="00697C16"/>
    <w:rsid w:val="006A04F2"/>
    <w:rsid w:val="006A0995"/>
    <w:rsid w:val="006A0A2F"/>
    <w:rsid w:val="006A1E64"/>
    <w:rsid w:val="006A32BD"/>
    <w:rsid w:val="006A3358"/>
    <w:rsid w:val="006A3F59"/>
    <w:rsid w:val="006A4034"/>
    <w:rsid w:val="006A42FA"/>
    <w:rsid w:val="006A4456"/>
    <w:rsid w:val="006A5C38"/>
    <w:rsid w:val="006A634C"/>
    <w:rsid w:val="006A6F2B"/>
    <w:rsid w:val="006A7874"/>
    <w:rsid w:val="006A7C2C"/>
    <w:rsid w:val="006A7DCA"/>
    <w:rsid w:val="006B05F0"/>
    <w:rsid w:val="006B09E5"/>
    <w:rsid w:val="006B0ABA"/>
    <w:rsid w:val="006B23F6"/>
    <w:rsid w:val="006B25B0"/>
    <w:rsid w:val="006B28A9"/>
    <w:rsid w:val="006B31C9"/>
    <w:rsid w:val="006B3511"/>
    <w:rsid w:val="006B4B1C"/>
    <w:rsid w:val="006B4F4E"/>
    <w:rsid w:val="006B6033"/>
    <w:rsid w:val="006B6458"/>
    <w:rsid w:val="006B7432"/>
    <w:rsid w:val="006C17DF"/>
    <w:rsid w:val="006C1BDE"/>
    <w:rsid w:val="006C245D"/>
    <w:rsid w:val="006C25FB"/>
    <w:rsid w:val="006C3211"/>
    <w:rsid w:val="006C3C05"/>
    <w:rsid w:val="006C4465"/>
    <w:rsid w:val="006C475D"/>
    <w:rsid w:val="006C4818"/>
    <w:rsid w:val="006C4CEF"/>
    <w:rsid w:val="006C4D78"/>
    <w:rsid w:val="006C5159"/>
    <w:rsid w:val="006C51A4"/>
    <w:rsid w:val="006C51E0"/>
    <w:rsid w:val="006C59E8"/>
    <w:rsid w:val="006C685A"/>
    <w:rsid w:val="006C6F16"/>
    <w:rsid w:val="006C6F17"/>
    <w:rsid w:val="006C7094"/>
    <w:rsid w:val="006C775A"/>
    <w:rsid w:val="006D0421"/>
    <w:rsid w:val="006D09F5"/>
    <w:rsid w:val="006D1093"/>
    <w:rsid w:val="006D16B0"/>
    <w:rsid w:val="006D192B"/>
    <w:rsid w:val="006D24EE"/>
    <w:rsid w:val="006D284C"/>
    <w:rsid w:val="006D2953"/>
    <w:rsid w:val="006D2EEC"/>
    <w:rsid w:val="006D3398"/>
    <w:rsid w:val="006D33F0"/>
    <w:rsid w:val="006D348B"/>
    <w:rsid w:val="006D3584"/>
    <w:rsid w:val="006D3903"/>
    <w:rsid w:val="006D39FD"/>
    <w:rsid w:val="006D492A"/>
    <w:rsid w:val="006D4FC1"/>
    <w:rsid w:val="006D5789"/>
    <w:rsid w:val="006D7229"/>
    <w:rsid w:val="006D74EC"/>
    <w:rsid w:val="006E0599"/>
    <w:rsid w:val="006E3006"/>
    <w:rsid w:val="006E3032"/>
    <w:rsid w:val="006E30BC"/>
    <w:rsid w:val="006E354B"/>
    <w:rsid w:val="006E537B"/>
    <w:rsid w:val="006E5B7F"/>
    <w:rsid w:val="006E5BCC"/>
    <w:rsid w:val="006E5D4D"/>
    <w:rsid w:val="006E5DEB"/>
    <w:rsid w:val="006E5FEA"/>
    <w:rsid w:val="006E7464"/>
    <w:rsid w:val="006F065A"/>
    <w:rsid w:val="006F0C25"/>
    <w:rsid w:val="006F0E51"/>
    <w:rsid w:val="006F19A3"/>
    <w:rsid w:val="006F1F61"/>
    <w:rsid w:val="006F33A4"/>
    <w:rsid w:val="006F35F2"/>
    <w:rsid w:val="006F3BC8"/>
    <w:rsid w:val="006F401D"/>
    <w:rsid w:val="006F4318"/>
    <w:rsid w:val="006F45C1"/>
    <w:rsid w:val="006F57FA"/>
    <w:rsid w:val="006F5919"/>
    <w:rsid w:val="006F6B96"/>
    <w:rsid w:val="006F7125"/>
    <w:rsid w:val="006F739A"/>
    <w:rsid w:val="006F78F0"/>
    <w:rsid w:val="006F7A04"/>
    <w:rsid w:val="00700107"/>
    <w:rsid w:val="00700B0D"/>
    <w:rsid w:val="0070170B"/>
    <w:rsid w:val="0070280E"/>
    <w:rsid w:val="0070318C"/>
    <w:rsid w:val="007036F4"/>
    <w:rsid w:val="00703D64"/>
    <w:rsid w:val="00703E94"/>
    <w:rsid w:val="007040B6"/>
    <w:rsid w:val="00706097"/>
    <w:rsid w:val="00706461"/>
    <w:rsid w:val="00706E35"/>
    <w:rsid w:val="00707D0D"/>
    <w:rsid w:val="007102D4"/>
    <w:rsid w:val="007105B6"/>
    <w:rsid w:val="00711688"/>
    <w:rsid w:val="007117DF"/>
    <w:rsid w:val="007119EF"/>
    <w:rsid w:val="00712D9E"/>
    <w:rsid w:val="00713A27"/>
    <w:rsid w:val="00713C0A"/>
    <w:rsid w:val="00714EBE"/>
    <w:rsid w:val="00715531"/>
    <w:rsid w:val="00715FD5"/>
    <w:rsid w:val="007164DA"/>
    <w:rsid w:val="007165EC"/>
    <w:rsid w:val="00716602"/>
    <w:rsid w:val="007168DE"/>
    <w:rsid w:val="00716F66"/>
    <w:rsid w:val="00717988"/>
    <w:rsid w:val="00720408"/>
    <w:rsid w:val="007205CD"/>
    <w:rsid w:val="00720D4B"/>
    <w:rsid w:val="00721691"/>
    <w:rsid w:val="007218AB"/>
    <w:rsid w:val="007222A8"/>
    <w:rsid w:val="0072328B"/>
    <w:rsid w:val="00723FE3"/>
    <w:rsid w:val="007247ED"/>
    <w:rsid w:val="00724F66"/>
    <w:rsid w:val="0072520E"/>
    <w:rsid w:val="007258C3"/>
    <w:rsid w:val="00727753"/>
    <w:rsid w:val="00727D77"/>
    <w:rsid w:val="00730016"/>
    <w:rsid w:val="007303B0"/>
    <w:rsid w:val="00730538"/>
    <w:rsid w:val="00730E30"/>
    <w:rsid w:val="007334D1"/>
    <w:rsid w:val="00733872"/>
    <w:rsid w:val="0073391D"/>
    <w:rsid w:val="007339AA"/>
    <w:rsid w:val="00733B9E"/>
    <w:rsid w:val="00733C6C"/>
    <w:rsid w:val="00734760"/>
    <w:rsid w:val="00735566"/>
    <w:rsid w:val="00735B45"/>
    <w:rsid w:val="0073659B"/>
    <w:rsid w:val="00736A48"/>
    <w:rsid w:val="007370A3"/>
    <w:rsid w:val="00737B85"/>
    <w:rsid w:val="00737EEB"/>
    <w:rsid w:val="00740041"/>
    <w:rsid w:val="00741A4C"/>
    <w:rsid w:val="00742D7E"/>
    <w:rsid w:val="00744FB9"/>
    <w:rsid w:val="00745528"/>
    <w:rsid w:val="00745F4C"/>
    <w:rsid w:val="00745FB4"/>
    <w:rsid w:val="0074726B"/>
    <w:rsid w:val="00750007"/>
    <w:rsid w:val="00750E0C"/>
    <w:rsid w:val="00751226"/>
    <w:rsid w:val="007514B5"/>
    <w:rsid w:val="007515B3"/>
    <w:rsid w:val="00751B80"/>
    <w:rsid w:val="00752050"/>
    <w:rsid w:val="0075215A"/>
    <w:rsid w:val="007528A4"/>
    <w:rsid w:val="0075298B"/>
    <w:rsid w:val="007539D6"/>
    <w:rsid w:val="00753BAC"/>
    <w:rsid w:val="007540AB"/>
    <w:rsid w:val="00761147"/>
    <w:rsid w:val="00761821"/>
    <w:rsid w:val="00761FBE"/>
    <w:rsid w:val="0076465A"/>
    <w:rsid w:val="007647D1"/>
    <w:rsid w:val="007654D3"/>
    <w:rsid w:val="00765706"/>
    <w:rsid w:val="00765B1F"/>
    <w:rsid w:val="00765F29"/>
    <w:rsid w:val="00767431"/>
    <w:rsid w:val="00767506"/>
    <w:rsid w:val="00767689"/>
    <w:rsid w:val="007716FB"/>
    <w:rsid w:val="00771E74"/>
    <w:rsid w:val="00772626"/>
    <w:rsid w:val="00772B26"/>
    <w:rsid w:val="00775709"/>
    <w:rsid w:val="00775783"/>
    <w:rsid w:val="00776BD2"/>
    <w:rsid w:val="007801D8"/>
    <w:rsid w:val="00780225"/>
    <w:rsid w:val="00781A75"/>
    <w:rsid w:val="00781B67"/>
    <w:rsid w:val="00782569"/>
    <w:rsid w:val="00783D03"/>
    <w:rsid w:val="00783F13"/>
    <w:rsid w:val="007849A2"/>
    <w:rsid w:val="007852B9"/>
    <w:rsid w:val="00785C91"/>
    <w:rsid w:val="00785DB8"/>
    <w:rsid w:val="00787DAA"/>
    <w:rsid w:val="00787E1C"/>
    <w:rsid w:val="00790CD6"/>
    <w:rsid w:val="00790FB0"/>
    <w:rsid w:val="00791D5E"/>
    <w:rsid w:val="00792326"/>
    <w:rsid w:val="00792723"/>
    <w:rsid w:val="0079278C"/>
    <w:rsid w:val="00792D5F"/>
    <w:rsid w:val="00793D1E"/>
    <w:rsid w:val="007941FF"/>
    <w:rsid w:val="00795846"/>
    <w:rsid w:val="00795DFE"/>
    <w:rsid w:val="00795EFA"/>
    <w:rsid w:val="00796729"/>
    <w:rsid w:val="0079691F"/>
    <w:rsid w:val="007976C0"/>
    <w:rsid w:val="007A0104"/>
    <w:rsid w:val="007A1017"/>
    <w:rsid w:val="007A1F65"/>
    <w:rsid w:val="007A2298"/>
    <w:rsid w:val="007A239F"/>
    <w:rsid w:val="007A28DB"/>
    <w:rsid w:val="007A2C22"/>
    <w:rsid w:val="007A2D51"/>
    <w:rsid w:val="007A321F"/>
    <w:rsid w:val="007A43E3"/>
    <w:rsid w:val="007A47B5"/>
    <w:rsid w:val="007A4803"/>
    <w:rsid w:val="007A5BE1"/>
    <w:rsid w:val="007A736C"/>
    <w:rsid w:val="007A7665"/>
    <w:rsid w:val="007A78E4"/>
    <w:rsid w:val="007A7DAE"/>
    <w:rsid w:val="007A7F8D"/>
    <w:rsid w:val="007B027F"/>
    <w:rsid w:val="007B09D0"/>
    <w:rsid w:val="007B152D"/>
    <w:rsid w:val="007B1965"/>
    <w:rsid w:val="007B22BC"/>
    <w:rsid w:val="007B2669"/>
    <w:rsid w:val="007B317C"/>
    <w:rsid w:val="007B383B"/>
    <w:rsid w:val="007B4368"/>
    <w:rsid w:val="007B452F"/>
    <w:rsid w:val="007B48DF"/>
    <w:rsid w:val="007B586C"/>
    <w:rsid w:val="007B614A"/>
    <w:rsid w:val="007B658F"/>
    <w:rsid w:val="007B684F"/>
    <w:rsid w:val="007C22B4"/>
    <w:rsid w:val="007C28FF"/>
    <w:rsid w:val="007C357C"/>
    <w:rsid w:val="007C4353"/>
    <w:rsid w:val="007C4694"/>
    <w:rsid w:val="007C55EF"/>
    <w:rsid w:val="007C57DE"/>
    <w:rsid w:val="007C5A35"/>
    <w:rsid w:val="007C6041"/>
    <w:rsid w:val="007C60CF"/>
    <w:rsid w:val="007C63F6"/>
    <w:rsid w:val="007C710A"/>
    <w:rsid w:val="007C7E25"/>
    <w:rsid w:val="007C7F95"/>
    <w:rsid w:val="007D0829"/>
    <w:rsid w:val="007D0FBA"/>
    <w:rsid w:val="007D1DD4"/>
    <w:rsid w:val="007D2C92"/>
    <w:rsid w:val="007D3DEA"/>
    <w:rsid w:val="007D437D"/>
    <w:rsid w:val="007D5FC2"/>
    <w:rsid w:val="007D6953"/>
    <w:rsid w:val="007D6E23"/>
    <w:rsid w:val="007D712C"/>
    <w:rsid w:val="007D7A40"/>
    <w:rsid w:val="007D7AC2"/>
    <w:rsid w:val="007E1048"/>
    <w:rsid w:val="007E18FF"/>
    <w:rsid w:val="007E2816"/>
    <w:rsid w:val="007E31A2"/>
    <w:rsid w:val="007E3D46"/>
    <w:rsid w:val="007E418F"/>
    <w:rsid w:val="007E4725"/>
    <w:rsid w:val="007E4CC1"/>
    <w:rsid w:val="007E5171"/>
    <w:rsid w:val="007E5259"/>
    <w:rsid w:val="007E5792"/>
    <w:rsid w:val="007E7769"/>
    <w:rsid w:val="007E7780"/>
    <w:rsid w:val="007E7EBC"/>
    <w:rsid w:val="007F03B4"/>
    <w:rsid w:val="007F30F6"/>
    <w:rsid w:val="007F4723"/>
    <w:rsid w:val="007F493D"/>
    <w:rsid w:val="007F4C9D"/>
    <w:rsid w:val="007F4E77"/>
    <w:rsid w:val="007F4EF1"/>
    <w:rsid w:val="007F512F"/>
    <w:rsid w:val="007F7BC2"/>
    <w:rsid w:val="007F7FE6"/>
    <w:rsid w:val="00800770"/>
    <w:rsid w:val="00800FB8"/>
    <w:rsid w:val="008014C4"/>
    <w:rsid w:val="0080181A"/>
    <w:rsid w:val="00801BAE"/>
    <w:rsid w:val="00802584"/>
    <w:rsid w:val="00802856"/>
    <w:rsid w:val="00802A85"/>
    <w:rsid w:val="00803BD6"/>
    <w:rsid w:val="00803DB6"/>
    <w:rsid w:val="00804B45"/>
    <w:rsid w:val="00804CAA"/>
    <w:rsid w:val="00804E7C"/>
    <w:rsid w:val="00804EBA"/>
    <w:rsid w:val="00805C52"/>
    <w:rsid w:val="00806857"/>
    <w:rsid w:val="0080733B"/>
    <w:rsid w:val="00807BBC"/>
    <w:rsid w:val="00807BFD"/>
    <w:rsid w:val="008105A2"/>
    <w:rsid w:val="00810C38"/>
    <w:rsid w:val="00811D03"/>
    <w:rsid w:val="00812ACB"/>
    <w:rsid w:val="00813590"/>
    <w:rsid w:val="008137CF"/>
    <w:rsid w:val="008140B0"/>
    <w:rsid w:val="0081432A"/>
    <w:rsid w:val="00814EC7"/>
    <w:rsid w:val="008150E6"/>
    <w:rsid w:val="008155FF"/>
    <w:rsid w:val="00815EA1"/>
    <w:rsid w:val="00815EA2"/>
    <w:rsid w:val="0081601E"/>
    <w:rsid w:val="00816948"/>
    <w:rsid w:val="00817A8A"/>
    <w:rsid w:val="00817F45"/>
    <w:rsid w:val="00820A1C"/>
    <w:rsid w:val="00820A9B"/>
    <w:rsid w:val="00821372"/>
    <w:rsid w:val="0082289D"/>
    <w:rsid w:val="00823122"/>
    <w:rsid w:val="00824129"/>
    <w:rsid w:val="00825524"/>
    <w:rsid w:val="00825A3D"/>
    <w:rsid w:val="00825FF4"/>
    <w:rsid w:val="00825FF6"/>
    <w:rsid w:val="00826FB4"/>
    <w:rsid w:val="008274F4"/>
    <w:rsid w:val="00831812"/>
    <w:rsid w:val="00831B53"/>
    <w:rsid w:val="00831C93"/>
    <w:rsid w:val="00831D83"/>
    <w:rsid w:val="008320FC"/>
    <w:rsid w:val="00832593"/>
    <w:rsid w:val="008327E5"/>
    <w:rsid w:val="008331DB"/>
    <w:rsid w:val="0083330A"/>
    <w:rsid w:val="008336AF"/>
    <w:rsid w:val="00833E25"/>
    <w:rsid w:val="00834C2A"/>
    <w:rsid w:val="00834FEB"/>
    <w:rsid w:val="00835713"/>
    <w:rsid w:val="00835F15"/>
    <w:rsid w:val="00835FA1"/>
    <w:rsid w:val="00836177"/>
    <w:rsid w:val="0083720B"/>
    <w:rsid w:val="00837571"/>
    <w:rsid w:val="0084114B"/>
    <w:rsid w:val="00841577"/>
    <w:rsid w:val="008417E0"/>
    <w:rsid w:val="00841B44"/>
    <w:rsid w:val="00841E4C"/>
    <w:rsid w:val="0084266C"/>
    <w:rsid w:val="00842AC3"/>
    <w:rsid w:val="00842BDD"/>
    <w:rsid w:val="00842EB4"/>
    <w:rsid w:val="00844279"/>
    <w:rsid w:val="00844F08"/>
    <w:rsid w:val="00845C4E"/>
    <w:rsid w:val="008477C7"/>
    <w:rsid w:val="008508AC"/>
    <w:rsid w:val="00850FFE"/>
    <w:rsid w:val="008513F9"/>
    <w:rsid w:val="00851402"/>
    <w:rsid w:val="0085147F"/>
    <w:rsid w:val="00851643"/>
    <w:rsid w:val="00851AAE"/>
    <w:rsid w:val="00851B36"/>
    <w:rsid w:val="008527D2"/>
    <w:rsid w:val="0085312C"/>
    <w:rsid w:val="00853B3F"/>
    <w:rsid w:val="008543CB"/>
    <w:rsid w:val="0085441D"/>
    <w:rsid w:val="00854CCC"/>
    <w:rsid w:val="008561C3"/>
    <w:rsid w:val="008565DA"/>
    <w:rsid w:val="00856CE2"/>
    <w:rsid w:val="00860070"/>
    <w:rsid w:val="008617F1"/>
    <w:rsid w:val="00861815"/>
    <w:rsid w:val="0086201B"/>
    <w:rsid w:val="00862B44"/>
    <w:rsid w:val="00862C15"/>
    <w:rsid w:val="0086326E"/>
    <w:rsid w:val="00863336"/>
    <w:rsid w:val="00863567"/>
    <w:rsid w:val="008641EF"/>
    <w:rsid w:val="008648DA"/>
    <w:rsid w:val="00865616"/>
    <w:rsid w:val="00865B15"/>
    <w:rsid w:val="008667D1"/>
    <w:rsid w:val="00866AED"/>
    <w:rsid w:val="00870076"/>
    <w:rsid w:val="00870577"/>
    <w:rsid w:val="00870A64"/>
    <w:rsid w:val="00870E6F"/>
    <w:rsid w:val="00871404"/>
    <w:rsid w:val="008716EA"/>
    <w:rsid w:val="00871B65"/>
    <w:rsid w:val="00872725"/>
    <w:rsid w:val="00872C2A"/>
    <w:rsid w:val="00872FFA"/>
    <w:rsid w:val="0087366A"/>
    <w:rsid w:val="00873823"/>
    <w:rsid w:val="00873E26"/>
    <w:rsid w:val="008755B2"/>
    <w:rsid w:val="00876C68"/>
    <w:rsid w:val="0088076C"/>
    <w:rsid w:val="00880D83"/>
    <w:rsid w:val="008819C2"/>
    <w:rsid w:val="00884251"/>
    <w:rsid w:val="00884E02"/>
    <w:rsid w:val="00885FA7"/>
    <w:rsid w:val="008862D1"/>
    <w:rsid w:val="008868C5"/>
    <w:rsid w:val="008868CD"/>
    <w:rsid w:val="00886C5E"/>
    <w:rsid w:val="00887E98"/>
    <w:rsid w:val="008915EB"/>
    <w:rsid w:val="008937BE"/>
    <w:rsid w:val="00894CBA"/>
    <w:rsid w:val="00895B9C"/>
    <w:rsid w:val="00895D2F"/>
    <w:rsid w:val="00895FB0"/>
    <w:rsid w:val="0089636E"/>
    <w:rsid w:val="00896A23"/>
    <w:rsid w:val="00897228"/>
    <w:rsid w:val="0089741F"/>
    <w:rsid w:val="008A03D6"/>
    <w:rsid w:val="008A11D6"/>
    <w:rsid w:val="008A1715"/>
    <w:rsid w:val="008A20A9"/>
    <w:rsid w:val="008A25EE"/>
    <w:rsid w:val="008A2A63"/>
    <w:rsid w:val="008A2EB1"/>
    <w:rsid w:val="008A31A8"/>
    <w:rsid w:val="008A57D0"/>
    <w:rsid w:val="008A5C2C"/>
    <w:rsid w:val="008A60F9"/>
    <w:rsid w:val="008A730C"/>
    <w:rsid w:val="008B0446"/>
    <w:rsid w:val="008B098E"/>
    <w:rsid w:val="008B15B5"/>
    <w:rsid w:val="008B194C"/>
    <w:rsid w:val="008B3121"/>
    <w:rsid w:val="008B404A"/>
    <w:rsid w:val="008B5458"/>
    <w:rsid w:val="008B5A4D"/>
    <w:rsid w:val="008B5D7E"/>
    <w:rsid w:val="008B5EE7"/>
    <w:rsid w:val="008B60CA"/>
    <w:rsid w:val="008C01C7"/>
    <w:rsid w:val="008C0710"/>
    <w:rsid w:val="008C1316"/>
    <w:rsid w:val="008C16C4"/>
    <w:rsid w:val="008C1B27"/>
    <w:rsid w:val="008C2184"/>
    <w:rsid w:val="008C2D12"/>
    <w:rsid w:val="008C33E7"/>
    <w:rsid w:val="008C3EBF"/>
    <w:rsid w:val="008C4119"/>
    <w:rsid w:val="008C44CD"/>
    <w:rsid w:val="008C6C77"/>
    <w:rsid w:val="008C7005"/>
    <w:rsid w:val="008C73E8"/>
    <w:rsid w:val="008D0B69"/>
    <w:rsid w:val="008D1CBF"/>
    <w:rsid w:val="008D1F54"/>
    <w:rsid w:val="008D1F58"/>
    <w:rsid w:val="008D2664"/>
    <w:rsid w:val="008D3A9F"/>
    <w:rsid w:val="008D3DDB"/>
    <w:rsid w:val="008D439C"/>
    <w:rsid w:val="008D4EB0"/>
    <w:rsid w:val="008D7B87"/>
    <w:rsid w:val="008E0368"/>
    <w:rsid w:val="008E133F"/>
    <w:rsid w:val="008E16FE"/>
    <w:rsid w:val="008E1E1F"/>
    <w:rsid w:val="008E2071"/>
    <w:rsid w:val="008E28AE"/>
    <w:rsid w:val="008E2AD4"/>
    <w:rsid w:val="008E38A1"/>
    <w:rsid w:val="008E3E3B"/>
    <w:rsid w:val="008E58DF"/>
    <w:rsid w:val="008E5A91"/>
    <w:rsid w:val="008E6ACE"/>
    <w:rsid w:val="008E7CC9"/>
    <w:rsid w:val="008F0268"/>
    <w:rsid w:val="008F047C"/>
    <w:rsid w:val="008F0530"/>
    <w:rsid w:val="008F0F0B"/>
    <w:rsid w:val="008F1DFB"/>
    <w:rsid w:val="008F31B7"/>
    <w:rsid w:val="008F32BE"/>
    <w:rsid w:val="008F385C"/>
    <w:rsid w:val="008F4074"/>
    <w:rsid w:val="008F53B7"/>
    <w:rsid w:val="008F699A"/>
    <w:rsid w:val="008F7B0B"/>
    <w:rsid w:val="008F7F57"/>
    <w:rsid w:val="00900211"/>
    <w:rsid w:val="00900637"/>
    <w:rsid w:val="009006E2"/>
    <w:rsid w:val="009008E5"/>
    <w:rsid w:val="00900A5C"/>
    <w:rsid w:val="00900C75"/>
    <w:rsid w:val="00900F65"/>
    <w:rsid w:val="0090188A"/>
    <w:rsid w:val="00901A3E"/>
    <w:rsid w:val="00902E67"/>
    <w:rsid w:val="0090400A"/>
    <w:rsid w:val="00904438"/>
    <w:rsid w:val="00904F3A"/>
    <w:rsid w:val="0090500C"/>
    <w:rsid w:val="00906DB8"/>
    <w:rsid w:val="00907726"/>
    <w:rsid w:val="00907A22"/>
    <w:rsid w:val="00910462"/>
    <w:rsid w:val="0091061C"/>
    <w:rsid w:val="00911624"/>
    <w:rsid w:val="009120E9"/>
    <w:rsid w:val="00914351"/>
    <w:rsid w:val="009146BA"/>
    <w:rsid w:val="00914800"/>
    <w:rsid w:val="00914FD4"/>
    <w:rsid w:val="009164C9"/>
    <w:rsid w:val="00917950"/>
    <w:rsid w:val="00917D2E"/>
    <w:rsid w:val="009200AF"/>
    <w:rsid w:val="00920939"/>
    <w:rsid w:val="009223B0"/>
    <w:rsid w:val="009223C9"/>
    <w:rsid w:val="00922522"/>
    <w:rsid w:val="00922CD5"/>
    <w:rsid w:val="0092387A"/>
    <w:rsid w:val="00923C4F"/>
    <w:rsid w:val="009240EE"/>
    <w:rsid w:val="00924FD1"/>
    <w:rsid w:val="00925051"/>
    <w:rsid w:val="0092625B"/>
    <w:rsid w:val="00926AC8"/>
    <w:rsid w:val="009314CD"/>
    <w:rsid w:val="00931942"/>
    <w:rsid w:val="00931A23"/>
    <w:rsid w:val="009320D2"/>
    <w:rsid w:val="0093262A"/>
    <w:rsid w:val="009328A8"/>
    <w:rsid w:val="00932AD5"/>
    <w:rsid w:val="00932E61"/>
    <w:rsid w:val="00933F87"/>
    <w:rsid w:val="0093572D"/>
    <w:rsid w:val="00935A7C"/>
    <w:rsid w:val="00935F1D"/>
    <w:rsid w:val="00937917"/>
    <w:rsid w:val="009409C1"/>
    <w:rsid w:val="00940C95"/>
    <w:rsid w:val="009415E4"/>
    <w:rsid w:val="009418D9"/>
    <w:rsid w:val="009424A0"/>
    <w:rsid w:val="00942889"/>
    <w:rsid w:val="009437DC"/>
    <w:rsid w:val="00943D96"/>
    <w:rsid w:val="009448DE"/>
    <w:rsid w:val="00945886"/>
    <w:rsid w:val="00945E24"/>
    <w:rsid w:val="00947050"/>
    <w:rsid w:val="009474C5"/>
    <w:rsid w:val="00950596"/>
    <w:rsid w:val="00951500"/>
    <w:rsid w:val="00951619"/>
    <w:rsid w:val="009526A9"/>
    <w:rsid w:val="0095379C"/>
    <w:rsid w:val="00953CA1"/>
    <w:rsid w:val="009543FF"/>
    <w:rsid w:val="00955BF6"/>
    <w:rsid w:val="00956385"/>
    <w:rsid w:val="00957445"/>
    <w:rsid w:val="0095765A"/>
    <w:rsid w:val="0096070F"/>
    <w:rsid w:val="00960CCC"/>
    <w:rsid w:val="00961387"/>
    <w:rsid w:val="00961D6F"/>
    <w:rsid w:val="00962EC3"/>
    <w:rsid w:val="009631BC"/>
    <w:rsid w:val="00964CD2"/>
    <w:rsid w:val="00966551"/>
    <w:rsid w:val="00966FEB"/>
    <w:rsid w:val="0096783E"/>
    <w:rsid w:val="00967CD9"/>
    <w:rsid w:val="009715FC"/>
    <w:rsid w:val="00971D14"/>
    <w:rsid w:val="00971DBA"/>
    <w:rsid w:val="00971F3A"/>
    <w:rsid w:val="009727FA"/>
    <w:rsid w:val="00972B39"/>
    <w:rsid w:val="00972CAB"/>
    <w:rsid w:val="0097334A"/>
    <w:rsid w:val="00973935"/>
    <w:rsid w:val="00973F04"/>
    <w:rsid w:val="00975030"/>
    <w:rsid w:val="00976760"/>
    <w:rsid w:val="0097688D"/>
    <w:rsid w:val="00977B47"/>
    <w:rsid w:val="00980040"/>
    <w:rsid w:val="009817FB"/>
    <w:rsid w:val="00981A02"/>
    <w:rsid w:val="009825F4"/>
    <w:rsid w:val="00982796"/>
    <w:rsid w:val="00983994"/>
    <w:rsid w:val="009841C8"/>
    <w:rsid w:val="00984602"/>
    <w:rsid w:val="00984EBA"/>
    <w:rsid w:val="0098582A"/>
    <w:rsid w:val="00987219"/>
    <w:rsid w:val="00987C8D"/>
    <w:rsid w:val="00987FAC"/>
    <w:rsid w:val="009904C2"/>
    <w:rsid w:val="0099145C"/>
    <w:rsid w:val="00992482"/>
    <w:rsid w:val="009925F5"/>
    <w:rsid w:val="009932C8"/>
    <w:rsid w:val="00994FCD"/>
    <w:rsid w:val="00995492"/>
    <w:rsid w:val="009954E1"/>
    <w:rsid w:val="00995785"/>
    <w:rsid w:val="00995C5D"/>
    <w:rsid w:val="00995C68"/>
    <w:rsid w:val="00997078"/>
    <w:rsid w:val="00997753"/>
    <w:rsid w:val="009977EB"/>
    <w:rsid w:val="009A09DF"/>
    <w:rsid w:val="009A11CF"/>
    <w:rsid w:val="009A189F"/>
    <w:rsid w:val="009A2D56"/>
    <w:rsid w:val="009A3AAB"/>
    <w:rsid w:val="009A43B8"/>
    <w:rsid w:val="009A5035"/>
    <w:rsid w:val="009A5E4A"/>
    <w:rsid w:val="009A6E5D"/>
    <w:rsid w:val="009B0C52"/>
    <w:rsid w:val="009B2677"/>
    <w:rsid w:val="009B2762"/>
    <w:rsid w:val="009B3A15"/>
    <w:rsid w:val="009B46C6"/>
    <w:rsid w:val="009B483D"/>
    <w:rsid w:val="009B517E"/>
    <w:rsid w:val="009B587D"/>
    <w:rsid w:val="009B5D3D"/>
    <w:rsid w:val="009B6188"/>
    <w:rsid w:val="009B6348"/>
    <w:rsid w:val="009B653F"/>
    <w:rsid w:val="009B67D1"/>
    <w:rsid w:val="009B7A01"/>
    <w:rsid w:val="009C0D59"/>
    <w:rsid w:val="009C3A96"/>
    <w:rsid w:val="009C3CB7"/>
    <w:rsid w:val="009C3CE1"/>
    <w:rsid w:val="009C417C"/>
    <w:rsid w:val="009C4AF5"/>
    <w:rsid w:val="009C5A28"/>
    <w:rsid w:val="009C5B3F"/>
    <w:rsid w:val="009C6169"/>
    <w:rsid w:val="009C76F6"/>
    <w:rsid w:val="009C798B"/>
    <w:rsid w:val="009C7AFC"/>
    <w:rsid w:val="009D025A"/>
    <w:rsid w:val="009D02F6"/>
    <w:rsid w:val="009D0C31"/>
    <w:rsid w:val="009D121C"/>
    <w:rsid w:val="009D1D09"/>
    <w:rsid w:val="009D4717"/>
    <w:rsid w:val="009D53D7"/>
    <w:rsid w:val="009D5D2C"/>
    <w:rsid w:val="009D6559"/>
    <w:rsid w:val="009D6991"/>
    <w:rsid w:val="009D70CC"/>
    <w:rsid w:val="009D79B7"/>
    <w:rsid w:val="009D7E52"/>
    <w:rsid w:val="009E0231"/>
    <w:rsid w:val="009E0261"/>
    <w:rsid w:val="009E2262"/>
    <w:rsid w:val="009E239A"/>
    <w:rsid w:val="009E2E6C"/>
    <w:rsid w:val="009E30C4"/>
    <w:rsid w:val="009E3E8E"/>
    <w:rsid w:val="009E447C"/>
    <w:rsid w:val="009E4D96"/>
    <w:rsid w:val="009E576D"/>
    <w:rsid w:val="009E5D79"/>
    <w:rsid w:val="009E612F"/>
    <w:rsid w:val="009E66E3"/>
    <w:rsid w:val="009E6AEE"/>
    <w:rsid w:val="009E6C42"/>
    <w:rsid w:val="009F0807"/>
    <w:rsid w:val="009F0C77"/>
    <w:rsid w:val="009F1113"/>
    <w:rsid w:val="009F2183"/>
    <w:rsid w:val="009F23B4"/>
    <w:rsid w:val="009F3747"/>
    <w:rsid w:val="009F400B"/>
    <w:rsid w:val="009F445A"/>
    <w:rsid w:val="009F456E"/>
    <w:rsid w:val="009F54BF"/>
    <w:rsid w:val="009F57AA"/>
    <w:rsid w:val="009F5D21"/>
    <w:rsid w:val="009F6024"/>
    <w:rsid w:val="009F6345"/>
    <w:rsid w:val="009F65A2"/>
    <w:rsid w:val="00A0060F"/>
    <w:rsid w:val="00A008DD"/>
    <w:rsid w:val="00A00E44"/>
    <w:rsid w:val="00A02317"/>
    <w:rsid w:val="00A027EE"/>
    <w:rsid w:val="00A02AEC"/>
    <w:rsid w:val="00A035BF"/>
    <w:rsid w:val="00A03DAF"/>
    <w:rsid w:val="00A06424"/>
    <w:rsid w:val="00A070B8"/>
    <w:rsid w:val="00A07588"/>
    <w:rsid w:val="00A10A26"/>
    <w:rsid w:val="00A10AC0"/>
    <w:rsid w:val="00A116A0"/>
    <w:rsid w:val="00A1227D"/>
    <w:rsid w:val="00A13093"/>
    <w:rsid w:val="00A13708"/>
    <w:rsid w:val="00A139E5"/>
    <w:rsid w:val="00A13A59"/>
    <w:rsid w:val="00A13B06"/>
    <w:rsid w:val="00A14432"/>
    <w:rsid w:val="00A14679"/>
    <w:rsid w:val="00A156D1"/>
    <w:rsid w:val="00A15A7A"/>
    <w:rsid w:val="00A16422"/>
    <w:rsid w:val="00A16C1B"/>
    <w:rsid w:val="00A1759E"/>
    <w:rsid w:val="00A178A3"/>
    <w:rsid w:val="00A17EB1"/>
    <w:rsid w:val="00A202AD"/>
    <w:rsid w:val="00A205C8"/>
    <w:rsid w:val="00A20B14"/>
    <w:rsid w:val="00A2102B"/>
    <w:rsid w:val="00A222B6"/>
    <w:rsid w:val="00A22485"/>
    <w:rsid w:val="00A22B45"/>
    <w:rsid w:val="00A23536"/>
    <w:rsid w:val="00A237DA"/>
    <w:rsid w:val="00A24664"/>
    <w:rsid w:val="00A24868"/>
    <w:rsid w:val="00A2527C"/>
    <w:rsid w:val="00A25848"/>
    <w:rsid w:val="00A26A8C"/>
    <w:rsid w:val="00A27B6B"/>
    <w:rsid w:val="00A27E9C"/>
    <w:rsid w:val="00A30C53"/>
    <w:rsid w:val="00A31ABC"/>
    <w:rsid w:val="00A337BF"/>
    <w:rsid w:val="00A33F24"/>
    <w:rsid w:val="00A34877"/>
    <w:rsid w:val="00A35089"/>
    <w:rsid w:val="00A361BF"/>
    <w:rsid w:val="00A3665B"/>
    <w:rsid w:val="00A36D7B"/>
    <w:rsid w:val="00A373D5"/>
    <w:rsid w:val="00A37402"/>
    <w:rsid w:val="00A37444"/>
    <w:rsid w:val="00A37D5E"/>
    <w:rsid w:val="00A40E78"/>
    <w:rsid w:val="00A40EC1"/>
    <w:rsid w:val="00A40F13"/>
    <w:rsid w:val="00A413D6"/>
    <w:rsid w:val="00A41B70"/>
    <w:rsid w:val="00A429E8"/>
    <w:rsid w:val="00A42F48"/>
    <w:rsid w:val="00A43B5F"/>
    <w:rsid w:val="00A45511"/>
    <w:rsid w:val="00A45720"/>
    <w:rsid w:val="00A4583E"/>
    <w:rsid w:val="00A461A1"/>
    <w:rsid w:val="00A4637D"/>
    <w:rsid w:val="00A47C5B"/>
    <w:rsid w:val="00A50CD3"/>
    <w:rsid w:val="00A5266D"/>
    <w:rsid w:val="00A532C9"/>
    <w:rsid w:val="00A53415"/>
    <w:rsid w:val="00A53931"/>
    <w:rsid w:val="00A53A53"/>
    <w:rsid w:val="00A53CEB"/>
    <w:rsid w:val="00A53ED9"/>
    <w:rsid w:val="00A53F4D"/>
    <w:rsid w:val="00A54382"/>
    <w:rsid w:val="00A552E6"/>
    <w:rsid w:val="00A55697"/>
    <w:rsid w:val="00A56018"/>
    <w:rsid w:val="00A56B41"/>
    <w:rsid w:val="00A5709A"/>
    <w:rsid w:val="00A602BC"/>
    <w:rsid w:val="00A616FF"/>
    <w:rsid w:val="00A62CCC"/>
    <w:rsid w:val="00A62E7E"/>
    <w:rsid w:val="00A62E8B"/>
    <w:rsid w:val="00A64B5C"/>
    <w:rsid w:val="00A64C05"/>
    <w:rsid w:val="00A64F3B"/>
    <w:rsid w:val="00A65FE9"/>
    <w:rsid w:val="00A66E35"/>
    <w:rsid w:val="00A67CB7"/>
    <w:rsid w:val="00A7025B"/>
    <w:rsid w:val="00A70460"/>
    <w:rsid w:val="00A7232A"/>
    <w:rsid w:val="00A72921"/>
    <w:rsid w:val="00A7298E"/>
    <w:rsid w:val="00A73E94"/>
    <w:rsid w:val="00A7430E"/>
    <w:rsid w:val="00A75025"/>
    <w:rsid w:val="00A75855"/>
    <w:rsid w:val="00A75C29"/>
    <w:rsid w:val="00A76F32"/>
    <w:rsid w:val="00A77E1E"/>
    <w:rsid w:val="00A77EC7"/>
    <w:rsid w:val="00A807DC"/>
    <w:rsid w:val="00A80934"/>
    <w:rsid w:val="00A80C46"/>
    <w:rsid w:val="00A82122"/>
    <w:rsid w:val="00A8291E"/>
    <w:rsid w:val="00A82AA9"/>
    <w:rsid w:val="00A83081"/>
    <w:rsid w:val="00A846D5"/>
    <w:rsid w:val="00A857FA"/>
    <w:rsid w:val="00A85ACB"/>
    <w:rsid w:val="00A85BDD"/>
    <w:rsid w:val="00A86F2F"/>
    <w:rsid w:val="00A90CA0"/>
    <w:rsid w:val="00A921AB"/>
    <w:rsid w:val="00A9228B"/>
    <w:rsid w:val="00A923C6"/>
    <w:rsid w:val="00A926C2"/>
    <w:rsid w:val="00A9298A"/>
    <w:rsid w:val="00A9315C"/>
    <w:rsid w:val="00A93CA3"/>
    <w:rsid w:val="00A94337"/>
    <w:rsid w:val="00A94ECF"/>
    <w:rsid w:val="00A94EFC"/>
    <w:rsid w:val="00A95C86"/>
    <w:rsid w:val="00A96107"/>
    <w:rsid w:val="00A96113"/>
    <w:rsid w:val="00A96519"/>
    <w:rsid w:val="00A966F5"/>
    <w:rsid w:val="00A96980"/>
    <w:rsid w:val="00A96D69"/>
    <w:rsid w:val="00A97765"/>
    <w:rsid w:val="00A9795D"/>
    <w:rsid w:val="00AA1121"/>
    <w:rsid w:val="00AA17C2"/>
    <w:rsid w:val="00AA18B9"/>
    <w:rsid w:val="00AA196E"/>
    <w:rsid w:val="00AA1F30"/>
    <w:rsid w:val="00AA1FB6"/>
    <w:rsid w:val="00AA23C0"/>
    <w:rsid w:val="00AA2EDE"/>
    <w:rsid w:val="00AA31F9"/>
    <w:rsid w:val="00AA42D6"/>
    <w:rsid w:val="00AA4C23"/>
    <w:rsid w:val="00AA514A"/>
    <w:rsid w:val="00AA545D"/>
    <w:rsid w:val="00AA5577"/>
    <w:rsid w:val="00AA566F"/>
    <w:rsid w:val="00AA652F"/>
    <w:rsid w:val="00AA6ACA"/>
    <w:rsid w:val="00AA737B"/>
    <w:rsid w:val="00AA7AD1"/>
    <w:rsid w:val="00AA7C15"/>
    <w:rsid w:val="00AA7C33"/>
    <w:rsid w:val="00AA7D39"/>
    <w:rsid w:val="00AB0206"/>
    <w:rsid w:val="00AB1161"/>
    <w:rsid w:val="00AB1700"/>
    <w:rsid w:val="00AB1C26"/>
    <w:rsid w:val="00AB28FC"/>
    <w:rsid w:val="00AB2FF7"/>
    <w:rsid w:val="00AB508B"/>
    <w:rsid w:val="00AB6AEE"/>
    <w:rsid w:val="00AB724B"/>
    <w:rsid w:val="00AB7EA9"/>
    <w:rsid w:val="00AC0217"/>
    <w:rsid w:val="00AC079A"/>
    <w:rsid w:val="00AC2847"/>
    <w:rsid w:val="00AC2A9B"/>
    <w:rsid w:val="00AC2F1C"/>
    <w:rsid w:val="00AC4708"/>
    <w:rsid w:val="00AC5E57"/>
    <w:rsid w:val="00AC6241"/>
    <w:rsid w:val="00AC7ACE"/>
    <w:rsid w:val="00AD03F5"/>
    <w:rsid w:val="00AD0AAC"/>
    <w:rsid w:val="00AD0ACB"/>
    <w:rsid w:val="00AD122C"/>
    <w:rsid w:val="00AD1702"/>
    <w:rsid w:val="00AD1BAD"/>
    <w:rsid w:val="00AD1CA0"/>
    <w:rsid w:val="00AD1D2A"/>
    <w:rsid w:val="00AD2216"/>
    <w:rsid w:val="00AD32BE"/>
    <w:rsid w:val="00AD370E"/>
    <w:rsid w:val="00AD424D"/>
    <w:rsid w:val="00AD459E"/>
    <w:rsid w:val="00AD4A72"/>
    <w:rsid w:val="00AD4ECE"/>
    <w:rsid w:val="00AD511E"/>
    <w:rsid w:val="00AD5625"/>
    <w:rsid w:val="00AD578D"/>
    <w:rsid w:val="00AD592B"/>
    <w:rsid w:val="00AD5B48"/>
    <w:rsid w:val="00AD6BA4"/>
    <w:rsid w:val="00AD704A"/>
    <w:rsid w:val="00AD7435"/>
    <w:rsid w:val="00AE0369"/>
    <w:rsid w:val="00AE0E58"/>
    <w:rsid w:val="00AE1037"/>
    <w:rsid w:val="00AE12A8"/>
    <w:rsid w:val="00AE1A2B"/>
    <w:rsid w:val="00AE1B08"/>
    <w:rsid w:val="00AE1E44"/>
    <w:rsid w:val="00AE29CC"/>
    <w:rsid w:val="00AE2C06"/>
    <w:rsid w:val="00AE3CBC"/>
    <w:rsid w:val="00AE3F6E"/>
    <w:rsid w:val="00AE4141"/>
    <w:rsid w:val="00AE5C6D"/>
    <w:rsid w:val="00AE77D3"/>
    <w:rsid w:val="00AF05A6"/>
    <w:rsid w:val="00AF0BC5"/>
    <w:rsid w:val="00AF0DEC"/>
    <w:rsid w:val="00AF134A"/>
    <w:rsid w:val="00AF206E"/>
    <w:rsid w:val="00AF3556"/>
    <w:rsid w:val="00AF367F"/>
    <w:rsid w:val="00AF38CA"/>
    <w:rsid w:val="00AF3972"/>
    <w:rsid w:val="00AF4259"/>
    <w:rsid w:val="00AF46FD"/>
    <w:rsid w:val="00AF48D3"/>
    <w:rsid w:val="00AF5261"/>
    <w:rsid w:val="00AF5FEF"/>
    <w:rsid w:val="00AF67E2"/>
    <w:rsid w:val="00AF6CE6"/>
    <w:rsid w:val="00AF7618"/>
    <w:rsid w:val="00AF791A"/>
    <w:rsid w:val="00B0052E"/>
    <w:rsid w:val="00B00DD8"/>
    <w:rsid w:val="00B01398"/>
    <w:rsid w:val="00B015AC"/>
    <w:rsid w:val="00B02AB8"/>
    <w:rsid w:val="00B03F22"/>
    <w:rsid w:val="00B05156"/>
    <w:rsid w:val="00B05669"/>
    <w:rsid w:val="00B0586D"/>
    <w:rsid w:val="00B069F9"/>
    <w:rsid w:val="00B112E5"/>
    <w:rsid w:val="00B11AEB"/>
    <w:rsid w:val="00B12A8F"/>
    <w:rsid w:val="00B136F0"/>
    <w:rsid w:val="00B16A32"/>
    <w:rsid w:val="00B16B0D"/>
    <w:rsid w:val="00B175CF"/>
    <w:rsid w:val="00B17709"/>
    <w:rsid w:val="00B17D9D"/>
    <w:rsid w:val="00B17FDA"/>
    <w:rsid w:val="00B20A39"/>
    <w:rsid w:val="00B20B59"/>
    <w:rsid w:val="00B20BD7"/>
    <w:rsid w:val="00B2125E"/>
    <w:rsid w:val="00B23C83"/>
    <w:rsid w:val="00B23CC1"/>
    <w:rsid w:val="00B23ED9"/>
    <w:rsid w:val="00B250EC"/>
    <w:rsid w:val="00B258B8"/>
    <w:rsid w:val="00B26263"/>
    <w:rsid w:val="00B26C8F"/>
    <w:rsid w:val="00B26F55"/>
    <w:rsid w:val="00B2757A"/>
    <w:rsid w:val="00B27E77"/>
    <w:rsid w:val="00B314FC"/>
    <w:rsid w:val="00B318C8"/>
    <w:rsid w:val="00B31952"/>
    <w:rsid w:val="00B31ADC"/>
    <w:rsid w:val="00B32A76"/>
    <w:rsid w:val="00B34D1B"/>
    <w:rsid w:val="00B35983"/>
    <w:rsid w:val="00B35C67"/>
    <w:rsid w:val="00B377BF"/>
    <w:rsid w:val="00B41332"/>
    <w:rsid w:val="00B41416"/>
    <w:rsid w:val="00B4157C"/>
    <w:rsid w:val="00B417B6"/>
    <w:rsid w:val="00B41A72"/>
    <w:rsid w:val="00B41D36"/>
    <w:rsid w:val="00B424D0"/>
    <w:rsid w:val="00B43130"/>
    <w:rsid w:val="00B4341D"/>
    <w:rsid w:val="00B43506"/>
    <w:rsid w:val="00B435B4"/>
    <w:rsid w:val="00B43742"/>
    <w:rsid w:val="00B43832"/>
    <w:rsid w:val="00B43C27"/>
    <w:rsid w:val="00B457F3"/>
    <w:rsid w:val="00B4613D"/>
    <w:rsid w:val="00B467BF"/>
    <w:rsid w:val="00B46805"/>
    <w:rsid w:val="00B4714B"/>
    <w:rsid w:val="00B471D6"/>
    <w:rsid w:val="00B479C0"/>
    <w:rsid w:val="00B47F7D"/>
    <w:rsid w:val="00B50305"/>
    <w:rsid w:val="00B515F4"/>
    <w:rsid w:val="00B520D5"/>
    <w:rsid w:val="00B5242C"/>
    <w:rsid w:val="00B5245F"/>
    <w:rsid w:val="00B531B0"/>
    <w:rsid w:val="00B53B2B"/>
    <w:rsid w:val="00B53D8D"/>
    <w:rsid w:val="00B552B5"/>
    <w:rsid w:val="00B55D29"/>
    <w:rsid w:val="00B56565"/>
    <w:rsid w:val="00B57AE4"/>
    <w:rsid w:val="00B57BDB"/>
    <w:rsid w:val="00B57F8F"/>
    <w:rsid w:val="00B604F3"/>
    <w:rsid w:val="00B6066A"/>
    <w:rsid w:val="00B60913"/>
    <w:rsid w:val="00B60DA0"/>
    <w:rsid w:val="00B628B9"/>
    <w:rsid w:val="00B638AB"/>
    <w:rsid w:val="00B64000"/>
    <w:rsid w:val="00B64428"/>
    <w:rsid w:val="00B6452D"/>
    <w:rsid w:val="00B6492C"/>
    <w:rsid w:val="00B655A1"/>
    <w:rsid w:val="00B657DE"/>
    <w:rsid w:val="00B66192"/>
    <w:rsid w:val="00B67FA4"/>
    <w:rsid w:val="00B72077"/>
    <w:rsid w:val="00B721A3"/>
    <w:rsid w:val="00B72391"/>
    <w:rsid w:val="00B72501"/>
    <w:rsid w:val="00B729DD"/>
    <w:rsid w:val="00B75689"/>
    <w:rsid w:val="00B77101"/>
    <w:rsid w:val="00B776AC"/>
    <w:rsid w:val="00B77AF6"/>
    <w:rsid w:val="00B77B86"/>
    <w:rsid w:val="00B80607"/>
    <w:rsid w:val="00B818AC"/>
    <w:rsid w:val="00B821B9"/>
    <w:rsid w:val="00B8229A"/>
    <w:rsid w:val="00B8344B"/>
    <w:rsid w:val="00B836C4"/>
    <w:rsid w:val="00B84A46"/>
    <w:rsid w:val="00B84D71"/>
    <w:rsid w:val="00B85894"/>
    <w:rsid w:val="00B85AFC"/>
    <w:rsid w:val="00B85DED"/>
    <w:rsid w:val="00B870F1"/>
    <w:rsid w:val="00B87CBA"/>
    <w:rsid w:val="00B90258"/>
    <w:rsid w:val="00B92D51"/>
    <w:rsid w:val="00B946B8"/>
    <w:rsid w:val="00B94822"/>
    <w:rsid w:val="00B955D9"/>
    <w:rsid w:val="00B95835"/>
    <w:rsid w:val="00B95BC8"/>
    <w:rsid w:val="00B97251"/>
    <w:rsid w:val="00B97A1B"/>
    <w:rsid w:val="00B97FB2"/>
    <w:rsid w:val="00BA0309"/>
    <w:rsid w:val="00BA0525"/>
    <w:rsid w:val="00BA0D01"/>
    <w:rsid w:val="00BA17B1"/>
    <w:rsid w:val="00BA3275"/>
    <w:rsid w:val="00BA33A3"/>
    <w:rsid w:val="00BA3609"/>
    <w:rsid w:val="00BA3C07"/>
    <w:rsid w:val="00BA3E40"/>
    <w:rsid w:val="00BA4404"/>
    <w:rsid w:val="00BA4A51"/>
    <w:rsid w:val="00BA5219"/>
    <w:rsid w:val="00BA57DA"/>
    <w:rsid w:val="00BA5A4F"/>
    <w:rsid w:val="00BA6683"/>
    <w:rsid w:val="00BA794F"/>
    <w:rsid w:val="00BB037C"/>
    <w:rsid w:val="00BB0D88"/>
    <w:rsid w:val="00BB0DC1"/>
    <w:rsid w:val="00BB1C86"/>
    <w:rsid w:val="00BB2823"/>
    <w:rsid w:val="00BB3128"/>
    <w:rsid w:val="00BB3EFB"/>
    <w:rsid w:val="00BB5768"/>
    <w:rsid w:val="00BB6134"/>
    <w:rsid w:val="00BB6CA4"/>
    <w:rsid w:val="00BB70F9"/>
    <w:rsid w:val="00BB79FE"/>
    <w:rsid w:val="00BB7DE7"/>
    <w:rsid w:val="00BC05ED"/>
    <w:rsid w:val="00BC16DD"/>
    <w:rsid w:val="00BC1E30"/>
    <w:rsid w:val="00BC1E75"/>
    <w:rsid w:val="00BC2966"/>
    <w:rsid w:val="00BC2E3B"/>
    <w:rsid w:val="00BC2F61"/>
    <w:rsid w:val="00BC2F76"/>
    <w:rsid w:val="00BC3E93"/>
    <w:rsid w:val="00BC4101"/>
    <w:rsid w:val="00BC578E"/>
    <w:rsid w:val="00BC580B"/>
    <w:rsid w:val="00BC653A"/>
    <w:rsid w:val="00BC6B41"/>
    <w:rsid w:val="00BC6C0A"/>
    <w:rsid w:val="00BC7172"/>
    <w:rsid w:val="00BC7BE4"/>
    <w:rsid w:val="00BD05A6"/>
    <w:rsid w:val="00BD2449"/>
    <w:rsid w:val="00BD3AA0"/>
    <w:rsid w:val="00BD3BFF"/>
    <w:rsid w:val="00BD4253"/>
    <w:rsid w:val="00BD43DF"/>
    <w:rsid w:val="00BD44A5"/>
    <w:rsid w:val="00BD456D"/>
    <w:rsid w:val="00BD5083"/>
    <w:rsid w:val="00BD6B95"/>
    <w:rsid w:val="00BD739C"/>
    <w:rsid w:val="00BE15A2"/>
    <w:rsid w:val="00BE1B94"/>
    <w:rsid w:val="00BE2B77"/>
    <w:rsid w:val="00BE56D2"/>
    <w:rsid w:val="00BE57BC"/>
    <w:rsid w:val="00BE5A3C"/>
    <w:rsid w:val="00BE77F1"/>
    <w:rsid w:val="00BF00E9"/>
    <w:rsid w:val="00BF02D4"/>
    <w:rsid w:val="00BF09D8"/>
    <w:rsid w:val="00BF0F9E"/>
    <w:rsid w:val="00BF4F0F"/>
    <w:rsid w:val="00BF5D59"/>
    <w:rsid w:val="00BF5D8D"/>
    <w:rsid w:val="00BF5FF0"/>
    <w:rsid w:val="00BF619D"/>
    <w:rsid w:val="00BF6E19"/>
    <w:rsid w:val="00C01F92"/>
    <w:rsid w:val="00C020AD"/>
    <w:rsid w:val="00C020D0"/>
    <w:rsid w:val="00C02361"/>
    <w:rsid w:val="00C059EC"/>
    <w:rsid w:val="00C065BE"/>
    <w:rsid w:val="00C06E47"/>
    <w:rsid w:val="00C070B6"/>
    <w:rsid w:val="00C0723F"/>
    <w:rsid w:val="00C1034D"/>
    <w:rsid w:val="00C10D8A"/>
    <w:rsid w:val="00C11D9C"/>
    <w:rsid w:val="00C120BC"/>
    <w:rsid w:val="00C12487"/>
    <w:rsid w:val="00C13290"/>
    <w:rsid w:val="00C1567D"/>
    <w:rsid w:val="00C15F0B"/>
    <w:rsid w:val="00C16610"/>
    <w:rsid w:val="00C16B64"/>
    <w:rsid w:val="00C20029"/>
    <w:rsid w:val="00C2077B"/>
    <w:rsid w:val="00C217B0"/>
    <w:rsid w:val="00C21B14"/>
    <w:rsid w:val="00C21F12"/>
    <w:rsid w:val="00C2203B"/>
    <w:rsid w:val="00C22278"/>
    <w:rsid w:val="00C2344E"/>
    <w:rsid w:val="00C23D4D"/>
    <w:rsid w:val="00C25350"/>
    <w:rsid w:val="00C254A9"/>
    <w:rsid w:val="00C26151"/>
    <w:rsid w:val="00C26B73"/>
    <w:rsid w:val="00C26E79"/>
    <w:rsid w:val="00C27953"/>
    <w:rsid w:val="00C30137"/>
    <w:rsid w:val="00C3169D"/>
    <w:rsid w:val="00C318C2"/>
    <w:rsid w:val="00C31A55"/>
    <w:rsid w:val="00C32228"/>
    <w:rsid w:val="00C32729"/>
    <w:rsid w:val="00C33966"/>
    <w:rsid w:val="00C341E7"/>
    <w:rsid w:val="00C3461E"/>
    <w:rsid w:val="00C3546D"/>
    <w:rsid w:val="00C36319"/>
    <w:rsid w:val="00C3725B"/>
    <w:rsid w:val="00C372D6"/>
    <w:rsid w:val="00C37339"/>
    <w:rsid w:val="00C40F86"/>
    <w:rsid w:val="00C416B8"/>
    <w:rsid w:val="00C41B67"/>
    <w:rsid w:val="00C41C30"/>
    <w:rsid w:val="00C424F9"/>
    <w:rsid w:val="00C44D4B"/>
    <w:rsid w:val="00C45419"/>
    <w:rsid w:val="00C45808"/>
    <w:rsid w:val="00C46003"/>
    <w:rsid w:val="00C467DD"/>
    <w:rsid w:val="00C46B5A"/>
    <w:rsid w:val="00C46FB3"/>
    <w:rsid w:val="00C473D7"/>
    <w:rsid w:val="00C4767F"/>
    <w:rsid w:val="00C47961"/>
    <w:rsid w:val="00C507C7"/>
    <w:rsid w:val="00C50B07"/>
    <w:rsid w:val="00C510B9"/>
    <w:rsid w:val="00C51598"/>
    <w:rsid w:val="00C5183C"/>
    <w:rsid w:val="00C51D34"/>
    <w:rsid w:val="00C52039"/>
    <w:rsid w:val="00C52A6A"/>
    <w:rsid w:val="00C531E5"/>
    <w:rsid w:val="00C53A81"/>
    <w:rsid w:val="00C53F79"/>
    <w:rsid w:val="00C53FB7"/>
    <w:rsid w:val="00C54696"/>
    <w:rsid w:val="00C5672C"/>
    <w:rsid w:val="00C5726F"/>
    <w:rsid w:val="00C5756A"/>
    <w:rsid w:val="00C60A70"/>
    <w:rsid w:val="00C60E78"/>
    <w:rsid w:val="00C62549"/>
    <w:rsid w:val="00C62554"/>
    <w:rsid w:val="00C62A39"/>
    <w:rsid w:val="00C6368D"/>
    <w:rsid w:val="00C6385F"/>
    <w:rsid w:val="00C643C6"/>
    <w:rsid w:val="00C65C82"/>
    <w:rsid w:val="00C66349"/>
    <w:rsid w:val="00C663A7"/>
    <w:rsid w:val="00C66DB5"/>
    <w:rsid w:val="00C670DA"/>
    <w:rsid w:val="00C712F6"/>
    <w:rsid w:val="00C71C3D"/>
    <w:rsid w:val="00C72B50"/>
    <w:rsid w:val="00C72E8A"/>
    <w:rsid w:val="00C72EC7"/>
    <w:rsid w:val="00C733AD"/>
    <w:rsid w:val="00C73568"/>
    <w:rsid w:val="00C73EDF"/>
    <w:rsid w:val="00C74932"/>
    <w:rsid w:val="00C762F1"/>
    <w:rsid w:val="00C80416"/>
    <w:rsid w:val="00C80618"/>
    <w:rsid w:val="00C81837"/>
    <w:rsid w:val="00C81ED7"/>
    <w:rsid w:val="00C823D1"/>
    <w:rsid w:val="00C832CC"/>
    <w:rsid w:val="00C8382A"/>
    <w:rsid w:val="00C83DE3"/>
    <w:rsid w:val="00C8458F"/>
    <w:rsid w:val="00C84D41"/>
    <w:rsid w:val="00C8557A"/>
    <w:rsid w:val="00C86B87"/>
    <w:rsid w:val="00C87AC3"/>
    <w:rsid w:val="00C905C3"/>
    <w:rsid w:val="00C9068D"/>
    <w:rsid w:val="00C908FE"/>
    <w:rsid w:val="00C91210"/>
    <w:rsid w:val="00C914AF"/>
    <w:rsid w:val="00C92288"/>
    <w:rsid w:val="00C92DAE"/>
    <w:rsid w:val="00C9382E"/>
    <w:rsid w:val="00C9415D"/>
    <w:rsid w:val="00C946DA"/>
    <w:rsid w:val="00C946E6"/>
    <w:rsid w:val="00C9472D"/>
    <w:rsid w:val="00C94B58"/>
    <w:rsid w:val="00C96098"/>
    <w:rsid w:val="00C970B7"/>
    <w:rsid w:val="00C97B63"/>
    <w:rsid w:val="00CA0400"/>
    <w:rsid w:val="00CA08A9"/>
    <w:rsid w:val="00CA0CD8"/>
    <w:rsid w:val="00CA1B93"/>
    <w:rsid w:val="00CA1D0C"/>
    <w:rsid w:val="00CA2059"/>
    <w:rsid w:val="00CA2FBD"/>
    <w:rsid w:val="00CA45C9"/>
    <w:rsid w:val="00CA5183"/>
    <w:rsid w:val="00CA5641"/>
    <w:rsid w:val="00CA66BF"/>
    <w:rsid w:val="00CA6CBB"/>
    <w:rsid w:val="00CA6E8E"/>
    <w:rsid w:val="00CA6F8A"/>
    <w:rsid w:val="00CB0A06"/>
    <w:rsid w:val="00CB0D1D"/>
    <w:rsid w:val="00CB0E56"/>
    <w:rsid w:val="00CB24CB"/>
    <w:rsid w:val="00CB2C23"/>
    <w:rsid w:val="00CB310B"/>
    <w:rsid w:val="00CB3CB4"/>
    <w:rsid w:val="00CB4CAA"/>
    <w:rsid w:val="00CB536D"/>
    <w:rsid w:val="00CB56CC"/>
    <w:rsid w:val="00CB6C9D"/>
    <w:rsid w:val="00CC04D7"/>
    <w:rsid w:val="00CC16BE"/>
    <w:rsid w:val="00CC246E"/>
    <w:rsid w:val="00CC27AC"/>
    <w:rsid w:val="00CC33B5"/>
    <w:rsid w:val="00CC3A69"/>
    <w:rsid w:val="00CC466C"/>
    <w:rsid w:val="00CC4DC6"/>
    <w:rsid w:val="00CC5F65"/>
    <w:rsid w:val="00CC631E"/>
    <w:rsid w:val="00CC6E0F"/>
    <w:rsid w:val="00CC72A3"/>
    <w:rsid w:val="00CC739D"/>
    <w:rsid w:val="00CC7789"/>
    <w:rsid w:val="00CC7D60"/>
    <w:rsid w:val="00CD03E8"/>
    <w:rsid w:val="00CD388A"/>
    <w:rsid w:val="00CD3B89"/>
    <w:rsid w:val="00CD4010"/>
    <w:rsid w:val="00CD460C"/>
    <w:rsid w:val="00CD5208"/>
    <w:rsid w:val="00CD670E"/>
    <w:rsid w:val="00CD6A54"/>
    <w:rsid w:val="00CD6DFD"/>
    <w:rsid w:val="00CD78BD"/>
    <w:rsid w:val="00CD7C84"/>
    <w:rsid w:val="00CE00FD"/>
    <w:rsid w:val="00CE0B16"/>
    <w:rsid w:val="00CE0F70"/>
    <w:rsid w:val="00CE20A1"/>
    <w:rsid w:val="00CE231E"/>
    <w:rsid w:val="00CE3392"/>
    <w:rsid w:val="00CE3446"/>
    <w:rsid w:val="00CE3D23"/>
    <w:rsid w:val="00CE57DE"/>
    <w:rsid w:val="00CE5F3D"/>
    <w:rsid w:val="00CE63AA"/>
    <w:rsid w:val="00CE678D"/>
    <w:rsid w:val="00CE699E"/>
    <w:rsid w:val="00CE7E39"/>
    <w:rsid w:val="00CE7F5B"/>
    <w:rsid w:val="00CF0DB9"/>
    <w:rsid w:val="00CF0EF5"/>
    <w:rsid w:val="00CF17E5"/>
    <w:rsid w:val="00CF205A"/>
    <w:rsid w:val="00CF3064"/>
    <w:rsid w:val="00CF3066"/>
    <w:rsid w:val="00CF34A2"/>
    <w:rsid w:val="00CF3BC2"/>
    <w:rsid w:val="00CF4B6D"/>
    <w:rsid w:val="00CF5827"/>
    <w:rsid w:val="00CF5A71"/>
    <w:rsid w:val="00CF7653"/>
    <w:rsid w:val="00D00483"/>
    <w:rsid w:val="00D0159C"/>
    <w:rsid w:val="00D02292"/>
    <w:rsid w:val="00D02684"/>
    <w:rsid w:val="00D036B0"/>
    <w:rsid w:val="00D038B1"/>
    <w:rsid w:val="00D03A7F"/>
    <w:rsid w:val="00D0429A"/>
    <w:rsid w:val="00D047F1"/>
    <w:rsid w:val="00D06016"/>
    <w:rsid w:val="00D06106"/>
    <w:rsid w:val="00D0727A"/>
    <w:rsid w:val="00D07C9F"/>
    <w:rsid w:val="00D07CEF"/>
    <w:rsid w:val="00D1143A"/>
    <w:rsid w:val="00D138BD"/>
    <w:rsid w:val="00D14884"/>
    <w:rsid w:val="00D15DC5"/>
    <w:rsid w:val="00D160AA"/>
    <w:rsid w:val="00D16F9A"/>
    <w:rsid w:val="00D209DA"/>
    <w:rsid w:val="00D21D22"/>
    <w:rsid w:val="00D21DCD"/>
    <w:rsid w:val="00D225E1"/>
    <w:rsid w:val="00D2262F"/>
    <w:rsid w:val="00D22F24"/>
    <w:rsid w:val="00D235CA"/>
    <w:rsid w:val="00D24C13"/>
    <w:rsid w:val="00D257BA"/>
    <w:rsid w:val="00D257E3"/>
    <w:rsid w:val="00D25998"/>
    <w:rsid w:val="00D25A2B"/>
    <w:rsid w:val="00D275EF"/>
    <w:rsid w:val="00D276EB"/>
    <w:rsid w:val="00D27996"/>
    <w:rsid w:val="00D30191"/>
    <w:rsid w:val="00D30C9A"/>
    <w:rsid w:val="00D321E5"/>
    <w:rsid w:val="00D3237D"/>
    <w:rsid w:val="00D33598"/>
    <w:rsid w:val="00D35E30"/>
    <w:rsid w:val="00D360F1"/>
    <w:rsid w:val="00D366CE"/>
    <w:rsid w:val="00D36A97"/>
    <w:rsid w:val="00D36D82"/>
    <w:rsid w:val="00D37476"/>
    <w:rsid w:val="00D37859"/>
    <w:rsid w:val="00D37B38"/>
    <w:rsid w:val="00D37D96"/>
    <w:rsid w:val="00D406C8"/>
    <w:rsid w:val="00D4086B"/>
    <w:rsid w:val="00D40CD8"/>
    <w:rsid w:val="00D412CF"/>
    <w:rsid w:val="00D41D71"/>
    <w:rsid w:val="00D43178"/>
    <w:rsid w:val="00D44026"/>
    <w:rsid w:val="00D44633"/>
    <w:rsid w:val="00D44833"/>
    <w:rsid w:val="00D44BBC"/>
    <w:rsid w:val="00D45059"/>
    <w:rsid w:val="00D46B25"/>
    <w:rsid w:val="00D47139"/>
    <w:rsid w:val="00D478DE"/>
    <w:rsid w:val="00D50021"/>
    <w:rsid w:val="00D50F1B"/>
    <w:rsid w:val="00D51B56"/>
    <w:rsid w:val="00D51B87"/>
    <w:rsid w:val="00D52417"/>
    <w:rsid w:val="00D5290F"/>
    <w:rsid w:val="00D5298B"/>
    <w:rsid w:val="00D53190"/>
    <w:rsid w:val="00D533B4"/>
    <w:rsid w:val="00D54B90"/>
    <w:rsid w:val="00D553F9"/>
    <w:rsid w:val="00D55A00"/>
    <w:rsid w:val="00D55A33"/>
    <w:rsid w:val="00D567BE"/>
    <w:rsid w:val="00D57729"/>
    <w:rsid w:val="00D60804"/>
    <w:rsid w:val="00D61154"/>
    <w:rsid w:val="00D62321"/>
    <w:rsid w:val="00D62722"/>
    <w:rsid w:val="00D630CF"/>
    <w:rsid w:val="00D63C77"/>
    <w:rsid w:val="00D64D16"/>
    <w:rsid w:val="00D64F7D"/>
    <w:rsid w:val="00D652B5"/>
    <w:rsid w:val="00D66049"/>
    <w:rsid w:val="00D668E1"/>
    <w:rsid w:val="00D66AB1"/>
    <w:rsid w:val="00D66C48"/>
    <w:rsid w:val="00D6760D"/>
    <w:rsid w:val="00D676FB"/>
    <w:rsid w:val="00D729A5"/>
    <w:rsid w:val="00D73394"/>
    <w:rsid w:val="00D73C7C"/>
    <w:rsid w:val="00D74230"/>
    <w:rsid w:val="00D74544"/>
    <w:rsid w:val="00D75B3E"/>
    <w:rsid w:val="00D75B71"/>
    <w:rsid w:val="00D76D8C"/>
    <w:rsid w:val="00D773F2"/>
    <w:rsid w:val="00D77468"/>
    <w:rsid w:val="00D77EF2"/>
    <w:rsid w:val="00D8046D"/>
    <w:rsid w:val="00D804EA"/>
    <w:rsid w:val="00D80649"/>
    <w:rsid w:val="00D8090A"/>
    <w:rsid w:val="00D80FAF"/>
    <w:rsid w:val="00D8101A"/>
    <w:rsid w:val="00D82318"/>
    <w:rsid w:val="00D82851"/>
    <w:rsid w:val="00D829F7"/>
    <w:rsid w:val="00D83FCB"/>
    <w:rsid w:val="00D84198"/>
    <w:rsid w:val="00D8466A"/>
    <w:rsid w:val="00D8573D"/>
    <w:rsid w:val="00D85889"/>
    <w:rsid w:val="00D8629E"/>
    <w:rsid w:val="00D863DE"/>
    <w:rsid w:val="00D874B4"/>
    <w:rsid w:val="00D87914"/>
    <w:rsid w:val="00D901D1"/>
    <w:rsid w:val="00D90C70"/>
    <w:rsid w:val="00D90D7E"/>
    <w:rsid w:val="00D91469"/>
    <w:rsid w:val="00D91D91"/>
    <w:rsid w:val="00D91EBF"/>
    <w:rsid w:val="00D92452"/>
    <w:rsid w:val="00D92469"/>
    <w:rsid w:val="00D92F97"/>
    <w:rsid w:val="00D9369A"/>
    <w:rsid w:val="00D93D9C"/>
    <w:rsid w:val="00D9523E"/>
    <w:rsid w:val="00D95D2B"/>
    <w:rsid w:val="00D95DB4"/>
    <w:rsid w:val="00D95F74"/>
    <w:rsid w:val="00D9712A"/>
    <w:rsid w:val="00D979A2"/>
    <w:rsid w:val="00D979E6"/>
    <w:rsid w:val="00DA3621"/>
    <w:rsid w:val="00DA3DD2"/>
    <w:rsid w:val="00DA4C1A"/>
    <w:rsid w:val="00DA4E4F"/>
    <w:rsid w:val="00DA55A3"/>
    <w:rsid w:val="00DA6641"/>
    <w:rsid w:val="00DA6D6D"/>
    <w:rsid w:val="00DA7AF3"/>
    <w:rsid w:val="00DB1556"/>
    <w:rsid w:val="00DB1B9E"/>
    <w:rsid w:val="00DB2836"/>
    <w:rsid w:val="00DB340F"/>
    <w:rsid w:val="00DB3528"/>
    <w:rsid w:val="00DB4257"/>
    <w:rsid w:val="00DB5C52"/>
    <w:rsid w:val="00DB7E03"/>
    <w:rsid w:val="00DB7FCE"/>
    <w:rsid w:val="00DC05C1"/>
    <w:rsid w:val="00DC0EBB"/>
    <w:rsid w:val="00DC1083"/>
    <w:rsid w:val="00DC17BA"/>
    <w:rsid w:val="00DC1A8A"/>
    <w:rsid w:val="00DC2B99"/>
    <w:rsid w:val="00DC2E18"/>
    <w:rsid w:val="00DC316B"/>
    <w:rsid w:val="00DC3221"/>
    <w:rsid w:val="00DC357A"/>
    <w:rsid w:val="00DC4083"/>
    <w:rsid w:val="00DC6EFC"/>
    <w:rsid w:val="00DC7147"/>
    <w:rsid w:val="00DC7300"/>
    <w:rsid w:val="00DC78AF"/>
    <w:rsid w:val="00DC7F73"/>
    <w:rsid w:val="00DD1150"/>
    <w:rsid w:val="00DD190E"/>
    <w:rsid w:val="00DD29B8"/>
    <w:rsid w:val="00DD3019"/>
    <w:rsid w:val="00DD32E3"/>
    <w:rsid w:val="00DD3A65"/>
    <w:rsid w:val="00DD487B"/>
    <w:rsid w:val="00DD492E"/>
    <w:rsid w:val="00DD4BBB"/>
    <w:rsid w:val="00DD60FD"/>
    <w:rsid w:val="00DD6AC4"/>
    <w:rsid w:val="00DD7B6A"/>
    <w:rsid w:val="00DD7D20"/>
    <w:rsid w:val="00DE083C"/>
    <w:rsid w:val="00DE10BA"/>
    <w:rsid w:val="00DE2F74"/>
    <w:rsid w:val="00DE42C5"/>
    <w:rsid w:val="00DE4304"/>
    <w:rsid w:val="00DE4C0B"/>
    <w:rsid w:val="00DE5247"/>
    <w:rsid w:val="00DE55C7"/>
    <w:rsid w:val="00DE5ECF"/>
    <w:rsid w:val="00DE6BA2"/>
    <w:rsid w:val="00DE7CD2"/>
    <w:rsid w:val="00DE7FDF"/>
    <w:rsid w:val="00DF11BD"/>
    <w:rsid w:val="00DF11F3"/>
    <w:rsid w:val="00DF1843"/>
    <w:rsid w:val="00DF1CDE"/>
    <w:rsid w:val="00DF26F7"/>
    <w:rsid w:val="00DF3A79"/>
    <w:rsid w:val="00DF4C50"/>
    <w:rsid w:val="00DF4C61"/>
    <w:rsid w:val="00DF4EBA"/>
    <w:rsid w:val="00DF566A"/>
    <w:rsid w:val="00DF599A"/>
    <w:rsid w:val="00DF61BD"/>
    <w:rsid w:val="00DF62B3"/>
    <w:rsid w:val="00DF718E"/>
    <w:rsid w:val="00DF7431"/>
    <w:rsid w:val="00DF7F41"/>
    <w:rsid w:val="00E00949"/>
    <w:rsid w:val="00E010D2"/>
    <w:rsid w:val="00E01CCF"/>
    <w:rsid w:val="00E01D7C"/>
    <w:rsid w:val="00E01E11"/>
    <w:rsid w:val="00E0282B"/>
    <w:rsid w:val="00E02BFB"/>
    <w:rsid w:val="00E02F62"/>
    <w:rsid w:val="00E0306B"/>
    <w:rsid w:val="00E036C4"/>
    <w:rsid w:val="00E03797"/>
    <w:rsid w:val="00E047D2"/>
    <w:rsid w:val="00E04D38"/>
    <w:rsid w:val="00E05364"/>
    <w:rsid w:val="00E058AB"/>
    <w:rsid w:val="00E05A27"/>
    <w:rsid w:val="00E076A8"/>
    <w:rsid w:val="00E07D8F"/>
    <w:rsid w:val="00E11D02"/>
    <w:rsid w:val="00E121C9"/>
    <w:rsid w:val="00E12416"/>
    <w:rsid w:val="00E12C61"/>
    <w:rsid w:val="00E13294"/>
    <w:rsid w:val="00E147EA"/>
    <w:rsid w:val="00E15598"/>
    <w:rsid w:val="00E1598E"/>
    <w:rsid w:val="00E16544"/>
    <w:rsid w:val="00E17014"/>
    <w:rsid w:val="00E17B5E"/>
    <w:rsid w:val="00E201EA"/>
    <w:rsid w:val="00E2132D"/>
    <w:rsid w:val="00E2171D"/>
    <w:rsid w:val="00E21D2C"/>
    <w:rsid w:val="00E2226F"/>
    <w:rsid w:val="00E232E3"/>
    <w:rsid w:val="00E23461"/>
    <w:rsid w:val="00E235A4"/>
    <w:rsid w:val="00E23FB0"/>
    <w:rsid w:val="00E24106"/>
    <w:rsid w:val="00E244E2"/>
    <w:rsid w:val="00E2499F"/>
    <w:rsid w:val="00E24A73"/>
    <w:rsid w:val="00E258BA"/>
    <w:rsid w:val="00E2611F"/>
    <w:rsid w:val="00E26197"/>
    <w:rsid w:val="00E2668B"/>
    <w:rsid w:val="00E26ED0"/>
    <w:rsid w:val="00E26FA3"/>
    <w:rsid w:val="00E27B54"/>
    <w:rsid w:val="00E3077E"/>
    <w:rsid w:val="00E31792"/>
    <w:rsid w:val="00E31E71"/>
    <w:rsid w:val="00E3235A"/>
    <w:rsid w:val="00E35205"/>
    <w:rsid w:val="00E355A7"/>
    <w:rsid w:val="00E35929"/>
    <w:rsid w:val="00E35C8B"/>
    <w:rsid w:val="00E35E2F"/>
    <w:rsid w:val="00E3629A"/>
    <w:rsid w:val="00E36641"/>
    <w:rsid w:val="00E368C7"/>
    <w:rsid w:val="00E40AD3"/>
    <w:rsid w:val="00E4113E"/>
    <w:rsid w:val="00E412BA"/>
    <w:rsid w:val="00E4208D"/>
    <w:rsid w:val="00E42658"/>
    <w:rsid w:val="00E429E7"/>
    <w:rsid w:val="00E42F4D"/>
    <w:rsid w:val="00E44916"/>
    <w:rsid w:val="00E453EC"/>
    <w:rsid w:val="00E45D42"/>
    <w:rsid w:val="00E47123"/>
    <w:rsid w:val="00E473CA"/>
    <w:rsid w:val="00E47894"/>
    <w:rsid w:val="00E50816"/>
    <w:rsid w:val="00E515B6"/>
    <w:rsid w:val="00E53A4C"/>
    <w:rsid w:val="00E542A7"/>
    <w:rsid w:val="00E5522F"/>
    <w:rsid w:val="00E55E31"/>
    <w:rsid w:val="00E5661A"/>
    <w:rsid w:val="00E573B0"/>
    <w:rsid w:val="00E575C2"/>
    <w:rsid w:val="00E6065B"/>
    <w:rsid w:val="00E60DBF"/>
    <w:rsid w:val="00E61884"/>
    <w:rsid w:val="00E61F0C"/>
    <w:rsid w:val="00E61F1B"/>
    <w:rsid w:val="00E62056"/>
    <w:rsid w:val="00E63AE8"/>
    <w:rsid w:val="00E64867"/>
    <w:rsid w:val="00E65415"/>
    <w:rsid w:val="00E65D8E"/>
    <w:rsid w:val="00E66D1C"/>
    <w:rsid w:val="00E70B97"/>
    <w:rsid w:val="00E70D6D"/>
    <w:rsid w:val="00E71524"/>
    <w:rsid w:val="00E716FC"/>
    <w:rsid w:val="00E71C80"/>
    <w:rsid w:val="00E726F4"/>
    <w:rsid w:val="00E730A4"/>
    <w:rsid w:val="00E731E4"/>
    <w:rsid w:val="00E73239"/>
    <w:rsid w:val="00E737DC"/>
    <w:rsid w:val="00E73DBA"/>
    <w:rsid w:val="00E74E22"/>
    <w:rsid w:val="00E753E1"/>
    <w:rsid w:val="00E7607E"/>
    <w:rsid w:val="00E7695B"/>
    <w:rsid w:val="00E769DD"/>
    <w:rsid w:val="00E76C91"/>
    <w:rsid w:val="00E815D0"/>
    <w:rsid w:val="00E8200E"/>
    <w:rsid w:val="00E829B1"/>
    <w:rsid w:val="00E82A0A"/>
    <w:rsid w:val="00E83B80"/>
    <w:rsid w:val="00E83CDA"/>
    <w:rsid w:val="00E84373"/>
    <w:rsid w:val="00E845AE"/>
    <w:rsid w:val="00E84F72"/>
    <w:rsid w:val="00E851D1"/>
    <w:rsid w:val="00E853EC"/>
    <w:rsid w:val="00E86301"/>
    <w:rsid w:val="00E864AA"/>
    <w:rsid w:val="00E86F13"/>
    <w:rsid w:val="00E86FB0"/>
    <w:rsid w:val="00E8762F"/>
    <w:rsid w:val="00E87922"/>
    <w:rsid w:val="00E9041B"/>
    <w:rsid w:val="00E9153E"/>
    <w:rsid w:val="00E91ED0"/>
    <w:rsid w:val="00E93CBF"/>
    <w:rsid w:val="00E93DDE"/>
    <w:rsid w:val="00E93F87"/>
    <w:rsid w:val="00E94531"/>
    <w:rsid w:val="00E94DEA"/>
    <w:rsid w:val="00E950E7"/>
    <w:rsid w:val="00E9553D"/>
    <w:rsid w:val="00E957B0"/>
    <w:rsid w:val="00E96F5F"/>
    <w:rsid w:val="00E97AFC"/>
    <w:rsid w:val="00EA05B1"/>
    <w:rsid w:val="00EA1F8F"/>
    <w:rsid w:val="00EA330C"/>
    <w:rsid w:val="00EA336E"/>
    <w:rsid w:val="00EA4ED9"/>
    <w:rsid w:val="00EA4FD2"/>
    <w:rsid w:val="00EA56C3"/>
    <w:rsid w:val="00EA5C45"/>
    <w:rsid w:val="00EA5ED9"/>
    <w:rsid w:val="00EB01A5"/>
    <w:rsid w:val="00EB0CDF"/>
    <w:rsid w:val="00EB0E00"/>
    <w:rsid w:val="00EB127B"/>
    <w:rsid w:val="00EB3333"/>
    <w:rsid w:val="00EB340E"/>
    <w:rsid w:val="00EB34B7"/>
    <w:rsid w:val="00EB3A78"/>
    <w:rsid w:val="00EB3D2D"/>
    <w:rsid w:val="00EB40AE"/>
    <w:rsid w:val="00EB4AAD"/>
    <w:rsid w:val="00EB4BD8"/>
    <w:rsid w:val="00EB57AD"/>
    <w:rsid w:val="00EB5F13"/>
    <w:rsid w:val="00EB698A"/>
    <w:rsid w:val="00EB6A76"/>
    <w:rsid w:val="00EB6B4C"/>
    <w:rsid w:val="00EB6EBE"/>
    <w:rsid w:val="00EB73F0"/>
    <w:rsid w:val="00EC0085"/>
    <w:rsid w:val="00EC01D4"/>
    <w:rsid w:val="00EC0E1D"/>
    <w:rsid w:val="00EC1BEF"/>
    <w:rsid w:val="00EC22CE"/>
    <w:rsid w:val="00EC2783"/>
    <w:rsid w:val="00EC28F8"/>
    <w:rsid w:val="00EC3613"/>
    <w:rsid w:val="00EC4217"/>
    <w:rsid w:val="00EC5430"/>
    <w:rsid w:val="00EC55EC"/>
    <w:rsid w:val="00EC5A75"/>
    <w:rsid w:val="00EC5C7B"/>
    <w:rsid w:val="00EC7306"/>
    <w:rsid w:val="00EC7DE7"/>
    <w:rsid w:val="00ED02AE"/>
    <w:rsid w:val="00ED0D11"/>
    <w:rsid w:val="00ED1546"/>
    <w:rsid w:val="00ED274C"/>
    <w:rsid w:val="00ED294D"/>
    <w:rsid w:val="00ED328B"/>
    <w:rsid w:val="00ED3A07"/>
    <w:rsid w:val="00ED44F4"/>
    <w:rsid w:val="00ED4C32"/>
    <w:rsid w:val="00ED514A"/>
    <w:rsid w:val="00ED59AE"/>
    <w:rsid w:val="00ED6440"/>
    <w:rsid w:val="00ED752B"/>
    <w:rsid w:val="00EE0D28"/>
    <w:rsid w:val="00EE0DF3"/>
    <w:rsid w:val="00EE0F41"/>
    <w:rsid w:val="00EE1345"/>
    <w:rsid w:val="00EE16A1"/>
    <w:rsid w:val="00EE1F38"/>
    <w:rsid w:val="00EE2881"/>
    <w:rsid w:val="00EE33F1"/>
    <w:rsid w:val="00EE35FE"/>
    <w:rsid w:val="00EE40E9"/>
    <w:rsid w:val="00EE5229"/>
    <w:rsid w:val="00EE54E5"/>
    <w:rsid w:val="00EE5DB3"/>
    <w:rsid w:val="00EE6227"/>
    <w:rsid w:val="00EE67B9"/>
    <w:rsid w:val="00EE6D79"/>
    <w:rsid w:val="00EE7A0E"/>
    <w:rsid w:val="00EE7A22"/>
    <w:rsid w:val="00EF201D"/>
    <w:rsid w:val="00EF239C"/>
    <w:rsid w:val="00EF2676"/>
    <w:rsid w:val="00EF2B32"/>
    <w:rsid w:val="00EF2EC0"/>
    <w:rsid w:val="00EF34B8"/>
    <w:rsid w:val="00EF456E"/>
    <w:rsid w:val="00EF4615"/>
    <w:rsid w:val="00EF4C3B"/>
    <w:rsid w:val="00EF5832"/>
    <w:rsid w:val="00EF6CB9"/>
    <w:rsid w:val="00EF6D6C"/>
    <w:rsid w:val="00EF771B"/>
    <w:rsid w:val="00F0009B"/>
    <w:rsid w:val="00F00313"/>
    <w:rsid w:val="00F00A63"/>
    <w:rsid w:val="00F02E14"/>
    <w:rsid w:val="00F02F6B"/>
    <w:rsid w:val="00F03338"/>
    <w:rsid w:val="00F033A8"/>
    <w:rsid w:val="00F048E7"/>
    <w:rsid w:val="00F06127"/>
    <w:rsid w:val="00F063AE"/>
    <w:rsid w:val="00F06BA6"/>
    <w:rsid w:val="00F06F94"/>
    <w:rsid w:val="00F07295"/>
    <w:rsid w:val="00F075C8"/>
    <w:rsid w:val="00F07F88"/>
    <w:rsid w:val="00F100CC"/>
    <w:rsid w:val="00F10313"/>
    <w:rsid w:val="00F111D0"/>
    <w:rsid w:val="00F114BF"/>
    <w:rsid w:val="00F120BE"/>
    <w:rsid w:val="00F121CB"/>
    <w:rsid w:val="00F124B0"/>
    <w:rsid w:val="00F138AE"/>
    <w:rsid w:val="00F1403B"/>
    <w:rsid w:val="00F14156"/>
    <w:rsid w:val="00F14344"/>
    <w:rsid w:val="00F1514A"/>
    <w:rsid w:val="00F1583C"/>
    <w:rsid w:val="00F15BC5"/>
    <w:rsid w:val="00F162E8"/>
    <w:rsid w:val="00F17DBE"/>
    <w:rsid w:val="00F201ED"/>
    <w:rsid w:val="00F204A7"/>
    <w:rsid w:val="00F2123A"/>
    <w:rsid w:val="00F2259D"/>
    <w:rsid w:val="00F22D0E"/>
    <w:rsid w:val="00F233F0"/>
    <w:rsid w:val="00F24211"/>
    <w:rsid w:val="00F24480"/>
    <w:rsid w:val="00F246C6"/>
    <w:rsid w:val="00F2585B"/>
    <w:rsid w:val="00F2590B"/>
    <w:rsid w:val="00F26148"/>
    <w:rsid w:val="00F26564"/>
    <w:rsid w:val="00F265DB"/>
    <w:rsid w:val="00F26A85"/>
    <w:rsid w:val="00F27F2D"/>
    <w:rsid w:val="00F30B94"/>
    <w:rsid w:val="00F355E1"/>
    <w:rsid w:val="00F3738C"/>
    <w:rsid w:val="00F379BE"/>
    <w:rsid w:val="00F40595"/>
    <w:rsid w:val="00F41BA0"/>
    <w:rsid w:val="00F41C9C"/>
    <w:rsid w:val="00F4323D"/>
    <w:rsid w:val="00F435E0"/>
    <w:rsid w:val="00F4400B"/>
    <w:rsid w:val="00F44D24"/>
    <w:rsid w:val="00F44FE4"/>
    <w:rsid w:val="00F45423"/>
    <w:rsid w:val="00F45764"/>
    <w:rsid w:val="00F4586A"/>
    <w:rsid w:val="00F4676A"/>
    <w:rsid w:val="00F47304"/>
    <w:rsid w:val="00F5009E"/>
    <w:rsid w:val="00F504E4"/>
    <w:rsid w:val="00F50F1A"/>
    <w:rsid w:val="00F52549"/>
    <w:rsid w:val="00F54407"/>
    <w:rsid w:val="00F54F97"/>
    <w:rsid w:val="00F563F1"/>
    <w:rsid w:val="00F572E0"/>
    <w:rsid w:val="00F574C4"/>
    <w:rsid w:val="00F57905"/>
    <w:rsid w:val="00F60354"/>
    <w:rsid w:val="00F60492"/>
    <w:rsid w:val="00F611A6"/>
    <w:rsid w:val="00F61642"/>
    <w:rsid w:val="00F61ADB"/>
    <w:rsid w:val="00F6277F"/>
    <w:rsid w:val="00F62D36"/>
    <w:rsid w:val="00F63DD3"/>
    <w:rsid w:val="00F64353"/>
    <w:rsid w:val="00F64B74"/>
    <w:rsid w:val="00F65D18"/>
    <w:rsid w:val="00F65D2A"/>
    <w:rsid w:val="00F66036"/>
    <w:rsid w:val="00F668EA"/>
    <w:rsid w:val="00F673F6"/>
    <w:rsid w:val="00F67666"/>
    <w:rsid w:val="00F67D28"/>
    <w:rsid w:val="00F70251"/>
    <w:rsid w:val="00F71485"/>
    <w:rsid w:val="00F715B8"/>
    <w:rsid w:val="00F71603"/>
    <w:rsid w:val="00F71BBA"/>
    <w:rsid w:val="00F71BF7"/>
    <w:rsid w:val="00F722B6"/>
    <w:rsid w:val="00F731EF"/>
    <w:rsid w:val="00F73B3E"/>
    <w:rsid w:val="00F73D32"/>
    <w:rsid w:val="00F74180"/>
    <w:rsid w:val="00F76171"/>
    <w:rsid w:val="00F769C5"/>
    <w:rsid w:val="00F7726C"/>
    <w:rsid w:val="00F77EA3"/>
    <w:rsid w:val="00F801D7"/>
    <w:rsid w:val="00F8021B"/>
    <w:rsid w:val="00F80BD2"/>
    <w:rsid w:val="00F81255"/>
    <w:rsid w:val="00F81262"/>
    <w:rsid w:val="00F812EB"/>
    <w:rsid w:val="00F820DB"/>
    <w:rsid w:val="00F82114"/>
    <w:rsid w:val="00F825DB"/>
    <w:rsid w:val="00F82705"/>
    <w:rsid w:val="00F83135"/>
    <w:rsid w:val="00F83252"/>
    <w:rsid w:val="00F83C72"/>
    <w:rsid w:val="00F8438E"/>
    <w:rsid w:val="00F8464C"/>
    <w:rsid w:val="00F846E1"/>
    <w:rsid w:val="00F850DF"/>
    <w:rsid w:val="00F853C9"/>
    <w:rsid w:val="00F87500"/>
    <w:rsid w:val="00F900F8"/>
    <w:rsid w:val="00F9018B"/>
    <w:rsid w:val="00F90811"/>
    <w:rsid w:val="00F91783"/>
    <w:rsid w:val="00F918A8"/>
    <w:rsid w:val="00F91A23"/>
    <w:rsid w:val="00F9225F"/>
    <w:rsid w:val="00F93022"/>
    <w:rsid w:val="00F93723"/>
    <w:rsid w:val="00F93A51"/>
    <w:rsid w:val="00F94219"/>
    <w:rsid w:val="00F942AE"/>
    <w:rsid w:val="00F95233"/>
    <w:rsid w:val="00F96544"/>
    <w:rsid w:val="00F96CA0"/>
    <w:rsid w:val="00F971B3"/>
    <w:rsid w:val="00F97F5A"/>
    <w:rsid w:val="00FA093E"/>
    <w:rsid w:val="00FA467C"/>
    <w:rsid w:val="00FA4F4C"/>
    <w:rsid w:val="00FA516E"/>
    <w:rsid w:val="00FA537D"/>
    <w:rsid w:val="00FA54E9"/>
    <w:rsid w:val="00FA6702"/>
    <w:rsid w:val="00FA70A5"/>
    <w:rsid w:val="00FA717F"/>
    <w:rsid w:val="00FB040B"/>
    <w:rsid w:val="00FB0B98"/>
    <w:rsid w:val="00FB210B"/>
    <w:rsid w:val="00FB214A"/>
    <w:rsid w:val="00FB271B"/>
    <w:rsid w:val="00FB2D65"/>
    <w:rsid w:val="00FB4652"/>
    <w:rsid w:val="00FB4D00"/>
    <w:rsid w:val="00FB4F0F"/>
    <w:rsid w:val="00FB5646"/>
    <w:rsid w:val="00FB5ACD"/>
    <w:rsid w:val="00FB5CD9"/>
    <w:rsid w:val="00FB6095"/>
    <w:rsid w:val="00FB6551"/>
    <w:rsid w:val="00FB73AC"/>
    <w:rsid w:val="00FB79BF"/>
    <w:rsid w:val="00FB7E4F"/>
    <w:rsid w:val="00FC0000"/>
    <w:rsid w:val="00FC018E"/>
    <w:rsid w:val="00FC1D17"/>
    <w:rsid w:val="00FC22AE"/>
    <w:rsid w:val="00FC2D72"/>
    <w:rsid w:val="00FC37BF"/>
    <w:rsid w:val="00FC40FA"/>
    <w:rsid w:val="00FC5D97"/>
    <w:rsid w:val="00FC77ED"/>
    <w:rsid w:val="00FD06ED"/>
    <w:rsid w:val="00FD0753"/>
    <w:rsid w:val="00FD080B"/>
    <w:rsid w:val="00FD106E"/>
    <w:rsid w:val="00FD1909"/>
    <w:rsid w:val="00FD1CDE"/>
    <w:rsid w:val="00FD2034"/>
    <w:rsid w:val="00FD23F9"/>
    <w:rsid w:val="00FD2DC2"/>
    <w:rsid w:val="00FD3393"/>
    <w:rsid w:val="00FD4D85"/>
    <w:rsid w:val="00FD578C"/>
    <w:rsid w:val="00FD5FD3"/>
    <w:rsid w:val="00FD74CF"/>
    <w:rsid w:val="00FE06BA"/>
    <w:rsid w:val="00FE1165"/>
    <w:rsid w:val="00FE187B"/>
    <w:rsid w:val="00FE2306"/>
    <w:rsid w:val="00FE2D0A"/>
    <w:rsid w:val="00FE49AB"/>
    <w:rsid w:val="00FE59E6"/>
    <w:rsid w:val="00FE68DC"/>
    <w:rsid w:val="00FE6F6B"/>
    <w:rsid w:val="00FE706F"/>
    <w:rsid w:val="00FE75CE"/>
    <w:rsid w:val="00FE76D1"/>
    <w:rsid w:val="00FE77BA"/>
    <w:rsid w:val="00FE7CB8"/>
    <w:rsid w:val="00FE7F8F"/>
    <w:rsid w:val="00FF0341"/>
    <w:rsid w:val="00FF1208"/>
    <w:rsid w:val="00FF1758"/>
    <w:rsid w:val="00FF20C4"/>
    <w:rsid w:val="00FF2428"/>
    <w:rsid w:val="00FF2EF6"/>
    <w:rsid w:val="00FF2F37"/>
    <w:rsid w:val="00FF32E1"/>
    <w:rsid w:val="00FF3490"/>
    <w:rsid w:val="00FF3565"/>
    <w:rsid w:val="00FF4BF6"/>
    <w:rsid w:val="00FF4D4E"/>
    <w:rsid w:val="00FF55A6"/>
    <w:rsid w:val="00FF5665"/>
    <w:rsid w:val="00FF5785"/>
    <w:rsid w:val="00FF57A8"/>
    <w:rsid w:val="00FF5A6F"/>
    <w:rsid w:val="00FF609F"/>
    <w:rsid w:val="00FF624B"/>
    <w:rsid w:val="00FF741B"/>
  </w:rsids>
  <m:mathPr>
    <m:mathFont m:val="Cambria Math"/>
    <m:brkBin m:val="before"/>
    <m:brkBinSub m:val="--"/>
    <m:smallFrac m:val="off"/>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annotation text" w:uiPriority="0"/>
    <w:lsdException w:name="header" w:qFormat="1"/>
    <w:lsdException w:name="footer" w:qFormat="1"/>
    <w:lsdException w:name="caption" w:uiPriority="0" w:qFormat="1"/>
    <w:lsdException w:name="List Bullet" w:qFormat="1"/>
    <w:lsdException w:name="List Number" w:qFormat="1"/>
    <w:lsdException w:name="List Bullet 2" w:uiPriority="0" w:qFormat="1"/>
    <w:lsdException w:name="List Bullet 3" w:uiPriority="0"/>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0E6F"/>
    <w:pPr>
      <w:spacing w:after="200" w:line="276" w:lineRule="auto"/>
    </w:pPr>
    <w:rPr>
      <w:rFonts w:eastAsia="Calibri"/>
      <w:sz w:val="22"/>
      <w:szCs w:val="22"/>
      <w:lang w:eastAsia="en-US"/>
    </w:rPr>
  </w:style>
  <w:style w:type="paragraph" w:styleId="Heading1">
    <w:name w:val="heading 1"/>
    <w:aliases w:val="1 NoNum"/>
    <w:next w:val="bt"/>
    <w:link w:val="Heading1Char"/>
    <w:qFormat/>
    <w:rsid w:val="002717D5"/>
    <w:pPr>
      <w:keepNext/>
      <w:tabs>
        <w:tab w:val="left" w:pos="851"/>
      </w:tabs>
      <w:spacing w:after="120"/>
      <w:outlineLvl w:val="0"/>
    </w:pPr>
    <w:rPr>
      <w:b/>
      <w:bCs/>
      <w:sz w:val="34"/>
      <w:szCs w:val="28"/>
      <w:lang w:eastAsia="en-US"/>
    </w:rPr>
  </w:style>
  <w:style w:type="paragraph" w:styleId="Heading2">
    <w:name w:val="heading 2"/>
    <w:next w:val="bt"/>
    <w:link w:val="Heading2Char"/>
    <w:qFormat/>
    <w:rsid w:val="00357C93"/>
    <w:pPr>
      <w:keepNext/>
      <w:numPr>
        <w:ilvl w:val="1"/>
        <w:numId w:val="3"/>
      </w:numPr>
      <w:tabs>
        <w:tab w:val="left" w:pos="851"/>
      </w:tabs>
      <w:spacing w:before="360" w:after="240"/>
      <w:outlineLvl w:val="1"/>
    </w:pPr>
    <w:rPr>
      <w:rFonts w:cs="Arial"/>
      <w:b/>
      <w:bCs/>
      <w:iCs/>
      <w:color w:val="595959"/>
      <w:sz w:val="28"/>
      <w:szCs w:val="28"/>
    </w:rPr>
  </w:style>
  <w:style w:type="paragraph" w:styleId="Heading3">
    <w:name w:val="heading 3"/>
    <w:next w:val="bt"/>
    <w:link w:val="Heading3Char"/>
    <w:qFormat/>
    <w:rsid w:val="00870E6F"/>
    <w:pPr>
      <w:keepNext/>
      <w:tabs>
        <w:tab w:val="left" w:pos="900"/>
      </w:tabs>
      <w:spacing w:before="360" w:after="120"/>
      <w:outlineLvl w:val="2"/>
    </w:pPr>
    <w:rPr>
      <w:bCs/>
      <w:sz w:val="26"/>
      <w:szCs w:val="18"/>
      <w:lang w:eastAsia="en-US"/>
    </w:rPr>
  </w:style>
  <w:style w:type="paragraph" w:styleId="Heading4">
    <w:name w:val="heading 4"/>
    <w:basedOn w:val="bt"/>
    <w:next w:val="bt"/>
    <w:link w:val="Heading4Char"/>
    <w:uiPriority w:val="1"/>
    <w:qFormat/>
    <w:rsid w:val="00CC3A69"/>
    <w:pPr>
      <w:outlineLvl w:val="3"/>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870E6F"/>
    <w:pPr>
      <w:spacing w:before="180" w:after="240" w:line="270" w:lineRule="exact"/>
    </w:pPr>
    <w:rPr>
      <w:szCs w:val="24"/>
    </w:rPr>
  </w:style>
  <w:style w:type="character" w:customStyle="1" w:styleId="Heading1Char">
    <w:name w:val="Heading 1 Char"/>
    <w:aliases w:val="1 NoNum Char"/>
    <w:basedOn w:val="DefaultParagraphFont"/>
    <w:link w:val="Heading1"/>
    <w:rsid w:val="002717D5"/>
    <w:rPr>
      <w:b/>
      <w:bCs/>
      <w:sz w:val="34"/>
      <w:szCs w:val="28"/>
      <w:lang w:eastAsia="en-US"/>
    </w:rPr>
  </w:style>
  <w:style w:type="character" w:customStyle="1" w:styleId="Heading2Char">
    <w:name w:val="Heading 2 Char"/>
    <w:basedOn w:val="DefaultParagraphFont"/>
    <w:link w:val="Heading2"/>
    <w:rsid w:val="00357C93"/>
    <w:rPr>
      <w:rFonts w:cs="Arial"/>
      <w:b/>
      <w:bCs/>
      <w:iCs/>
      <w:color w:val="595959"/>
      <w:sz w:val="28"/>
      <w:szCs w:val="28"/>
    </w:rPr>
  </w:style>
  <w:style w:type="character" w:customStyle="1" w:styleId="Heading3Char">
    <w:name w:val="Heading 3 Char"/>
    <w:basedOn w:val="DefaultParagraphFont"/>
    <w:link w:val="Heading3"/>
    <w:rsid w:val="00961D6F"/>
    <w:rPr>
      <w:bCs/>
      <w:sz w:val="26"/>
      <w:szCs w:val="18"/>
      <w:lang w:val="en-AU" w:eastAsia="en-US" w:bidi="ar-SA"/>
    </w:rPr>
  </w:style>
  <w:style w:type="character" w:customStyle="1" w:styleId="Heading4Char">
    <w:name w:val="Heading 4 Char"/>
    <w:basedOn w:val="DefaultParagraphFont"/>
    <w:link w:val="Heading4"/>
    <w:uiPriority w:val="1"/>
    <w:rsid w:val="00CC3A69"/>
    <w:rPr>
      <w:b/>
      <w:sz w:val="22"/>
      <w:szCs w:val="22"/>
    </w:rPr>
  </w:style>
  <w:style w:type="paragraph" w:styleId="BalloonText">
    <w:name w:val="Balloon Text"/>
    <w:basedOn w:val="Normal"/>
    <w:link w:val="BalloonTextChar"/>
    <w:uiPriority w:val="99"/>
    <w:semiHidden/>
    <w:unhideWhenUsed/>
    <w:rsid w:val="0087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eastAsia="Calibri" w:hAnsi="Tahoma" w:cs="Tahoma"/>
      <w:sz w:val="16"/>
      <w:szCs w:val="16"/>
      <w:lang w:eastAsia="en-US"/>
    </w:rPr>
  </w:style>
  <w:style w:type="paragraph" w:styleId="NoSpacing">
    <w:name w:val="No Spacing"/>
    <w:link w:val="NoSpacingChar"/>
    <w:uiPriority w:val="1"/>
    <w:qFormat/>
    <w:rsid w:val="00870E6F"/>
    <w:rPr>
      <w:sz w:val="22"/>
      <w:szCs w:val="22"/>
      <w:lang w:val="en-US" w:eastAsia="en-US"/>
    </w:rPr>
  </w:style>
  <w:style w:type="character" w:customStyle="1" w:styleId="NoSpacingChar">
    <w:name w:val="No Spacing Char"/>
    <w:basedOn w:val="DefaultParagraphFont"/>
    <w:link w:val="NoSpacing"/>
    <w:uiPriority w:val="1"/>
    <w:rsid w:val="00E02F62"/>
    <w:rPr>
      <w:sz w:val="22"/>
      <w:szCs w:val="22"/>
      <w:lang w:val="en-US" w:eastAsia="en-US" w:bidi="ar-SA"/>
    </w:rPr>
  </w:style>
  <w:style w:type="paragraph" w:styleId="TOCHeading">
    <w:name w:val="TOC Heading"/>
    <w:basedOn w:val="Heading1"/>
    <w:next w:val="Normal"/>
    <w:uiPriority w:val="39"/>
    <w:unhideWhenUsed/>
    <w:qFormat/>
    <w:rsid w:val="002717D5"/>
    <w:pPr>
      <w:outlineLvl w:val="9"/>
    </w:pPr>
    <w:rPr>
      <w:lang w:val="en-US"/>
    </w:rPr>
  </w:style>
  <w:style w:type="paragraph" w:styleId="Header">
    <w:name w:val="header"/>
    <w:basedOn w:val="Normal"/>
    <w:link w:val="HeaderChar"/>
    <w:uiPriority w:val="99"/>
    <w:unhideWhenUsed/>
    <w:qFormat/>
    <w:rsid w:val="00870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2"/>
    <w:rPr>
      <w:rFonts w:eastAsia="Calibri"/>
      <w:lang w:eastAsia="en-US"/>
    </w:rPr>
  </w:style>
  <w:style w:type="paragraph" w:styleId="Footer">
    <w:name w:val="footer"/>
    <w:basedOn w:val="Normal"/>
    <w:link w:val="FooterChar"/>
    <w:uiPriority w:val="99"/>
    <w:unhideWhenUsed/>
    <w:qFormat/>
    <w:rsid w:val="00E24106"/>
    <w:pPr>
      <w:tabs>
        <w:tab w:val="center" w:pos="4513"/>
        <w:tab w:val="right" w:pos="9026"/>
      </w:tabs>
      <w:spacing w:after="0" w:line="240" w:lineRule="auto"/>
      <w:jc w:val="center"/>
    </w:pPr>
    <w:rPr>
      <w:rFonts w:asciiTheme="minorHAnsi" w:hAnsiTheme="minorHAnsi"/>
      <w:sz w:val="20"/>
    </w:rPr>
  </w:style>
  <w:style w:type="character" w:customStyle="1" w:styleId="FooterChar">
    <w:name w:val="Footer Char"/>
    <w:basedOn w:val="DefaultParagraphFont"/>
    <w:link w:val="Footer"/>
    <w:uiPriority w:val="99"/>
    <w:rsid w:val="00E24106"/>
    <w:rPr>
      <w:rFonts w:asciiTheme="minorHAnsi" w:eastAsia="Calibri" w:hAnsiTheme="minorHAnsi"/>
      <w:szCs w:val="22"/>
      <w:lang w:eastAsia="en-US"/>
    </w:rPr>
  </w:style>
  <w:style w:type="paragraph" w:customStyle="1" w:styleId="btbold">
    <w:name w:val="bt_bold"/>
    <w:basedOn w:val="bt"/>
    <w:next w:val="bt"/>
    <w:uiPriority w:val="1"/>
    <w:rsid w:val="00870E6F"/>
    <w:pPr>
      <w:spacing w:after="120"/>
    </w:pPr>
    <w:rPr>
      <w:b/>
    </w:rPr>
  </w:style>
  <w:style w:type="paragraph" w:customStyle="1" w:styleId="btindent">
    <w:name w:val="bt_indent"/>
    <w:basedOn w:val="bt"/>
    <w:next w:val="bt"/>
    <w:uiPriority w:val="1"/>
    <w:rsid w:val="00870E6F"/>
    <w:pPr>
      <w:ind w:left="709"/>
    </w:pPr>
  </w:style>
  <w:style w:type="paragraph" w:customStyle="1" w:styleId="btitalics">
    <w:name w:val="bt_italics"/>
    <w:basedOn w:val="bt"/>
    <w:next w:val="bt"/>
    <w:uiPriority w:val="1"/>
    <w:rsid w:val="00870E6F"/>
    <w:rPr>
      <w:i/>
    </w:rPr>
  </w:style>
  <w:style w:type="character" w:customStyle="1" w:styleId="bt-highlighttext">
    <w:name w:val="bt-highlight text"/>
    <w:basedOn w:val="DefaultParagraphFont"/>
    <w:uiPriority w:val="2"/>
    <w:rsid w:val="00870E6F"/>
    <w:rPr>
      <w:rFonts w:ascii="Calibri" w:hAnsi="Calibri"/>
      <w:color w:val="0000FF"/>
      <w:sz w:val="24"/>
      <w:lang w:eastAsia="en-US"/>
    </w:rPr>
  </w:style>
  <w:style w:type="paragraph" w:styleId="Caption">
    <w:name w:val="caption"/>
    <w:basedOn w:val="bt"/>
    <w:next w:val="bt"/>
    <w:qFormat/>
    <w:rsid w:val="00FF2EF6"/>
    <w:pPr>
      <w:keepNext/>
      <w:spacing w:after="180" w:line="240" w:lineRule="auto"/>
      <w:ind w:left="28" w:hanging="28"/>
    </w:pPr>
    <w:rPr>
      <w:rFonts w:asciiTheme="minorHAnsi" w:hAnsiTheme="minorHAnsi"/>
      <w:b/>
      <w:bCs/>
      <w:i/>
      <w:szCs w:val="20"/>
    </w:rPr>
  </w:style>
  <w:style w:type="paragraph" w:styleId="CommentText">
    <w:name w:val="annotation text"/>
    <w:basedOn w:val="Normal"/>
    <w:link w:val="CommentTextChar"/>
    <w:uiPriority w:val="1"/>
    <w:semiHidden/>
    <w:rsid w:val="00870E6F"/>
    <w:pPr>
      <w:spacing w:after="0" w:line="240" w:lineRule="auto"/>
    </w:pPr>
    <w:rPr>
      <w:rFonts w:ascii="Arial" w:eastAsia="Times New Roman" w:hAnsi="Arial"/>
      <w:sz w:val="20"/>
      <w:szCs w:val="20"/>
      <w:lang w:eastAsia="en-AU"/>
    </w:rPr>
  </w:style>
  <w:style w:type="character" w:customStyle="1" w:styleId="CommentTextChar">
    <w:name w:val="Comment Text Char"/>
    <w:basedOn w:val="DefaultParagraphFont"/>
    <w:link w:val="CommentText"/>
    <w:uiPriority w:val="1"/>
    <w:semiHidden/>
    <w:rsid w:val="00870E6F"/>
    <w:rPr>
      <w:rFonts w:ascii="Arial" w:eastAsia="Times New Roman" w:hAnsi="Arial" w:cs="Times New Roman"/>
      <w:sz w:val="20"/>
      <w:szCs w:val="20"/>
    </w:rPr>
  </w:style>
  <w:style w:type="character" w:styleId="Emphasis">
    <w:name w:val="Emphasis"/>
    <w:basedOn w:val="DefaultParagraphFont"/>
    <w:qFormat/>
    <w:rsid w:val="00870E6F"/>
    <w:rPr>
      <w:rFonts w:ascii="Calibri" w:hAnsi="Calibri"/>
      <w:i/>
      <w:iCs/>
      <w:sz w:val="20"/>
    </w:rPr>
  </w:style>
  <w:style w:type="paragraph" w:customStyle="1" w:styleId="Heading11">
    <w:name w:val="Heading 1_1"/>
    <w:basedOn w:val="Heading1"/>
    <w:next w:val="bt"/>
    <w:qFormat/>
    <w:rsid w:val="002C3AF4"/>
    <w:pPr>
      <w:numPr>
        <w:numId w:val="3"/>
      </w:numPr>
      <w:tabs>
        <w:tab w:val="clear" w:pos="851"/>
      </w:tabs>
      <w:spacing w:after="240"/>
    </w:pPr>
  </w:style>
  <w:style w:type="paragraph" w:customStyle="1" w:styleId="Heading2nonum">
    <w:name w:val="Heading 2_no num"/>
    <w:basedOn w:val="Heading2"/>
    <w:next w:val="bt"/>
    <w:uiPriority w:val="1"/>
    <w:qFormat/>
    <w:rsid w:val="00870E6F"/>
    <w:pPr>
      <w:numPr>
        <w:ilvl w:val="0"/>
        <w:numId w:val="0"/>
      </w:numPr>
    </w:pPr>
    <w:rPr>
      <w:b w:val="0"/>
      <w:lang w:eastAsia="en-US"/>
    </w:rPr>
  </w:style>
  <w:style w:type="paragraph" w:styleId="ListBullet">
    <w:name w:val="List Bullet"/>
    <w:basedOn w:val="bt"/>
    <w:uiPriority w:val="99"/>
    <w:qFormat/>
    <w:rsid w:val="00C73568"/>
    <w:pPr>
      <w:numPr>
        <w:numId w:val="4"/>
      </w:numPr>
      <w:ind w:left="756" w:hanging="189"/>
    </w:pPr>
  </w:style>
  <w:style w:type="paragraph" w:styleId="ListBullet2">
    <w:name w:val="List Bullet 2"/>
    <w:basedOn w:val="bt"/>
    <w:qFormat/>
    <w:rsid w:val="00FB040B"/>
    <w:pPr>
      <w:numPr>
        <w:numId w:val="5"/>
      </w:numPr>
      <w:ind w:left="1491" w:hanging="357"/>
    </w:pPr>
  </w:style>
  <w:style w:type="paragraph" w:styleId="ListBullet3">
    <w:name w:val="List Bullet 3"/>
    <w:basedOn w:val="bt"/>
    <w:uiPriority w:val="1"/>
    <w:rsid w:val="00870E6F"/>
    <w:pPr>
      <w:numPr>
        <w:numId w:val="6"/>
      </w:numPr>
    </w:pPr>
  </w:style>
  <w:style w:type="paragraph" w:styleId="ListContinue">
    <w:name w:val="List Continue"/>
    <w:basedOn w:val="Normal"/>
    <w:uiPriority w:val="1"/>
    <w:rsid w:val="00870E6F"/>
    <w:pPr>
      <w:spacing w:after="120" w:line="240" w:lineRule="auto"/>
      <w:ind w:left="283"/>
    </w:pPr>
    <w:rPr>
      <w:rFonts w:ascii="Arial" w:eastAsia="Times New Roman" w:hAnsi="Arial"/>
      <w:sz w:val="20"/>
      <w:szCs w:val="24"/>
      <w:lang w:eastAsia="en-AU"/>
    </w:rPr>
  </w:style>
  <w:style w:type="paragraph" w:styleId="ListContinue2">
    <w:name w:val="List Continue 2"/>
    <w:basedOn w:val="Normal"/>
    <w:uiPriority w:val="1"/>
    <w:qFormat/>
    <w:rsid w:val="00870E6F"/>
    <w:pPr>
      <w:spacing w:after="120" w:line="240" w:lineRule="auto"/>
      <w:ind w:left="566"/>
    </w:pPr>
    <w:rPr>
      <w:rFonts w:ascii="Arial" w:eastAsia="Times New Roman" w:hAnsi="Arial"/>
      <w:sz w:val="20"/>
      <w:szCs w:val="24"/>
      <w:lang w:eastAsia="en-AU"/>
    </w:rPr>
  </w:style>
  <w:style w:type="paragraph" w:styleId="ListContinue3">
    <w:name w:val="List Continue 3"/>
    <w:basedOn w:val="Normal"/>
    <w:uiPriority w:val="1"/>
    <w:qFormat/>
    <w:rsid w:val="00870E6F"/>
    <w:pPr>
      <w:spacing w:after="120" w:line="240" w:lineRule="auto"/>
      <w:ind w:left="849"/>
    </w:pPr>
    <w:rPr>
      <w:rFonts w:ascii="Arial" w:eastAsia="Times New Roman" w:hAnsi="Arial"/>
      <w:sz w:val="20"/>
      <w:szCs w:val="24"/>
      <w:lang w:eastAsia="en-AU"/>
    </w:rPr>
  </w:style>
  <w:style w:type="character" w:styleId="Strong">
    <w:name w:val="Strong"/>
    <w:basedOn w:val="DefaultParagraphFont"/>
    <w:qFormat/>
    <w:rsid w:val="00E62056"/>
    <w:rPr>
      <w:b/>
      <w:bCs/>
      <w:szCs w:val="20"/>
    </w:rPr>
  </w:style>
  <w:style w:type="paragraph" w:customStyle="1" w:styleId="Tabletext">
    <w:name w:val="Table text"/>
    <w:basedOn w:val="bt"/>
    <w:autoRedefine/>
    <w:qFormat/>
    <w:rsid w:val="00D9369A"/>
    <w:pPr>
      <w:spacing w:before="60" w:after="60" w:line="240" w:lineRule="auto"/>
    </w:pPr>
    <w:rPr>
      <w:rFonts w:ascii="Arial Narrow" w:hAnsi="Arial Narrow" w:cs="Calibri"/>
      <w:szCs w:val="20"/>
      <w:lang w:eastAsia="en-US"/>
    </w:rPr>
  </w:style>
  <w:style w:type="paragraph" w:customStyle="1" w:styleId="TabletextBold">
    <w:name w:val="Table text Bold"/>
    <w:basedOn w:val="Tabletext"/>
    <w:next w:val="Tabletext"/>
    <w:qFormat/>
    <w:rsid w:val="00870E6F"/>
    <w:rPr>
      <w:b/>
      <w:bCs/>
    </w:rPr>
  </w:style>
  <w:style w:type="paragraph" w:customStyle="1" w:styleId="tabletextbullet">
    <w:name w:val="table text bullet"/>
    <w:basedOn w:val="Normal"/>
    <w:qFormat/>
    <w:rsid w:val="00CE57DE"/>
    <w:pPr>
      <w:numPr>
        <w:numId w:val="11"/>
      </w:numPr>
      <w:spacing w:before="60" w:after="60" w:line="270" w:lineRule="exact"/>
    </w:pPr>
    <w:rPr>
      <w:rFonts w:ascii="Arial Narrow" w:eastAsia="Times New Roman" w:hAnsi="Arial Narrow"/>
      <w:sz w:val="20"/>
      <w:szCs w:val="20"/>
      <w:lang w:eastAsia="en-AU"/>
    </w:rPr>
  </w:style>
  <w:style w:type="paragraph" w:customStyle="1" w:styleId="tableheaderrow">
    <w:name w:val="table_header row"/>
    <w:basedOn w:val="Tabletext"/>
    <w:qFormat/>
    <w:rsid w:val="00870E6F"/>
    <w:rPr>
      <w:b/>
    </w:rPr>
  </w:style>
  <w:style w:type="paragraph" w:styleId="IntenseQuote">
    <w:name w:val="Intense Quote"/>
    <w:basedOn w:val="bt"/>
    <w:next w:val="bt"/>
    <w:link w:val="IntenseQuoteChar"/>
    <w:autoRedefine/>
    <w:uiPriority w:val="30"/>
    <w:qFormat/>
    <w:rsid w:val="00870E6F"/>
    <w:pPr>
      <w:pBdr>
        <w:bottom w:val="single" w:sz="4" w:space="4" w:color="76923C"/>
      </w:pBdr>
      <w:spacing w:before="200" w:after="280"/>
      <w:ind w:left="936" w:right="936"/>
    </w:pPr>
    <w:rPr>
      <w:bCs/>
      <w:i/>
      <w:iCs/>
      <w:color w:val="404040"/>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sz w:val="20"/>
      <w:szCs w:val="24"/>
    </w:rPr>
  </w:style>
  <w:style w:type="paragraph" w:customStyle="1" w:styleId="btbullet">
    <w:name w:val="bt_bullet"/>
    <w:basedOn w:val="bt"/>
    <w:uiPriority w:val="1"/>
    <w:qFormat/>
    <w:rsid w:val="00767431"/>
    <w:pPr>
      <w:numPr>
        <w:numId w:val="2"/>
      </w:numPr>
      <w:spacing w:before="60" w:after="60" w:line="264" w:lineRule="auto"/>
      <w:ind w:left="709"/>
    </w:pPr>
  </w:style>
  <w:style w:type="table" w:styleId="TableGrid">
    <w:name w:val="Table Grid"/>
    <w:basedOn w:val="TableNormal"/>
    <w:uiPriority w:val="59"/>
    <w:rsid w:val="00870E6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870E6F"/>
    <w:rPr>
      <w:rFonts w:eastAsia="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870E6F"/>
    <w:rPr>
      <w:rFonts w:eastAsia="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870E6F"/>
    <w:rPr>
      <w:rFonts w:eastAsia="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IntenseEmphasis">
    <w:name w:val="Intense Emphasis"/>
    <w:uiPriority w:val="21"/>
    <w:qFormat/>
    <w:rsid w:val="00FF5665"/>
    <w:rPr>
      <w:rFonts w:ascii="Calibri" w:hAnsi="Calibri"/>
      <w:b/>
      <w:i/>
      <w:sz w:val="20"/>
    </w:rPr>
  </w:style>
  <w:style w:type="paragraph" w:customStyle="1" w:styleId="source">
    <w:name w:val="source"/>
    <w:basedOn w:val="bt"/>
    <w:next w:val="bt"/>
    <w:qFormat/>
    <w:rsid w:val="00870E6F"/>
    <w:pPr>
      <w:spacing w:line="240" w:lineRule="auto"/>
    </w:pPr>
    <w:rPr>
      <w:i/>
      <w:sz w:val="18"/>
    </w:rPr>
  </w:style>
  <w:style w:type="paragraph" w:styleId="TOC1">
    <w:name w:val="toc 1"/>
    <w:basedOn w:val="Normal"/>
    <w:next w:val="Normal"/>
    <w:autoRedefine/>
    <w:uiPriority w:val="39"/>
    <w:unhideWhenUsed/>
    <w:rsid w:val="00870E6F"/>
    <w:pPr>
      <w:tabs>
        <w:tab w:val="left" w:pos="284"/>
        <w:tab w:val="left" w:pos="851"/>
        <w:tab w:val="right" w:leader="dot" w:pos="9016"/>
      </w:tabs>
      <w:spacing w:after="100"/>
    </w:pPr>
  </w:style>
  <w:style w:type="paragraph" w:styleId="TOC2">
    <w:name w:val="toc 2"/>
    <w:basedOn w:val="Normal"/>
    <w:next w:val="Normal"/>
    <w:autoRedefine/>
    <w:uiPriority w:val="39"/>
    <w:unhideWhenUsed/>
    <w:rsid w:val="00870E6F"/>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870E6F"/>
    <w:rPr>
      <w:color w:val="0000FF"/>
      <w:u w:val="single"/>
    </w:rPr>
  </w:style>
  <w:style w:type="paragraph" w:styleId="TableofFigures">
    <w:name w:val="table of figures"/>
    <w:basedOn w:val="Normal"/>
    <w:next w:val="Normal"/>
    <w:uiPriority w:val="99"/>
    <w:unhideWhenUsed/>
    <w:rsid w:val="002C3AF4"/>
    <w:pPr>
      <w:spacing w:before="120" w:after="120"/>
    </w:pPr>
  </w:style>
  <w:style w:type="paragraph" w:styleId="Title">
    <w:name w:val="Title"/>
    <w:basedOn w:val="bt"/>
    <w:next w:val="Subtitle"/>
    <w:link w:val="TitleChar"/>
    <w:uiPriority w:val="10"/>
    <w:qFormat/>
    <w:rsid w:val="00870E6F"/>
    <w:pPr>
      <w:spacing w:after="300" w:line="240" w:lineRule="auto"/>
      <w:contextualSpacing/>
    </w:pPr>
    <w:rPr>
      <w:spacing w:val="5"/>
      <w:kern w:val="28"/>
      <w:sz w:val="52"/>
      <w:szCs w:val="52"/>
    </w:rPr>
  </w:style>
  <w:style w:type="paragraph" w:styleId="Subtitle">
    <w:name w:val="Subtitle"/>
    <w:basedOn w:val="bt"/>
    <w:next w:val="bt"/>
    <w:link w:val="SubtitleChar"/>
    <w:uiPriority w:val="11"/>
    <w:qFormat/>
    <w:rsid w:val="00870E6F"/>
    <w:pPr>
      <w:numPr>
        <w:ilvl w:val="1"/>
      </w:numPr>
    </w:pPr>
    <w:rPr>
      <w:i/>
      <w:iCs/>
      <w:spacing w:val="15"/>
      <w:sz w:val="24"/>
    </w:rPr>
  </w:style>
  <w:style w:type="character" w:customStyle="1" w:styleId="SubtitleChar">
    <w:name w:val="Subtitle Char"/>
    <w:basedOn w:val="DefaultParagraphFont"/>
    <w:link w:val="Subtitle"/>
    <w:uiPriority w:val="11"/>
    <w:rsid w:val="00E93DDE"/>
    <w:rPr>
      <w:rFonts w:ascii="Calibri" w:eastAsia="Times New Roman" w:hAnsi="Calibri" w:cs="Times New Roman"/>
      <w:i/>
      <w:iCs/>
      <w:spacing w:val="15"/>
      <w:sz w:val="24"/>
      <w:szCs w:val="24"/>
    </w:rPr>
  </w:style>
  <w:style w:type="character" w:customStyle="1" w:styleId="TitleChar">
    <w:name w:val="Title Char"/>
    <w:basedOn w:val="DefaultParagraphFont"/>
    <w:link w:val="Title"/>
    <w:uiPriority w:val="10"/>
    <w:rsid w:val="00C8557A"/>
    <w:rPr>
      <w:rFonts w:ascii="Calibri" w:eastAsia="Times New Roman" w:hAnsi="Calibri" w:cs="Times New Roman"/>
      <w:spacing w:val="5"/>
      <w:kern w:val="28"/>
      <w:sz w:val="52"/>
      <w:szCs w:val="52"/>
    </w:rPr>
  </w:style>
  <w:style w:type="paragraph" w:styleId="TOC3">
    <w:name w:val="toc 3"/>
    <w:basedOn w:val="Normal"/>
    <w:next w:val="Normal"/>
    <w:autoRedefine/>
    <w:uiPriority w:val="39"/>
    <w:unhideWhenUsed/>
    <w:rsid w:val="00870E6F"/>
    <w:pPr>
      <w:tabs>
        <w:tab w:val="right" w:leader="dot" w:pos="9016"/>
      </w:tabs>
      <w:spacing w:after="100"/>
      <w:ind w:left="851"/>
    </w:pPr>
  </w:style>
  <w:style w:type="table" w:styleId="MediumShading1-Accent3">
    <w:name w:val="Medium Shading 1 Accent 3"/>
    <w:basedOn w:val="TableNormal"/>
    <w:uiPriority w:val="63"/>
    <w:rsid w:val="00870E6F"/>
    <w:rPr>
      <w:rFonts w:eastAsia="Calibri"/>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3-Accent3">
    <w:name w:val="Medium Grid 3 Accent 3"/>
    <w:basedOn w:val="TableNormal"/>
    <w:uiPriority w:val="69"/>
    <w:rsid w:val="00870E6F"/>
    <w:rPr>
      <w:rFonts w:eastAsia="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semiHidden/>
    <w:unhideWhenUsed/>
    <w:rsid w:val="00870E6F"/>
    <w:rPr>
      <w:color w:val="800080"/>
      <w:u w:val="single"/>
    </w:rPr>
  </w:style>
  <w:style w:type="paragraph" w:customStyle="1" w:styleId="btpicture">
    <w:name w:val="bt_picture"/>
    <w:basedOn w:val="bt"/>
    <w:next w:val="bt"/>
    <w:uiPriority w:val="1"/>
    <w:rsid w:val="00870E6F"/>
    <w:pPr>
      <w:spacing w:after="0" w:line="240" w:lineRule="auto"/>
    </w:pPr>
    <w:rPr>
      <w:sz w:val="18"/>
    </w:rPr>
  </w:style>
  <w:style w:type="paragraph" w:styleId="FootnoteText">
    <w:name w:val="footnote text"/>
    <w:basedOn w:val="Normal"/>
    <w:link w:val="FootnoteTextChar"/>
    <w:uiPriority w:val="99"/>
    <w:unhideWhenUsed/>
    <w:qFormat/>
    <w:rsid w:val="00D44026"/>
    <w:pPr>
      <w:spacing w:after="0" w:line="240" w:lineRule="auto"/>
    </w:pPr>
    <w:rPr>
      <w:rFonts w:asciiTheme="minorHAnsi" w:eastAsia="Times New Roman" w:hAnsiTheme="minorHAnsi"/>
      <w:sz w:val="16"/>
      <w:szCs w:val="20"/>
      <w:lang w:val="en-US"/>
    </w:rPr>
  </w:style>
  <w:style w:type="character" w:customStyle="1" w:styleId="FootnoteTextChar">
    <w:name w:val="Footnote Text Char"/>
    <w:basedOn w:val="DefaultParagraphFont"/>
    <w:link w:val="FootnoteText"/>
    <w:uiPriority w:val="99"/>
    <w:rsid w:val="00D44026"/>
    <w:rPr>
      <w:rFonts w:asciiTheme="minorHAnsi" w:hAnsiTheme="minorHAnsi"/>
      <w:sz w:val="16"/>
      <w:lang w:val="en-US" w:eastAsia="en-US"/>
    </w:rPr>
  </w:style>
  <w:style w:type="character" w:styleId="SubtleEmphasis">
    <w:name w:val="Subtle Emphasis"/>
    <w:basedOn w:val="DefaultParagraphFont"/>
    <w:uiPriority w:val="19"/>
    <w:qFormat/>
    <w:rsid w:val="00870E6F"/>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870E6F"/>
    <w:rPr>
      <w:color w:val="365F91"/>
      <w:lang w:val="en-US" w:eastAsia="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Quote">
    <w:name w:val="Quote"/>
    <w:basedOn w:val="Normal"/>
    <w:next w:val="Normal"/>
    <w:link w:val="QuoteChar"/>
    <w:uiPriority w:val="29"/>
    <w:qFormat/>
    <w:rsid w:val="00870E6F"/>
    <w:rPr>
      <w:i/>
      <w:iCs/>
      <w:color w:val="000000"/>
    </w:rPr>
  </w:style>
  <w:style w:type="character" w:customStyle="1" w:styleId="QuoteChar">
    <w:name w:val="Quote Char"/>
    <w:basedOn w:val="DefaultParagraphFont"/>
    <w:link w:val="Quote"/>
    <w:uiPriority w:val="29"/>
    <w:rsid w:val="00803BD6"/>
    <w:rPr>
      <w:rFonts w:eastAsia="Calibri"/>
      <w:i/>
      <w:iCs/>
      <w:color w:val="000000"/>
      <w:lang w:eastAsia="en-US"/>
    </w:rPr>
  </w:style>
  <w:style w:type="paragraph" w:styleId="ListParagraph">
    <w:name w:val="List Paragraph"/>
    <w:basedOn w:val="Normal"/>
    <w:uiPriority w:val="34"/>
    <w:qFormat/>
    <w:rsid w:val="00D9369A"/>
    <w:pPr>
      <w:ind w:left="720"/>
      <w:contextualSpacing/>
    </w:pPr>
    <w:rPr>
      <w:sz w:val="20"/>
    </w:rPr>
  </w:style>
  <w:style w:type="character" w:styleId="SubtleReference">
    <w:name w:val="Subtle Reference"/>
    <w:basedOn w:val="DefaultParagraphFont"/>
    <w:uiPriority w:val="31"/>
    <w:qFormat/>
    <w:rsid w:val="00870E6F"/>
    <w:rPr>
      <w:smallCaps/>
      <w:color w:val="C0504D"/>
      <w:u w:val="single"/>
    </w:rPr>
  </w:style>
  <w:style w:type="character" w:styleId="IntenseReference">
    <w:name w:val="Intense Reference"/>
    <w:basedOn w:val="DefaultParagraphFont"/>
    <w:uiPriority w:val="32"/>
    <w:qFormat/>
    <w:rsid w:val="00870E6F"/>
    <w:rPr>
      <w:b/>
      <w:bCs/>
      <w:smallCaps/>
      <w:color w:val="C0504D"/>
      <w:spacing w:val="5"/>
      <w:u w:val="single"/>
    </w:rPr>
  </w:style>
  <w:style w:type="table" w:styleId="LightShading-Accent5">
    <w:name w:val="Light Shading Accent 5"/>
    <w:basedOn w:val="TableNormal"/>
    <w:uiPriority w:val="60"/>
    <w:rsid w:val="00870E6F"/>
    <w:rPr>
      <w:rFonts w:eastAsia="Calibri"/>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70E6F"/>
    <w:rPr>
      <w:rFonts w:eastAsia="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870E6F"/>
    <w:rPr>
      <w:rFonts w:eastAsia="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4">
    <w:name w:val="Light Shading Accent 4"/>
    <w:basedOn w:val="TableNormal"/>
    <w:uiPriority w:val="60"/>
    <w:rsid w:val="00870E6F"/>
    <w:rPr>
      <w:rFonts w:eastAsia="Calibri"/>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870E6F"/>
    <w:rPr>
      <w:rFonts w:eastAsia="Calibri"/>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bt"/>
    <w:unhideWhenUsed/>
    <w:qFormat/>
    <w:rsid w:val="00870E6F"/>
    <w:pPr>
      <w:numPr>
        <w:numId w:val="7"/>
      </w:numPr>
      <w:contextualSpacing/>
    </w:pPr>
  </w:style>
  <w:style w:type="paragraph" w:styleId="ListNumber2">
    <w:name w:val="List Number 2"/>
    <w:basedOn w:val="bt"/>
    <w:uiPriority w:val="99"/>
    <w:unhideWhenUsed/>
    <w:qFormat/>
    <w:rsid w:val="00870E6F"/>
    <w:pPr>
      <w:numPr>
        <w:numId w:val="8"/>
      </w:numPr>
      <w:contextualSpacing/>
    </w:pPr>
  </w:style>
  <w:style w:type="paragraph" w:styleId="ListNumber3">
    <w:name w:val="List Number 3"/>
    <w:basedOn w:val="bt"/>
    <w:uiPriority w:val="99"/>
    <w:unhideWhenUsed/>
    <w:qFormat/>
    <w:rsid w:val="00870E6F"/>
    <w:pPr>
      <w:numPr>
        <w:numId w:val="9"/>
      </w:numPr>
      <w:contextualSpacing/>
    </w:pPr>
  </w:style>
  <w:style w:type="paragraph" w:styleId="ListNumber4">
    <w:name w:val="List Number 4"/>
    <w:basedOn w:val="bt"/>
    <w:uiPriority w:val="99"/>
    <w:unhideWhenUsed/>
    <w:qFormat/>
    <w:rsid w:val="00870E6F"/>
    <w:pPr>
      <w:numPr>
        <w:numId w:val="10"/>
      </w:numPr>
      <w:tabs>
        <w:tab w:val="left" w:pos="1701"/>
      </w:tabs>
      <w:contextualSpacing/>
    </w:pPr>
  </w:style>
  <w:style w:type="table" w:customStyle="1" w:styleId="MediumGrid31">
    <w:name w:val="Medium Grid 31"/>
    <w:basedOn w:val="TableNormal"/>
    <w:uiPriority w:val="69"/>
    <w:rsid w:val="00870E6F"/>
    <w:rPr>
      <w:rFonts w:eastAsia="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5">
    <w:name w:val="Medium Shading 1 Accent 5"/>
    <w:basedOn w:val="TableNormal"/>
    <w:uiPriority w:val="63"/>
    <w:rsid w:val="00870E6F"/>
    <w:rPr>
      <w:rFonts w:eastAsia="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bttextbox">
    <w:name w:val="bt_textbox"/>
    <w:basedOn w:val="bt"/>
    <w:uiPriority w:val="1"/>
    <w:rsid w:val="00870E6F"/>
  </w:style>
  <w:style w:type="paragraph" w:customStyle="1" w:styleId="Default">
    <w:name w:val="Default"/>
    <w:rsid w:val="00870E6F"/>
    <w:pPr>
      <w:autoSpaceDE w:val="0"/>
      <w:autoSpaceDN w:val="0"/>
      <w:adjustRightInd w:val="0"/>
    </w:pPr>
    <w:rPr>
      <w:rFonts w:ascii="DIN" w:eastAsia="Calibri" w:hAnsi="DIN" w:cs="DIN"/>
      <w:color w:val="000000"/>
      <w:sz w:val="24"/>
      <w:szCs w:val="24"/>
      <w:lang w:eastAsia="en-US"/>
    </w:rPr>
  </w:style>
  <w:style w:type="paragraph" w:styleId="TOC4">
    <w:name w:val="toc 4"/>
    <w:basedOn w:val="Normal"/>
    <w:next w:val="Normal"/>
    <w:autoRedefine/>
    <w:uiPriority w:val="39"/>
    <w:unhideWhenUsed/>
    <w:rsid w:val="00870E6F"/>
    <w:pPr>
      <w:spacing w:after="100"/>
      <w:ind w:left="660"/>
    </w:pPr>
    <w:rPr>
      <w:rFonts w:eastAsia="Times New Roman"/>
      <w:lang w:eastAsia="en-AU"/>
    </w:rPr>
  </w:style>
  <w:style w:type="paragraph" w:styleId="TOC5">
    <w:name w:val="toc 5"/>
    <w:basedOn w:val="Normal"/>
    <w:next w:val="Normal"/>
    <w:autoRedefine/>
    <w:uiPriority w:val="39"/>
    <w:unhideWhenUsed/>
    <w:rsid w:val="00870E6F"/>
    <w:pPr>
      <w:spacing w:after="100"/>
      <w:ind w:left="880"/>
    </w:pPr>
    <w:rPr>
      <w:rFonts w:eastAsia="Times New Roman"/>
      <w:lang w:eastAsia="en-AU"/>
    </w:rPr>
  </w:style>
  <w:style w:type="paragraph" w:styleId="TOC6">
    <w:name w:val="toc 6"/>
    <w:basedOn w:val="Normal"/>
    <w:next w:val="Normal"/>
    <w:autoRedefine/>
    <w:uiPriority w:val="39"/>
    <w:unhideWhenUsed/>
    <w:rsid w:val="00870E6F"/>
    <w:pPr>
      <w:spacing w:after="100"/>
      <w:ind w:left="1100"/>
    </w:pPr>
    <w:rPr>
      <w:rFonts w:eastAsia="Times New Roman"/>
      <w:lang w:eastAsia="en-AU"/>
    </w:rPr>
  </w:style>
  <w:style w:type="paragraph" w:styleId="TOC7">
    <w:name w:val="toc 7"/>
    <w:basedOn w:val="Normal"/>
    <w:next w:val="Normal"/>
    <w:autoRedefine/>
    <w:uiPriority w:val="39"/>
    <w:unhideWhenUsed/>
    <w:rsid w:val="00870E6F"/>
    <w:pPr>
      <w:spacing w:after="100"/>
      <w:ind w:left="1320"/>
    </w:pPr>
    <w:rPr>
      <w:rFonts w:eastAsia="Times New Roman"/>
      <w:lang w:eastAsia="en-AU"/>
    </w:rPr>
  </w:style>
  <w:style w:type="paragraph" w:styleId="TOC8">
    <w:name w:val="toc 8"/>
    <w:basedOn w:val="Normal"/>
    <w:next w:val="Normal"/>
    <w:autoRedefine/>
    <w:uiPriority w:val="39"/>
    <w:unhideWhenUsed/>
    <w:rsid w:val="00870E6F"/>
    <w:pPr>
      <w:spacing w:after="100"/>
      <w:ind w:left="1540"/>
    </w:pPr>
    <w:rPr>
      <w:rFonts w:eastAsia="Times New Roman"/>
      <w:lang w:eastAsia="en-AU"/>
    </w:rPr>
  </w:style>
  <w:style w:type="paragraph" w:styleId="TOC9">
    <w:name w:val="toc 9"/>
    <w:basedOn w:val="Normal"/>
    <w:next w:val="Normal"/>
    <w:autoRedefine/>
    <w:uiPriority w:val="39"/>
    <w:unhideWhenUsed/>
    <w:rsid w:val="00870E6F"/>
    <w:pPr>
      <w:spacing w:after="100"/>
      <w:ind w:left="1760"/>
    </w:pPr>
    <w:rPr>
      <w:rFonts w:eastAsia="Times New Roman"/>
      <w:lang w:eastAsia="en-AU"/>
    </w:rPr>
  </w:style>
  <w:style w:type="paragraph" w:styleId="NormalWeb">
    <w:name w:val="Normal (Web)"/>
    <w:basedOn w:val="Normal"/>
    <w:uiPriority w:val="99"/>
    <w:semiHidden/>
    <w:unhideWhenUsed/>
    <w:rsid w:val="00870E6F"/>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870E6F"/>
    <w:rPr>
      <w:sz w:val="16"/>
      <w:szCs w:val="16"/>
    </w:rPr>
  </w:style>
  <w:style w:type="paragraph" w:styleId="CommentSubject">
    <w:name w:val="annotation subject"/>
    <w:basedOn w:val="CommentText"/>
    <w:next w:val="CommentText"/>
    <w:link w:val="CommentSubjectChar"/>
    <w:uiPriority w:val="99"/>
    <w:semiHidden/>
    <w:unhideWhenUsed/>
    <w:rsid w:val="00870E6F"/>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67FA4"/>
    <w:rPr>
      <w:rFonts w:ascii="Arial" w:eastAsia="Calibri" w:hAnsi="Arial" w:cs="Times New Roman"/>
      <w:b/>
      <w:bCs/>
      <w:sz w:val="20"/>
      <w:szCs w:val="20"/>
      <w:lang w:eastAsia="en-US"/>
    </w:rPr>
  </w:style>
  <w:style w:type="character" w:styleId="PlaceholderText">
    <w:name w:val="Placeholder Text"/>
    <w:basedOn w:val="DefaultParagraphFont"/>
    <w:uiPriority w:val="99"/>
    <w:semiHidden/>
    <w:rsid w:val="00870E6F"/>
    <w:rPr>
      <w:color w:val="808080"/>
    </w:rPr>
  </w:style>
  <w:style w:type="character" w:styleId="FootnoteReference">
    <w:name w:val="footnote reference"/>
    <w:basedOn w:val="DefaultParagraphFont"/>
    <w:uiPriority w:val="99"/>
    <w:semiHidden/>
    <w:unhideWhenUsed/>
    <w:rsid w:val="00C50B07"/>
    <w:rPr>
      <w:vertAlign w:val="superscript"/>
    </w:rPr>
  </w:style>
  <w:style w:type="paragraph" w:styleId="Revision">
    <w:name w:val="Revision"/>
    <w:hidden/>
    <w:uiPriority w:val="99"/>
    <w:semiHidden/>
    <w:rsid w:val="000E3D56"/>
    <w:rPr>
      <w:sz w:val="22"/>
      <w:szCs w:val="22"/>
    </w:rPr>
  </w:style>
  <w:style w:type="character" w:customStyle="1" w:styleId="btChar">
    <w:name w:val="bt Char"/>
    <w:basedOn w:val="DefaultParagraphFont"/>
    <w:link w:val="bt"/>
    <w:rsid w:val="00B776AC"/>
    <w:rPr>
      <w:szCs w:val="24"/>
      <w:lang w:val="en-AU" w:eastAsia="en-AU" w:bidi="ar-SA"/>
    </w:rPr>
  </w:style>
  <w:style w:type="paragraph" w:styleId="EndnoteText">
    <w:name w:val="endnote text"/>
    <w:basedOn w:val="Normal"/>
    <w:link w:val="EndnoteTextChar"/>
    <w:uiPriority w:val="99"/>
    <w:semiHidden/>
    <w:unhideWhenUsed/>
    <w:rsid w:val="00E715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1524"/>
    <w:rPr>
      <w:sz w:val="20"/>
      <w:szCs w:val="20"/>
    </w:rPr>
  </w:style>
  <w:style w:type="character" w:styleId="EndnoteReference">
    <w:name w:val="endnote reference"/>
    <w:basedOn w:val="DefaultParagraphFont"/>
    <w:uiPriority w:val="99"/>
    <w:semiHidden/>
    <w:unhideWhenUsed/>
    <w:rsid w:val="00E71524"/>
    <w:rPr>
      <w:vertAlign w:val="superscript"/>
    </w:rPr>
  </w:style>
  <w:style w:type="paragraph" w:customStyle="1" w:styleId="HeadingBlue">
    <w:name w:val="HeadingBlue"/>
    <w:basedOn w:val="bt"/>
    <w:link w:val="HeadingBlueChar"/>
    <w:uiPriority w:val="1"/>
    <w:qFormat/>
    <w:rsid w:val="00F50F1A"/>
    <w:pPr>
      <w:spacing w:before="0" w:after="120"/>
    </w:pPr>
    <w:rPr>
      <w:b/>
      <w:bCs/>
      <w:color w:val="548DD4"/>
      <w:sz w:val="34"/>
      <w:szCs w:val="28"/>
      <w:lang w:val="en-US" w:eastAsia="en-US"/>
    </w:rPr>
  </w:style>
  <w:style w:type="paragraph" w:customStyle="1" w:styleId="StrongEmphasis">
    <w:name w:val="StrongEmphasis"/>
    <w:basedOn w:val="bt"/>
    <w:link w:val="StrongEmphasisChar"/>
    <w:uiPriority w:val="1"/>
    <w:qFormat/>
    <w:rsid w:val="00FF5665"/>
    <w:rPr>
      <w:i/>
    </w:rPr>
  </w:style>
  <w:style w:type="character" w:customStyle="1" w:styleId="HeadingBlueChar">
    <w:name w:val="HeadingBlue Char"/>
    <w:basedOn w:val="btChar"/>
    <w:link w:val="HeadingBlue"/>
    <w:uiPriority w:val="1"/>
    <w:rsid w:val="00F50F1A"/>
    <w:rPr>
      <w:b/>
      <w:bCs/>
      <w:color w:val="548DD4"/>
      <w:sz w:val="34"/>
      <w:szCs w:val="28"/>
      <w:lang w:val="en-US" w:eastAsia="en-US" w:bidi="ar-SA"/>
    </w:rPr>
  </w:style>
  <w:style w:type="character" w:customStyle="1" w:styleId="StrongEmphasisChar">
    <w:name w:val="StrongEmphasis Char"/>
    <w:basedOn w:val="btChar"/>
    <w:link w:val="StrongEmphasis"/>
    <w:uiPriority w:val="1"/>
    <w:rsid w:val="00FF5665"/>
    <w:rPr>
      <w:i/>
      <w:szCs w:val="24"/>
      <w:lang w:val="en-AU" w:eastAsia="en-AU" w:bidi="ar-SA"/>
    </w:rPr>
  </w:style>
  <w:style w:type="paragraph" w:customStyle="1" w:styleId="BodyText1">
    <w:name w:val="Body Text1"/>
    <w:basedOn w:val="Normal"/>
    <w:link w:val="BodytextChar"/>
    <w:rsid w:val="0045149E"/>
    <w:pPr>
      <w:spacing w:line="240" w:lineRule="auto"/>
    </w:pPr>
    <w:rPr>
      <w:rFonts w:ascii="Arial" w:eastAsia="Times New Roman" w:hAnsi="Arial"/>
      <w:sz w:val="20"/>
      <w:szCs w:val="24"/>
      <w:lang w:eastAsia="en-AU"/>
    </w:rPr>
  </w:style>
  <w:style w:type="character" w:customStyle="1" w:styleId="BodytextChar">
    <w:name w:val="Body text Char"/>
    <w:basedOn w:val="DefaultParagraphFont"/>
    <w:link w:val="BodyText1"/>
    <w:rsid w:val="0045149E"/>
    <w:rPr>
      <w:rFonts w:ascii="Arial" w:eastAsia="Times New Roman" w:hAnsi="Arial" w:cs="Times New Roman"/>
      <w:sz w:val="20"/>
      <w:szCs w:val="24"/>
    </w:rPr>
  </w:style>
  <w:style w:type="character" w:customStyle="1" w:styleId="Header-MainChar">
    <w:name w:val="Header-Main Char"/>
    <w:basedOn w:val="HeaderChar"/>
    <w:link w:val="Header-Main"/>
    <w:locked/>
    <w:rsid w:val="00A5266D"/>
    <w:rPr>
      <w:rFonts w:asciiTheme="minorHAnsi" w:eastAsiaTheme="minorEastAsia" w:hAnsiTheme="minorHAnsi" w:cstheme="minorBidi"/>
      <w:b/>
      <w:lang w:val="en-US" w:eastAsia="en-US"/>
    </w:rPr>
  </w:style>
  <w:style w:type="paragraph" w:customStyle="1" w:styleId="Header-Main">
    <w:name w:val="Header-Main"/>
    <w:basedOn w:val="Header"/>
    <w:link w:val="Header-MainChar"/>
    <w:qFormat/>
    <w:rsid w:val="00A5266D"/>
    <w:pPr>
      <w:pBdr>
        <w:bottom w:val="single" w:sz="4" w:space="1" w:color="5F497A" w:themeColor="accent4" w:themeShade="BF"/>
      </w:pBdr>
      <w:tabs>
        <w:tab w:val="clear" w:pos="9026"/>
        <w:tab w:val="right" w:pos="9072"/>
      </w:tabs>
      <w:spacing w:line="276" w:lineRule="auto"/>
      <w:jc w:val="center"/>
    </w:pPr>
    <w:rPr>
      <w:rFonts w:asciiTheme="minorHAnsi" w:eastAsiaTheme="minorEastAsia" w:hAnsiTheme="minorHAnsi" w:cstheme="minorBidi"/>
      <w:b/>
      <w:sz w:val="20"/>
      <w:szCs w:val="20"/>
      <w:lang w:val="en-US" w:eastAsia="en-AU"/>
    </w:rPr>
  </w:style>
  <w:style w:type="character" w:customStyle="1" w:styleId="Header-SubChar">
    <w:name w:val="Header-Sub Char"/>
    <w:basedOn w:val="HeaderChar"/>
    <w:link w:val="Header-Sub"/>
    <w:locked/>
    <w:rsid w:val="00A5266D"/>
    <w:rPr>
      <w:rFonts w:asciiTheme="minorHAnsi" w:eastAsiaTheme="minorEastAsia" w:hAnsiTheme="minorHAnsi" w:cstheme="minorBidi"/>
      <w:lang w:val="en-US" w:eastAsia="en-US"/>
    </w:rPr>
  </w:style>
  <w:style w:type="paragraph" w:customStyle="1" w:styleId="Header-Sub">
    <w:name w:val="Header-Sub"/>
    <w:basedOn w:val="Header"/>
    <w:link w:val="Header-SubChar"/>
    <w:qFormat/>
    <w:rsid w:val="00A5266D"/>
    <w:pPr>
      <w:pBdr>
        <w:bottom w:val="single" w:sz="4" w:space="1" w:color="5F497A" w:themeColor="accent4" w:themeShade="BF"/>
      </w:pBdr>
      <w:tabs>
        <w:tab w:val="clear" w:pos="9026"/>
        <w:tab w:val="right" w:pos="9072"/>
      </w:tabs>
      <w:spacing w:line="276" w:lineRule="auto"/>
      <w:jc w:val="center"/>
    </w:pPr>
    <w:rPr>
      <w:rFonts w:asciiTheme="minorHAnsi" w:eastAsiaTheme="minorEastAsia" w:hAnsiTheme="minorHAnsi" w:cstheme="minorBidi"/>
      <w:sz w:val="20"/>
      <w:szCs w:val="20"/>
      <w:lang w:val="en-US" w:eastAsia="en-AU"/>
    </w:rPr>
  </w:style>
  <w:style w:type="paragraph" w:customStyle="1" w:styleId="Heading-Blue">
    <w:name w:val="Heading-Blue"/>
    <w:basedOn w:val="TOCHeading"/>
    <w:link w:val="Heading-BlueChar"/>
    <w:qFormat/>
    <w:rsid w:val="004B59B7"/>
    <w:rPr>
      <w:color w:val="00A0B8"/>
    </w:rPr>
  </w:style>
  <w:style w:type="character" w:customStyle="1" w:styleId="Heading-BlueChar">
    <w:name w:val="Heading-Blue Char"/>
    <w:basedOn w:val="DefaultParagraphFont"/>
    <w:link w:val="Heading-Blue"/>
    <w:rsid w:val="004B59B7"/>
    <w:rPr>
      <w:b/>
      <w:bCs/>
      <w:color w:val="00A0B8"/>
      <w:sz w:val="34"/>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Bullet" w:qFormat="1"/>
    <w:lsdException w:name="List Number" w:qFormat="1"/>
    <w:lsdException w:name="List Bullet 2" w:uiPriority="0" w:qFormat="1"/>
    <w:lsdException w:name="List Bullet 3" w:uiPriority="0"/>
    <w:lsdException w:name="List Number 2" w:qFormat="1"/>
    <w:lsdException w:name="List Number 3" w:qFormat="1"/>
    <w:lsdException w:name="List Number 4" w:qFormat="1"/>
    <w:lsdException w:name="Title" w:semiHidden="0" w:uiPriority="10" w:unhideWhenUsed="0" w:qFormat="1"/>
    <w:lsdException w:name="Default Paragraph Font" w:uiPriority="1"/>
    <w:lsdException w:name="List Continue" w:uiPriority="0"/>
    <w:lsdException w:name="List Continue 2" w:uiPriority="0" w:qFormat="1"/>
    <w:lsdException w:name="List Continue 3" w:uiPriority="0" w:qFormat="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870E6F"/>
    <w:pPr>
      <w:spacing w:after="200" w:line="276" w:lineRule="auto"/>
    </w:pPr>
    <w:rPr>
      <w:rFonts w:eastAsia="Calibri"/>
      <w:sz w:val="22"/>
      <w:szCs w:val="22"/>
      <w:lang w:eastAsia="en-US"/>
    </w:rPr>
  </w:style>
  <w:style w:type="paragraph" w:styleId="Heading1">
    <w:name w:val="heading 1"/>
    <w:aliases w:val="1 NoNum"/>
    <w:next w:val="bt"/>
    <w:link w:val="Heading1Char"/>
    <w:qFormat/>
    <w:rsid w:val="00870E6F"/>
    <w:pPr>
      <w:keepNext/>
      <w:tabs>
        <w:tab w:val="left" w:pos="851"/>
      </w:tabs>
      <w:spacing w:after="120"/>
      <w:outlineLvl w:val="0"/>
    </w:pPr>
    <w:rPr>
      <w:b/>
      <w:bCs/>
      <w:sz w:val="34"/>
      <w:szCs w:val="28"/>
      <w:lang w:eastAsia="en-US"/>
    </w:rPr>
  </w:style>
  <w:style w:type="paragraph" w:styleId="Heading2">
    <w:name w:val="heading 2"/>
    <w:next w:val="bt"/>
    <w:link w:val="Heading2Char"/>
    <w:qFormat/>
    <w:rsid w:val="00357C93"/>
    <w:pPr>
      <w:keepNext/>
      <w:numPr>
        <w:ilvl w:val="1"/>
        <w:numId w:val="3"/>
      </w:numPr>
      <w:tabs>
        <w:tab w:val="clear" w:pos="396"/>
        <w:tab w:val="left" w:pos="851"/>
      </w:tabs>
      <w:spacing w:before="360" w:after="240"/>
      <w:ind w:left="1134" w:hanging="1134"/>
      <w:outlineLvl w:val="1"/>
    </w:pPr>
    <w:rPr>
      <w:rFonts w:cs="Arial"/>
      <w:b/>
      <w:bCs/>
      <w:iCs/>
      <w:color w:val="595959"/>
      <w:sz w:val="28"/>
      <w:szCs w:val="28"/>
    </w:rPr>
  </w:style>
  <w:style w:type="paragraph" w:styleId="Heading3">
    <w:name w:val="heading 3"/>
    <w:next w:val="bt"/>
    <w:link w:val="Heading3Char"/>
    <w:qFormat/>
    <w:rsid w:val="00870E6F"/>
    <w:pPr>
      <w:keepNext/>
      <w:tabs>
        <w:tab w:val="left" w:pos="900"/>
      </w:tabs>
      <w:spacing w:before="360" w:after="120"/>
      <w:outlineLvl w:val="2"/>
    </w:pPr>
    <w:rPr>
      <w:bCs/>
      <w:sz w:val="26"/>
      <w:szCs w:val="18"/>
      <w:lang w:eastAsia="en-US"/>
    </w:rPr>
  </w:style>
  <w:style w:type="paragraph" w:styleId="Heading4">
    <w:name w:val="heading 4"/>
    <w:basedOn w:val="bt"/>
    <w:next w:val="bt"/>
    <w:link w:val="Heading4Char"/>
    <w:uiPriority w:val="1"/>
    <w:qFormat/>
    <w:rsid w:val="00FF5665"/>
    <w:pP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t">
    <w:name w:val="bt"/>
    <w:link w:val="btChar"/>
    <w:qFormat/>
    <w:rsid w:val="00870E6F"/>
    <w:pPr>
      <w:spacing w:before="180" w:after="240" w:line="270" w:lineRule="exact"/>
    </w:pPr>
    <w:rPr>
      <w:szCs w:val="24"/>
    </w:rPr>
  </w:style>
  <w:style w:type="character" w:customStyle="1" w:styleId="Heading1Char">
    <w:name w:val="Heading 1 Char"/>
    <w:aliases w:val="1 NoNum Char"/>
    <w:basedOn w:val="DefaultParagraphFont"/>
    <w:link w:val="Heading1"/>
    <w:rsid w:val="00961D6F"/>
    <w:rPr>
      <w:b/>
      <w:bCs/>
      <w:sz w:val="34"/>
      <w:szCs w:val="28"/>
      <w:lang w:val="en-AU" w:eastAsia="en-US" w:bidi="ar-SA"/>
    </w:rPr>
  </w:style>
  <w:style w:type="character" w:customStyle="1" w:styleId="Heading2Char">
    <w:name w:val="Heading 2 Char"/>
    <w:basedOn w:val="DefaultParagraphFont"/>
    <w:link w:val="Heading2"/>
    <w:rsid w:val="00357C93"/>
    <w:rPr>
      <w:rFonts w:cs="Arial"/>
      <w:b/>
      <w:bCs/>
      <w:iCs/>
      <w:color w:val="595959"/>
      <w:sz w:val="28"/>
      <w:szCs w:val="28"/>
      <w:lang w:val="en-AU" w:eastAsia="en-AU" w:bidi="ar-SA"/>
    </w:rPr>
  </w:style>
  <w:style w:type="character" w:customStyle="1" w:styleId="Heading3Char">
    <w:name w:val="Heading 3 Char"/>
    <w:basedOn w:val="DefaultParagraphFont"/>
    <w:link w:val="Heading3"/>
    <w:rsid w:val="00961D6F"/>
    <w:rPr>
      <w:bCs/>
      <w:sz w:val="26"/>
      <w:szCs w:val="18"/>
      <w:lang w:val="en-AU" w:eastAsia="en-US" w:bidi="ar-SA"/>
    </w:rPr>
  </w:style>
  <w:style w:type="character" w:customStyle="1" w:styleId="Heading4Char">
    <w:name w:val="Heading 4 Char"/>
    <w:basedOn w:val="DefaultParagraphFont"/>
    <w:link w:val="Heading4"/>
    <w:uiPriority w:val="1"/>
    <w:rsid w:val="00FF5665"/>
    <w:rPr>
      <w:rFonts w:ascii="Calibri" w:eastAsia="Times New Roman" w:hAnsi="Calibri" w:cs="Times New Roman"/>
      <w:b/>
      <w:sz w:val="20"/>
      <w:szCs w:val="24"/>
    </w:rPr>
  </w:style>
  <w:style w:type="paragraph" w:styleId="BalloonText">
    <w:name w:val="Balloon Text"/>
    <w:basedOn w:val="Normal"/>
    <w:link w:val="BalloonTextChar"/>
    <w:uiPriority w:val="99"/>
    <w:semiHidden/>
    <w:unhideWhenUsed/>
    <w:rsid w:val="00870E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2F62"/>
    <w:rPr>
      <w:rFonts w:ascii="Tahoma" w:eastAsia="Calibri" w:hAnsi="Tahoma" w:cs="Tahoma"/>
      <w:sz w:val="16"/>
      <w:szCs w:val="16"/>
      <w:lang w:eastAsia="en-US"/>
    </w:rPr>
  </w:style>
  <w:style w:type="paragraph" w:styleId="NoSpacing">
    <w:name w:val="No Spacing"/>
    <w:link w:val="NoSpacingChar"/>
    <w:uiPriority w:val="1"/>
    <w:qFormat/>
    <w:rsid w:val="00870E6F"/>
    <w:rPr>
      <w:sz w:val="22"/>
      <w:szCs w:val="22"/>
      <w:lang w:val="en-US" w:eastAsia="en-US"/>
    </w:rPr>
  </w:style>
  <w:style w:type="character" w:customStyle="1" w:styleId="NoSpacingChar">
    <w:name w:val="No Spacing Char"/>
    <w:basedOn w:val="DefaultParagraphFont"/>
    <w:link w:val="NoSpacing"/>
    <w:uiPriority w:val="1"/>
    <w:rsid w:val="00E02F62"/>
    <w:rPr>
      <w:sz w:val="22"/>
      <w:szCs w:val="22"/>
      <w:lang w:val="en-US" w:eastAsia="en-US" w:bidi="ar-SA"/>
    </w:rPr>
  </w:style>
  <w:style w:type="paragraph" w:styleId="TOCHeading">
    <w:name w:val="TOC Heading"/>
    <w:basedOn w:val="Heading1"/>
    <w:next w:val="Normal"/>
    <w:uiPriority w:val="39"/>
    <w:unhideWhenUsed/>
    <w:qFormat/>
    <w:rsid w:val="00870E6F"/>
    <w:pPr>
      <w:outlineLvl w:val="9"/>
    </w:pPr>
    <w:rPr>
      <w:lang w:val="en-US"/>
    </w:rPr>
  </w:style>
  <w:style w:type="paragraph" w:styleId="Header">
    <w:name w:val="header"/>
    <w:basedOn w:val="Normal"/>
    <w:link w:val="HeaderChar"/>
    <w:uiPriority w:val="99"/>
    <w:unhideWhenUsed/>
    <w:rsid w:val="00870E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2F62"/>
    <w:rPr>
      <w:rFonts w:eastAsia="Calibri"/>
      <w:lang w:eastAsia="en-US"/>
    </w:rPr>
  </w:style>
  <w:style w:type="paragraph" w:styleId="Footer">
    <w:name w:val="footer"/>
    <w:basedOn w:val="Normal"/>
    <w:link w:val="FooterChar"/>
    <w:uiPriority w:val="99"/>
    <w:unhideWhenUsed/>
    <w:rsid w:val="00870E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2F62"/>
    <w:rPr>
      <w:rFonts w:eastAsia="Calibri"/>
      <w:lang w:eastAsia="en-US"/>
    </w:rPr>
  </w:style>
  <w:style w:type="paragraph" w:customStyle="1" w:styleId="btbold">
    <w:name w:val="bt_bold"/>
    <w:basedOn w:val="bt"/>
    <w:next w:val="bt"/>
    <w:uiPriority w:val="1"/>
    <w:rsid w:val="00870E6F"/>
    <w:pPr>
      <w:spacing w:after="120"/>
    </w:pPr>
    <w:rPr>
      <w:b/>
    </w:rPr>
  </w:style>
  <w:style w:type="paragraph" w:customStyle="1" w:styleId="btindent">
    <w:name w:val="bt_indent"/>
    <w:basedOn w:val="bt"/>
    <w:next w:val="bt"/>
    <w:uiPriority w:val="1"/>
    <w:rsid w:val="00870E6F"/>
    <w:pPr>
      <w:ind w:left="709"/>
    </w:pPr>
  </w:style>
  <w:style w:type="paragraph" w:customStyle="1" w:styleId="btitalics">
    <w:name w:val="bt_italics"/>
    <w:basedOn w:val="bt"/>
    <w:next w:val="bt"/>
    <w:uiPriority w:val="1"/>
    <w:rsid w:val="00870E6F"/>
    <w:rPr>
      <w:i/>
    </w:rPr>
  </w:style>
  <w:style w:type="character" w:customStyle="1" w:styleId="bt-highlighttext">
    <w:name w:val="bt-highlight text"/>
    <w:basedOn w:val="DefaultParagraphFont"/>
    <w:uiPriority w:val="2"/>
    <w:rsid w:val="00870E6F"/>
    <w:rPr>
      <w:rFonts w:ascii="Calibri" w:hAnsi="Calibri"/>
      <w:color w:val="0000FF"/>
      <w:sz w:val="24"/>
      <w:lang w:eastAsia="en-US"/>
    </w:rPr>
  </w:style>
  <w:style w:type="paragraph" w:styleId="Caption">
    <w:name w:val="caption"/>
    <w:basedOn w:val="bt"/>
    <w:next w:val="bt"/>
    <w:qFormat/>
    <w:rsid w:val="00870E6F"/>
    <w:pPr>
      <w:keepNext/>
      <w:spacing w:after="180" w:line="240" w:lineRule="auto"/>
      <w:ind w:left="28" w:hanging="28"/>
    </w:pPr>
    <w:rPr>
      <w:rFonts w:ascii="Arial" w:hAnsi="Arial"/>
      <w:bCs/>
      <w:i/>
      <w:color w:val="333333"/>
      <w:szCs w:val="20"/>
    </w:rPr>
  </w:style>
  <w:style w:type="paragraph" w:styleId="CommentText">
    <w:name w:val="annotation text"/>
    <w:basedOn w:val="Normal"/>
    <w:link w:val="CommentTextChar"/>
    <w:uiPriority w:val="1"/>
    <w:semiHidden/>
    <w:rsid w:val="00870E6F"/>
    <w:pPr>
      <w:spacing w:after="0" w:line="240" w:lineRule="auto"/>
    </w:pPr>
    <w:rPr>
      <w:rFonts w:ascii="Arial" w:eastAsia="Times New Roman" w:hAnsi="Arial"/>
      <w:sz w:val="20"/>
      <w:szCs w:val="20"/>
      <w:lang w:eastAsia="en-AU"/>
    </w:rPr>
  </w:style>
  <w:style w:type="character" w:customStyle="1" w:styleId="CommentTextChar">
    <w:name w:val="Comment Text Char"/>
    <w:basedOn w:val="DefaultParagraphFont"/>
    <w:link w:val="CommentText"/>
    <w:uiPriority w:val="1"/>
    <w:semiHidden/>
    <w:rsid w:val="00870E6F"/>
    <w:rPr>
      <w:rFonts w:ascii="Arial" w:eastAsia="Times New Roman" w:hAnsi="Arial" w:cs="Times New Roman"/>
      <w:sz w:val="20"/>
      <w:szCs w:val="20"/>
    </w:rPr>
  </w:style>
  <w:style w:type="character" w:styleId="Emphasis">
    <w:name w:val="Emphasis"/>
    <w:basedOn w:val="DefaultParagraphFont"/>
    <w:qFormat/>
    <w:rsid w:val="00870E6F"/>
    <w:rPr>
      <w:rFonts w:ascii="Calibri" w:hAnsi="Calibri"/>
      <w:i/>
      <w:iCs/>
      <w:sz w:val="20"/>
    </w:rPr>
  </w:style>
  <w:style w:type="paragraph" w:customStyle="1" w:styleId="Heading11">
    <w:name w:val="Heading 1_1"/>
    <w:basedOn w:val="Heading1"/>
    <w:next w:val="bt"/>
    <w:qFormat/>
    <w:rsid w:val="00870E6F"/>
    <w:pPr>
      <w:numPr>
        <w:numId w:val="3"/>
      </w:numPr>
      <w:tabs>
        <w:tab w:val="clear" w:pos="851"/>
      </w:tabs>
      <w:spacing w:after="240"/>
    </w:pPr>
  </w:style>
  <w:style w:type="paragraph" w:customStyle="1" w:styleId="Heading2nonum">
    <w:name w:val="Heading 2_no num"/>
    <w:basedOn w:val="Heading2"/>
    <w:next w:val="bt"/>
    <w:uiPriority w:val="1"/>
    <w:qFormat/>
    <w:rsid w:val="00870E6F"/>
    <w:pPr>
      <w:numPr>
        <w:ilvl w:val="0"/>
        <w:numId w:val="0"/>
      </w:numPr>
    </w:pPr>
    <w:rPr>
      <w:b w:val="0"/>
      <w:lang w:eastAsia="en-US"/>
    </w:rPr>
  </w:style>
  <w:style w:type="paragraph" w:styleId="ListBullet">
    <w:name w:val="List Bullet"/>
    <w:basedOn w:val="bt"/>
    <w:uiPriority w:val="99"/>
    <w:qFormat/>
    <w:rsid w:val="00C73568"/>
    <w:pPr>
      <w:numPr>
        <w:numId w:val="4"/>
      </w:numPr>
      <w:ind w:left="756" w:hanging="189"/>
    </w:pPr>
  </w:style>
  <w:style w:type="paragraph" w:styleId="ListBullet2">
    <w:name w:val="List Bullet 2"/>
    <w:basedOn w:val="bt"/>
    <w:qFormat/>
    <w:rsid w:val="00FB040B"/>
    <w:pPr>
      <w:numPr>
        <w:numId w:val="5"/>
      </w:numPr>
      <w:ind w:left="1491" w:hanging="357"/>
    </w:pPr>
  </w:style>
  <w:style w:type="paragraph" w:styleId="ListBullet3">
    <w:name w:val="List Bullet 3"/>
    <w:basedOn w:val="bt"/>
    <w:uiPriority w:val="1"/>
    <w:rsid w:val="00870E6F"/>
    <w:pPr>
      <w:numPr>
        <w:numId w:val="6"/>
      </w:numPr>
    </w:pPr>
  </w:style>
  <w:style w:type="paragraph" w:styleId="ListContinue">
    <w:name w:val="List Continue"/>
    <w:basedOn w:val="Normal"/>
    <w:uiPriority w:val="1"/>
    <w:rsid w:val="00870E6F"/>
    <w:pPr>
      <w:spacing w:after="120" w:line="240" w:lineRule="auto"/>
      <w:ind w:left="283"/>
    </w:pPr>
    <w:rPr>
      <w:rFonts w:ascii="Arial" w:eastAsia="Times New Roman" w:hAnsi="Arial"/>
      <w:sz w:val="20"/>
      <w:szCs w:val="24"/>
      <w:lang w:eastAsia="en-AU"/>
    </w:rPr>
  </w:style>
  <w:style w:type="paragraph" w:styleId="ListContinue2">
    <w:name w:val="List Continue 2"/>
    <w:basedOn w:val="Normal"/>
    <w:uiPriority w:val="1"/>
    <w:qFormat/>
    <w:rsid w:val="00870E6F"/>
    <w:pPr>
      <w:spacing w:after="120" w:line="240" w:lineRule="auto"/>
      <w:ind w:left="566"/>
    </w:pPr>
    <w:rPr>
      <w:rFonts w:ascii="Arial" w:eastAsia="Times New Roman" w:hAnsi="Arial"/>
      <w:sz w:val="20"/>
      <w:szCs w:val="24"/>
      <w:lang w:eastAsia="en-AU"/>
    </w:rPr>
  </w:style>
  <w:style w:type="paragraph" w:styleId="ListContinue3">
    <w:name w:val="List Continue 3"/>
    <w:basedOn w:val="Normal"/>
    <w:uiPriority w:val="1"/>
    <w:qFormat/>
    <w:rsid w:val="00870E6F"/>
    <w:pPr>
      <w:spacing w:after="120" w:line="240" w:lineRule="auto"/>
      <w:ind w:left="849"/>
    </w:pPr>
    <w:rPr>
      <w:rFonts w:ascii="Arial" w:eastAsia="Times New Roman" w:hAnsi="Arial"/>
      <w:sz w:val="20"/>
      <w:szCs w:val="24"/>
      <w:lang w:eastAsia="en-AU"/>
    </w:rPr>
  </w:style>
  <w:style w:type="character" w:styleId="Strong">
    <w:name w:val="Strong"/>
    <w:basedOn w:val="DefaultParagraphFont"/>
    <w:qFormat/>
    <w:rsid w:val="00870E6F"/>
    <w:rPr>
      <w:rFonts w:ascii="Calibri" w:hAnsi="Calibri"/>
      <w:b/>
      <w:bCs/>
    </w:rPr>
  </w:style>
  <w:style w:type="paragraph" w:customStyle="1" w:styleId="Tabletext">
    <w:name w:val="Table text"/>
    <w:basedOn w:val="bt"/>
    <w:autoRedefine/>
    <w:qFormat/>
    <w:rsid w:val="00D9369A"/>
    <w:pPr>
      <w:spacing w:before="60" w:after="60" w:line="240" w:lineRule="auto"/>
    </w:pPr>
    <w:rPr>
      <w:rFonts w:ascii="Arial Narrow" w:hAnsi="Arial Narrow" w:cs="Calibri"/>
      <w:szCs w:val="20"/>
      <w:lang w:eastAsia="en-US"/>
    </w:rPr>
  </w:style>
  <w:style w:type="paragraph" w:customStyle="1" w:styleId="TabletextBold">
    <w:name w:val="Table text Bold"/>
    <w:basedOn w:val="Tabletext"/>
    <w:next w:val="Tabletext"/>
    <w:qFormat/>
    <w:rsid w:val="00870E6F"/>
    <w:rPr>
      <w:b/>
      <w:bCs/>
    </w:rPr>
  </w:style>
  <w:style w:type="paragraph" w:customStyle="1" w:styleId="tabletextbullet">
    <w:name w:val="table text bullet"/>
    <w:basedOn w:val="Normal"/>
    <w:qFormat/>
    <w:rsid w:val="00CE57DE"/>
    <w:pPr>
      <w:numPr>
        <w:numId w:val="11"/>
      </w:numPr>
      <w:spacing w:before="60" w:after="60" w:line="270" w:lineRule="exact"/>
    </w:pPr>
    <w:rPr>
      <w:rFonts w:ascii="Arial Narrow" w:eastAsia="Times New Roman" w:hAnsi="Arial Narrow"/>
      <w:sz w:val="20"/>
      <w:szCs w:val="20"/>
      <w:lang w:eastAsia="en-AU"/>
    </w:rPr>
  </w:style>
  <w:style w:type="paragraph" w:customStyle="1" w:styleId="tableheaderrow">
    <w:name w:val="table_header row"/>
    <w:basedOn w:val="Tabletext"/>
    <w:qFormat/>
    <w:rsid w:val="00870E6F"/>
    <w:rPr>
      <w:b/>
    </w:rPr>
  </w:style>
  <w:style w:type="paragraph" w:styleId="IntenseQuote">
    <w:name w:val="Intense Quote"/>
    <w:basedOn w:val="bt"/>
    <w:next w:val="bt"/>
    <w:link w:val="IntenseQuoteChar"/>
    <w:autoRedefine/>
    <w:uiPriority w:val="30"/>
    <w:qFormat/>
    <w:rsid w:val="00870E6F"/>
    <w:pPr>
      <w:pBdr>
        <w:bottom w:val="single" w:sz="4" w:space="4" w:color="76923C"/>
      </w:pBdr>
      <w:spacing w:before="200" w:after="280"/>
      <w:ind w:left="936" w:right="936"/>
    </w:pPr>
    <w:rPr>
      <w:bCs/>
      <w:i/>
      <w:iCs/>
      <w:color w:val="404040"/>
    </w:rPr>
  </w:style>
  <w:style w:type="character" w:customStyle="1" w:styleId="IntenseQuoteChar">
    <w:name w:val="Intense Quote Char"/>
    <w:basedOn w:val="DefaultParagraphFont"/>
    <w:link w:val="IntenseQuote"/>
    <w:uiPriority w:val="30"/>
    <w:rsid w:val="009320D2"/>
    <w:rPr>
      <w:rFonts w:ascii="Calibri" w:eastAsia="Times New Roman" w:hAnsi="Calibri" w:cs="Times New Roman"/>
      <w:bCs/>
      <w:i/>
      <w:iCs/>
      <w:color w:val="404040"/>
      <w:sz w:val="20"/>
      <w:szCs w:val="24"/>
    </w:rPr>
  </w:style>
  <w:style w:type="paragraph" w:customStyle="1" w:styleId="btbullet">
    <w:name w:val="bt_bullet"/>
    <w:basedOn w:val="bt"/>
    <w:uiPriority w:val="1"/>
    <w:rsid w:val="00870E6F"/>
    <w:pPr>
      <w:numPr>
        <w:numId w:val="2"/>
      </w:numPr>
      <w:spacing w:before="60" w:after="60" w:line="264" w:lineRule="auto"/>
    </w:pPr>
  </w:style>
  <w:style w:type="table" w:styleId="TableGrid">
    <w:name w:val="Table Grid"/>
    <w:basedOn w:val="TableNormal"/>
    <w:uiPriority w:val="59"/>
    <w:rsid w:val="00870E6F"/>
    <w:rPr>
      <w:rFonts w:eastAsia="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870E6F"/>
    <w:rPr>
      <w:rFonts w:eastAsia="Calibri"/>
      <w:color w:val="76923C"/>
      <w:lang w:eastAsia="en-US"/>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List-Accent3">
    <w:name w:val="Light List Accent 3"/>
    <w:basedOn w:val="TableNormal"/>
    <w:uiPriority w:val="61"/>
    <w:rsid w:val="00870E6F"/>
    <w:rPr>
      <w:rFonts w:eastAsia="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Grid-Accent3">
    <w:name w:val="Light Grid Accent 3"/>
    <w:basedOn w:val="TableNormal"/>
    <w:uiPriority w:val="62"/>
    <w:rsid w:val="00870E6F"/>
    <w:rPr>
      <w:rFonts w:eastAsia="Calibri"/>
      <w:lang w:eastAsia="en-US"/>
    </w:rPr>
    <w:tblPr>
      <w:tblStyleRowBandSize w:val="1"/>
      <w:tblStyleColBandSize w:val="1"/>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character" w:styleId="IntenseEmphasis">
    <w:name w:val="Intense Emphasis"/>
    <w:uiPriority w:val="21"/>
    <w:qFormat/>
    <w:rsid w:val="00FF5665"/>
    <w:rPr>
      <w:rFonts w:ascii="Calibri" w:hAnsi="Calibri"/>
      <w:b/>
      <w:i/>
      <w:sz w:val="20"/>
    </w:rPr>
  </w:style>
  <w:style w:type="paragraph" w:customStyle="1" w:styleId="source">
    <w:name w:val="source"/>
    <w:basedOn w:val="bt"/>
    <w:next w:val="bt"/>
    <w:qFormat/>
    <w:rsid w:val="00870E6F"/>
    <w:pPr>
      <w:spacing w:line="240" w:lineRule="auto"/>
    </w:pPr>
    <w:rPr>
      <w:i/>
      <w:sz w:val="18"/>
    </w:rPr>
  </w:style>
  <w:style w:type="paragraph" w:styleId="TOC1">
    <w:name w:val="toc 1"/>
    <w:basedOn w:val="Normal"/>
    <w:next w:val="Normal"/>
    <w:autoRedefine/>
    <w:uiPriority w:val="39"/>
    <w:unhideWhenUsed/>
    <w:rsid w:val="00870E6F"/>
    <w:pPr>
      <w:tabs>
        <w:tab w:val="left" w:pos="284"/>
        <w:tab w:val="left" w:pos="851"/>
        <w:tab w:val="right" w:leader="dot" w:pos="9016"/>
      </w:tabs>
      <w:spacing w:after="100"/>
    </w:pPr>
  </w:style>
  <w:style w:type="paragraph" w:styleId="TOC2">
    <w:name w:val="toc 2"/>
    <w:basedOn w:val="Normal"/>
    <w:next w:val="Normal"/>
    <w:autoRedefine/>
    <w:uiPriority w:val="39"/>
    <w:unhideWhenUsed/>
    <w:rsid w:val="00870E6F"/>
    <w:pPr>
      <w:tabs>
        <w:tab w:val="left" w:pos="567"/>
        <w:tab w:val="left" w:pos="993"/>
        <w:tab w:val="right" w:leader="dot" w:pos="9016"/>
      </w:tabs>
      <w:spacing w:after="100"/>
      <w:ind w:left="567"/>
    </w:pPr>
  </w:style>
  <w:style w:type="character" w:styleId="Hyperlink">
    <w:name w:val="Hyperlink"/>
    <w:basedOn w:val="DefaultParagraphFont"/>
    <w:uiPriority w:val="99"/>
    <w:unhideWhenUsed/>
    <w:rsid w:val="00870E6F"/>
    <w:rPr>
      <w:color w:val="0000FF"/>
      <w:u w:val="single"/>
    </w:rPr>
  </w:style>
  <w:style w:type="paragraph" w:styleId="TableofFigures">
    <w:name w:val="table of figures"/>
    <w:basedOn w:val="Normal"/>
    <w:next w:val="Normal"/>
    <w:uiPriority w:val="99"/>
    <w:unhideWhenUsed/>
    <w:rsid w:val="00870E6F"/>
    <w:pPr>
      <w:spacing w:after="0"/>
    </w:pPr>
  </w:style>
  <w:style w:type="paragraph" w:styleId="Title">
    <w:name w:val="Title"/>
    <w:basedOn w:val="bt"/>
    <w:next w:val="Subtitle"/>
    <w:link w:val="TitleChar"/>
    <w:uiPriority w:val="10"/>
    <w:qFormat/>
    <w:rsid w:val="00870E6F"/>
    <w:pPr>
      <w:spacing w:after="300" w:line="240" w:lineRule="auto"/>
      <w:contextualSpacing/>
    </w:pPr>
    <w:rPr>
      <w:spacing w:val="5"/>
      <w:kern w:val="28"/>
      <w:sz w:val="52"/>
      <w:szCs w:val="52"/>
    </w:rPr>
  </w:style>
  <w:style w:type="paragraph" w:styleId="Subtitle">
    <w:name w:val="Subtitle"/>
    <w:basedOn w:val="bt"/>
    <w:next w:val="bt"/>
    <w:link w:val="SubtitleChar"/>
    <w:uiPriority w:val="11"/>
    <w:qFormat/>
    <w:rsid w:val="00870E6F"/>
    <w:pPr>
      <w:numPr>
        <w:ilvl w:val="1"/>
      </w:numPr>
    </w:pPr>
    <w:rPr>
      <w:i/>
      <w:iCs/>
      <w:spacing w:val="15"/>
      <w:sz w:val="24"/>
    </w:rPr>
  </w:style>
  <w:style w:type="character" w:customStyle="1" w:styleId="SubtitleChar">
    <w:name w:val="Subtitle Char"/>
    <w:basedOn w:val="DefaultParagraphFont"/>
    <w:link w:val="Subtitle"/>
    <w:uiPriority w:val="11"/>
    <w:rsid w:val="00E93DDE"/>
    <w:rPr>
      <w:rFonts w:ascii="Calibri" w:eastAsia="Times New Roman" w:hAnsi="Calibri" w:cs="Times New Roman"/>
      <w:i/>
      <w:iCs/>
      <w:spacing w:val="15"/>
      <w:sz w:val="24"/>
      <w:szCs w:val="24"/>
    </w:rPr>
  </w:style>
  <w:style w:type="character" w:customStyle="1" w:styleId="TitleChar">
    <w:name w:val="Title Char"/>
    <w:basedOn w:val="DefaultParagraphFont"/>
    <w:link w:val="Title"/>
    <w:uiPriority w:val="10"/>
    <w:rsid w:val="00C8557A"/>
    <w:rPr>
      <w:rFonts w:ascii="Calibri" w:eastAsia="Times New Roman" w:hAnsi="Calibri" w:cs="Times New Roman"/>
      <w:spacing w:val="5"/>
      <w:kern w:val="28"/>
      <w:sz w:val="52"/>
      <w:szCs w:val="52"/>
    </w:rPr>
  </w:style>
  <w:style w:type="paragraph" w:styleId="TOC3">
    <w:name w:val="toc 3"/>
    <w:basedOn w:val="Normal"/>
    <w:next w:val="Normal"/>
    <w:autoRedefine/>
    <w:uiPriority w:val="39"/>
    <w:unhideWhenUsed/>
    <w:rsid w:val="00870E6F"/>
    <w:pPr>
      <w:tabs>
        <w:tab w:val="right" w:leader="dot" w:pos="9016"/>
      </w:tabs>
      <w:spacing w:after="100"/>
      <w:ind w:left="851"/>
    </w:pPr>
  </w:style>
  <w:style w:type="table" w:styleId="MediumShading1-Accent3">
    <w:name w:val="Medium Shading 1 Accent 3"/>
    <w:basedOn w:val="TableNormal"/>
    <w:uiPriority w:val="63"/>
    <w:rsid w:val="00870E6F"/>
    <w:rPr>
      <w:rFonts w:eastAsia="Calibri"/>
      <w:lang w:eastAsia="en-US"/>
    </w:rPr>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Grid3-Accent3">
    <w:name w:val="Medium Grid 3 Accent 3"/>
    <w:basedOn w:val="TableNormal"/>
    <w:uiPriority w:val="69"/>
    <w:rsid w:val="00870E6F"/>
    <w:rPr>
      <w:rFonts w:eastAsia="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character" w:styleId="FollowedHyperlink">
    <w:name w:val="FollowedHyperlink"/>
    <w:basedOn w:val="DefaultParagraphFont"/>
    <w:uiPriority w:val="99"/>
    <w:semiHidden/>
    <w:unhideWhenUsed/>
    <w:rsid w:val="00870E6F"/>
    <w:rPr>
      <w:color w:val="800080"/>
      <w:u w:val="single"/>
    </w:rPr>
  </w:style>
  <w:style w:type="paragraph" w:customStyle="1" w:styleId="btpicture">
    <w:name w:val="bt_picture"/>
    <w:basedOn w:val="bt"/>
    <w:next w:val="bt"/>
    <w:uiPriority w:val="1"/>
    <w:rsid w:val="00870E6F"/>
    <w:pPr>
      <w:spacing w:after="0" w:line="240" w:lineRule="auto"/>
    </w:pPr>
    <w:rPr>
      <w:sz w:val="18"/>
    </w:rPr>
  </w:style>
  <w:style w:type="paragraph" w:styleId="FootnoteText">
    <w:name w:val="footnote text"/>
    <w:basedOn w:val="Normal"/>
    <w:link w:val="FootnoteTextChar"/>
    <w:uiPriority w:val="99"/>
    <w:unhideWhenUsed/>
    <w:rsid w:val="00870E6F"/>
    <w:pPr>
      <w:spacing w:after="0" w:line="240" w:lineRule="auto"/>
    </w:pPr>
    <w:rPr>
      <w:rFonts w:eastAsia="Times New Roman"/>
      <w:sz w:val="20"/>
      <w:szCs w:val="20"/>
      <w:lang w:val="en-US"/>
    </w:rPr>
  </w:style>
  <w:style w:type="character" w:customStyle="1" w:styleId="FootnoteTextChar">
    <w:name w:val="Footnote Text Char"/>
    <w:basedOn w:val="DefaultParagraphFont"/>
    <w:link w:val="FootnoteText"/>
    <w:uiPriority w:val="99"/>
    <w:rsid w:val="00DD1150"/>
    <w:rPr>
      <w:sz w:val="20"/>
      <w:szCs w:val="20"/>
      <w:lang w:val="en-US" w:eastAsia="en-US"/>
    </w:rPr>
  </w:style>
  <w:style w:type="character" w:styleId="SubtleEmphasis">
    <w:name w:val="Subtle Emphasis"/>
    <w:basedOn w:val="DefaultParagraphFont"/>
    <w:uiPriority w:val="19"/>
    <w:qFormat/>
    <w:rsid w:val="00870E6F"/>
    <w:rPr>
      <w:rFonts w:eastAsia="Times New Roman" w:cs="Times New Roman"/>
      <w:bCs w:val="0"/>
      <w:i/>
      <w:iCs/>
      <w:color w:val="808080"/>
      <w:szCs w:val="22"/>
      <w:lang w:val="en-US"/>
    </w:rPr>
  </w:style>
  <w:style w:type="table" w:customStyle="1" w:styleId="LightShading-Accent11">
    <w:name w:val="Light Shading - Accent 11"/>
    <w:basedOn w:val="TableNormal"/>
    <w:uiPriority w:val="60"/>
    <w:rsid w:val="00870E6F"/>
    <w:rPr>
      <w:color w:val="365F91"/>
      <w:lang w:val="en-US" w:eastAsia="en-US" w:bidi="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Quote">
    <w:name w:val="Quote"/>
    <w:basedOn w:val="Normal"/>
    <w:next w:val="Normal"/>
    <w:link w:val="QuoteChar"/>
    <w:uiPriority w:val="29"/>
    <w:qFormat/>
    <w:rsid w:val="00870E6F"/>
    <w:rPr>
      <w:i/>
      <w:iCs/>
      <w:color w:val="000000"/>
    </w:rPr>
  </w:style>
  <w:style w:type="character" w:customStyle="1" w:styleId="QuoteChar">
    <w:name w:val="Quote Char"/>
    <w:basedOn w:val="DefaultParagraphFont"/>
    <w:link w:val="Quote"/>
    <w:uiPriority w:val="29"/>
    <w:rsid w:val="00803BD6"/>
    <w:rPr>
      <w:rFonts w:eastAsia="Calibri"/>
      <w:i/>
      <w:iCs/>
      <w:color w:val="000000"/>
      <w:lang w:eastAsia="en-US"/>
    </w:rPr>
  </w:style>
  <w:style w:type="paragraph" w:styleId="ListParagraph">
    <w:name w:val="List Paragraph"/>
    <w:basedOn w:val="Normal"/>
    <w:uiPriority w:val="34"/>
    <w:qFormat/>
    <w:rsid w:val="00D9369A"/>
    <w:pPr>
      <w:ind w:left="720"/>
      <w:contextualSpacing/>
    </w:pPr>
    <w:rPr>
      <w:sz w:val="20"/>
    </w:rPr>
  </w:style>
  <w:style w:type="character" w:styleId="SubtleReference">
    <w:name w:val="Subtle Reference"/>
    <w:basedOn w:val="DefaultParagraphFont"/>
    <w:uiPriority w:val="31"/>
    <w:qFormat/>
    <w:rsid w:val="00870E6F"/>
    <w:rPr>
      <w:smallCaps/>
      <w:color w:val="C0504D"/>
      <w:u w:val="single"/>
    </w:rPr>
  </w:style>
  <w:style w:type="character" w:styleId="IntenseReference">
    <w:name w:val="Intense Reference"/>
    <w:basedOn w:val="DefaultParagraphFont"/>
    <w:uiPriority w:val="32"/>
    <w:qFormat/>
    <w:rsid w:val="00870E6F"/>
    <w:rPr>
      <w:b/>
      <w:bCs/>
      <w:smallCaps/>
      <w:color w:val="C0504D"/>
      <w:spacing w:val="5"/>
      <w:u w:val="single"/>
    </w:rPr>
  </w:style>
  <w:style w:type="table" w:styleId="LightShading-Accent5">
    <w:name w:val="Light Shading Accent 5"/>
    <w:basedOn w:val="TableNormal"/>
    <w:uiPriority w:val="60"/>
    <w:rsid w:val="00870E6F"/>
    <w:rPr>
      <w:rFonts w:eastAsia="Calibri"/>
      <w:color w:val="31849B"/>
      <w:lang w:eastAsia="en-US"/>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LightShading1">
    <w:name w:val="Light Shading1"/>
    <w:basedOn w:val="TableNormal"/>
    <w:uiPriority w:val="60"/>
    <w:rsid w:val="00870E6F"/>
    <w:rPr>
      <w:rFonts w:eastAsia="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List11">
    <w:name w:val="Medium List 11"/>
    <w:basedOn w:val="TableNormal"/>
    <w:uiPriority w:val="65"/>
    <w:rsid w:val="00870E6F"/>
    <w:rPr>
      <w:rFonts w:eastAsia="Calibri"/>
      <w:color w:val="000000"/>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ghtShading-Accent4">
    <w:name w:val="Light Shading Accent 4"/>
    <w:basedOn w:val="TableNormal"/>
    <w:uiPriority w:val="60"/>
    <w:rsid w:val="00870E6F"/>
    <w:rPr>
      <w:rFonts w:eastAsia="Calibri"/>
      <w:color w:val="5F497A"/>
      <w:lang w:eastAsia="en-US"/>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2">
    <w:name w:val="Light Shading Accent 2"/>
    <w:basedOn w:val="TableNormal"/>
    <w:uiPriority w:val="60"/>
    <w:rsid w:val="00870E6F"/>
    <w:rPr>
      <w:rFonts w:eastAsia="Calibri"/>
      <w:color w:val="943634"/>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paragraph" w:styleId="ListNumber">
    <w:name w:val="List Number"/>
    <w:basedOn w:val="bt"/>
    <w:unhideWhenUsed/>
    <w:qFormat/>
    <w:rsid w:val="00870E6F"/>
    <w:pPr>
      <w:numPr>
        <w:numId w:val="7"/>
      </w:numPr>
      <w:contextualSpacing/>
    </w:pPr>
  </w:style>
  <w:style w:type="paragraph" w:styleId="ListNumber2">
    <w:name w:val="List Number 2"/>
    <w:basedOn w:val="bt"/>
    <w:uiPriority w:val="99"/>
    <w:unhideWhenUsed/>
    <w:qFormat/>
    <w:rsid w:val="00870E6F"/>
    <w:pPr>
      <w:numPr>
        <w:numId w:val="8"/>
      </w:numPr>
      <w:contextualSpacing/>
    </w:pPr>
  </w:style>
  <w:style w:type="paragraph" w:styleId="ListNumber3">
    <w:name w:val="List Number 3"/>
    <w:basedOn w:val="bt"/>
    <w:uiPriority w:val="99"/>
    <w:unhideWhenUsed/>
    <w:qFormat/>
    <w:rsid w:val="00870E6F"/>
    <w:pPr>
      <w:numPr>
        <w:numId w:val="9"/>
      </w:numPr>
      <w:contextualSpacing/>
    </w:pPr>
  </w:style>
  <w:style w:type="paragraph" w:styleId="ListNumber4">
    <w:name w:val="List Number 4"/>
    <w:basedOn w:val="bt"/>
    <w:uiPriority w:val="99"/>
    <w:unhideWhenUsed/>
    <w:qFormat/>
    <w:rsid w:val="00870E6F"/>
    <w:pPr>
      <w:numPr>
        <w:numId w:val="10"/>
      </w:numPr>
      <w:tabs>
        <w:tab w:val="left" w:pos="1701"/>
      </w:tabs>
      <w:contextualSpacing/>
    </w:pPr>
  </w:style>
  <w:style w:type="table" w:customStyle="1" w:styleId="MediumGrid31">
    <w:name w:val="Medium Grid 31"/>
    <w:basedOn w:val="TableNormal"/>
    <w:uiPriority w:val="69"/>
    <w:rsid w:val="00870E6F"/>
    <w:rPr>
      <w:rFonts w:eastAsia="Calibri"/>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1-Accent5">
    <w:name w:val="Medium Shading 1 Accent 5"/>
    <w:basedOn w:val="TableNormal"/>
    <w:uiPriority w:val="63"/>
    <w:rsid w:val="00870E6F"/>
    <w:rPr>
      <w:rFonts w:eastAsia="Calibri"/>
      <w:lang w:eastAsia="en-US"/>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customStyle="1" w:styleId="bttextbox">
    <w:name w:val="bt_textbox"/>
    <w:basedOn w:val="bt"/>
    <w:uiPriority w:val="1"/>
    <w:rsid w:val="00870E6F"/>
  </w:style>
  <w:style w:type="paragraph" w:customStyle="1" w:styleId="Default">
    <w:name w:val="Default"/>
    <w:rsid w:val="00870E6F"/>
    <w:pPr>
      <w:autoSpaceDE w:val="0"/>
      <w:autoSpaceDN w:val="0"/>
      <w:adjustRightInd w:val="0"/>
    </w:pPr>
    <w:rPr>
      <w:rFonts w:ascii="DIN" w:eastAsia="Calibri" w:hAnsi="DIN" w:cs="DIN"/>
      <w:color w:val="000000"/>
      <w:sz w:val="24"/>
      <w:szCs w:val="24"/>
      <w:lang w:eastAsia="en-US"/>
    </w:rPr>
  </w:style>
  <w:style w:type="paragraph" w:styleId="TOC4">
    <w:name w:val="toc 4"/>
    <w:basedOn w:val="Normal"/>
    <w:next w:val="Normal"/>
    <w:autoRedefine/>
    <w:uiPriority w:val="39"/>
    <w:unhideWhenUsed/>
    <w:rsid w:val="00870E6F"/>
    <w:pPr>
      <w:spacing w:after="100"/>
      <w:ind w:left="660"/>
    </w:pPr>
    <w:rPr>
      <w:rFonts w:eastAsia="Times New Roman"/>
      <w:lang w:eastAsia="en-AU"/>
    </w:rPr>
  </w:style>
  <w:style w:type="paragraph" w:styleId="TOC5">
    <w:name w:val="toc 5"/>
    <w:basedOn w:val="Normal"/>
    <w:next w:val="Normal"/>
    <w:autoRedefine/>
    <w:uiPriority w:val="39"/>
    <w:unhideWhenUsed/>
    <w:rsid w:val="00870E6F"/>
    <w:pPr>
      <w:spacing w:after="100"/>
      <w:ind w:left="880"/>
    </w:pPr>
    <w:rPr>
      <w:rFonts w:eastAsia="Times New Roman"/>
      <w:lang w:eastAsia="en-AU"/>
    </w:rPr>
  </w:style>
  <w:style w:type="paragraph" w:styleId="TOC6">
    <w:name w:val="toc 6"/>
    <w:basedOn w:val="Normal"/>
    <w:next w:val="Normal"/>
    <w:autoRedefine/>
    <w:uiPriority w:val="39"/>
    <w:unhideWhenUsed/>
    <w:rsid w:val="00870E6F"/>
    <w:pPr>
      <w:spacing w:after="100"/>
      <w:ind w:left="1100"/>
    </w:pPr>
    <w:rPr>
      <w:rFonts w:eastAsia="Times New Roman"/>
      <w:lang w:eastAsia="en-AU"/>
    </w:rPr>
  </w:style>
  <w:style w:type="paragraph" w:styleId="TOC7">
    <w:name w:val="toc 7"/>
    <w:basedOn w:val="Normal"/>
    <w:next w:val="Normal"/>
    <w:autoRedefine/>
    <w:uiPriority w:val="39"/>
    <w:unhideWhenUsed/>
    <w:rsid w:val="00870E6F"/>
    <w:pPr>
      <w:spacing w:after="100"/>
      <w:ind w:left="1320"/>
    </w:pPr>
    <w:rPr>
      <w:rFonts w:eastAsia="Times New Roman"/>
      <w:lang w:eastAsia="en-AU"/>
    </w:rPr>
  </w:style>
  <w:style w:type="paragraph" w:styleId="TOC8">
    <w:name w:val="toc 8"/>
    <w:basedOn w:val="Normal"/>
    <w:next w:val="Normal"/>
    <w:autoRedefine/>
    <w:uiPriority w:val="39"/>
    <w:unhideWhenUsed/>
    <w:rsid w:val="00870E6F"/>
    <w:pPr>
      <w:spacing w:after="100"/>
      <w:ind w:left="1540"/>
    </w:pPr>
    <w:rPr>
      <w:rFonts w:eastAsia="Times New Roman"/>
      <w:lang w:eastAsia="en-AU"/>
    </w:rPr>
  </w:style>
  <w:style w:type="paragraph" w:styleId="TOC9">
    <w:name w:val="toc 9"/>
    <w:basedOn w:val="Normal"/>
    <w:next w:val="Normal"/>
    <w:autoRedefine/>
    <w:uiPriority w:val="39"/>
    <w:unhideWhenUsed/>
    <w:rsid w:val="00870E6F"/>
    <w:pPr>
      <w:spacing w:after="100"/>
      <w:ind w:left="1760"/>
    </w:pPr>
    <w:rPr>
      <w:rFonts w:eastAsia="Times New Roman"/>
      <w:lang w:eastAsia="en-AU"/>
    </w:rPr>
  </w:style>
  <w:style w:type="paragraph" w:styleId="NormalWeb">
    <w:name w:val="Normal (Web)"/>
    <w:basedOn w:val="Normal"/>
    <w:uiPriority w:val="99"/>
    <w:semiHidden/>
    <w:unhideWhenUsed/>
    <w:rsid w:val="00870E6F"/>
    <w:pPr>
      <w:spacing w:before="100" w:beforeAutospacing="1" w:after="100" w:afterAutospacing="1" w:line="240" w:lineRule="auto"/>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870E6F"/>
    <w:rPr>
      <w:sz w:val="16"/>
      <w:szCs w:val="16"/>
    </w:rPr>
  </w:style>
  <w:style w:type="paragraph" w:styleId="CommentSubject">
    <w:name w:val="annotation subject"/>
    <w:basedOn w:val="CommentText"/>
    <w:next w:val="CommentText"/>
    <w:link w:val="CommentSubjectChar"/>
    <w:uiPriority w:val="99"/>
    <w:semiHidden/>
    <w:unhideWhenUsed/>
    <w:rsid w:val="00870E6F"/>
    <w:pPr>
      <w:spacing w:after="200"/>
    </w:pPr>
    <w:rPr>
      <w:rFonts w:ascii="Calibri" w:eastAsia="Calibri" w:hAnsi="Calibri"/>
      <w:b/>
      <w:bCs/>
      <w:lang w:eastAsia="en-US"/>
    </w:rPr>
  </w:style>
  <w:style w:type="character" w:customStyle="1" w:styleId="CommentSubjectChar">
    <w:name w:val="Comment Subject Char"/>
    <w:basedOn w:val="CommentTextChar"/>
    <w:link w:val="CommentSubject"/>
    <w:uiPriority w:val="99"/>
    <w:semiHidden/>
    <w:rsid w:val="00B67FA4"/>
    <w:rPr>
      <w:rFonts w:ascii="Arial" w:eastAsia="Calibri" w:hAnsi="Arial" w:cs="Times New Roman"/>
      <w:b/>
      <w:bCs/>
      <w:sz w:val="20"/>
      <w:szCs w:val="20"/>
      <w:lang w:eastAsia="en-US"/>
    </w:rPr>
  </w:style>
  <w:style w:type="character" w:styleId="PlaceholderText">
    <w:name w:val="Placeholder Text"/>
    <w:basedOn w:val="DefaultParagraphFont"/>
    <w:uiPriority w:val="99"/>
    <w:semiHidden/>
    <w:rsid w:val="00870E6F"/>
    <w:rPr>
      <w:color w:val="808080"/>
    </w:rPr>
  </w:style>
  <w:style w:type="character" w:styleId="FootnoteReference">
    <w:name w:val="footnote reference"/>
    <w:basedOn w:val="DefaultParagraphFont"/>
    <w:uiPriority w:val="99"/>
    <w:semiHidden/>
    <w:unhideWhenUsed/>
    <w:rsid w:val="00C50B07"/>
    <w:rPr>
      <w:vertAlign w:val="superscript"/>
    </w:rPr>
  </w:style>
  <w:style w:type="paragraph" w:styleId="Revision">
    <w:name w:val="Revision"/>
    <w:hidden/>
    <w:uiPriority w:val="99"/>
    <w:semiHidden/>
    <w:rsid w:val="000E3D56"/>
    <w:rPr>
      <w:sz w:val="22"/>
      <w:szCs w:val="22"/>
    </w:rPr>
  </w:style>
  <w:style w:type="character" w:customStyle="1" w:styleId="btChar">
    <w:name w:val="bt Char"/>
    <w:basedOn w:val="DefaultParagraphFont"/>
    <w:link w:val="bt"/>
    <w:rsid w:val="00B776AC"/>
    <w:rPr>
      <w:szCs w:val="24"/>
      <w:lang w:val="en-AU" w:eastAsia="en-AU" w:bidi="ar-SA"/>
    </w:rPr>
  </w:style>
  <w:style w:type="paragraph" w:styleId="EndnoteText">
    <w:name w:val="endnote text"/>
    <w:basedOn w:val="Normal"/>
    <w:link w:val="EndnoteTextChar"/>
    <w:uiPriority w:val="99"/>
    <w:semiHidden/>
    <w:unhideWhenUsed/>
    <w:rsid w:val="00E7152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71524"/>
    <w:rPr>
      <w:sz w:val="20"/>
      <w:szCs w:val="20"/>
    </w:rPr>
  </w:style>
  <w:style w:type="character" w:styleId="EndnoteReference">
    <w:name w:val="endnote reference"/>
    <w:basedOn w:val="DefaultParagraphFont"/>
    <w:uiPriority w:val="99"/>
    <w:semiHidden/>
    <w:unhideWhenUsed/>
    <w:rsid w:val="00E71524"/>
    <w:rPr>
      <w:vertAlign w:val="superscript"/>
    </w:rPr>
  </w:style>
  <w:style w:type="paragraph" w:customStyle="1" w:styleId="HeadingBlue">
    <w:name w:val="HeadingBlue"/>
    <w:basedOn w:val="bt"/>
    <w:link w:val="HeadingBlueChar"/>
    <w:uiPriority w:val="1"/>
    <w:qFormat/>
    <w:rsid w:val="00F50F1A"/>
    <w:pPr>
      <w:spacing w:before="0" w:after="120"/>
    </w:pPr>
    <w:rPr>
      <w:b/>
      <w:bCs/>
      <w:color w:val="548DD4"/>
      <w:sz w:val="34"/>
      <w:szCs w:val="28"/>
      <w:lang w:val="en-US" w:eastAsia="en-US"/>
    </w:rPr>
  </w:style>
  <w:style w:type="paragraph" w:customStyle="1" w:styleId="StrongEmphasis">
    <w:name w:val="StrongEmphasis"/>
    <w:basedOn w:val="bt"/>
    <w:link w:val="StrongEmphasisChar"/>
    <w:uiPriority w:val="1"/>
    <w:qFormat/>
    <w:rsid w:val="00FF5665"/>
    <w:rPr>
      <w:i/>
    </w:rPr>
  </w:style>
  <w:style w:type="character" w:customStyle="1" w:styleId="HeadingBlueChar">
    <w:name w:val="HeadingBlue Char"/>
    <w:basedOn w:val="btChar"/>
    <w:link w:val="HeadingBlue"/>
    <w:uiPriority w:val="1"/>
    <w:rsid w:val="00F50F1A"/>
    <w:rPr>
      <w:b/>
      <w:bCs/>
      <w:color w:val="548DD4"/>
      <w:sz w:val="34"/>
      <w:szCs w:val="28"/>
      <w:lang w:val="en-US" w:eastAsia="en-US" w:bidi="ar-SA"/>
    </w:rPr>
  </w:style>
  <w:style w:type="character" w:customStyle="1" w:styleId="StrongEmphasisChar">
    <w:name w:val="StrongEmphasis Char"/>
    <w:basedOn w:val="btChar"/>
    <w:link w:val="StrongEmphasis"/>
    <w:uiPriority w:val="1"/>
    <w:rsid w:val="00FF5665"/>
    <w:rPr>
      <w:i/>
      <w:szCs w:val="24"/>
      <w:lang w:val="en-AU" w:eastAsia="en-AU" w:bidi="ar-SA"/>
    </w:rPr>
  </w:style>
  <w:style w:type="paragraph" w:customStyle="1" w:styleId="BodyText1">
    <w:name w:val="Body Text1"/>
    <w:basedOn w:val="Normal"/>
    <w:link w:val="BodytextChar"/>
    <w:rsid w:val="0045149E"/>
    <w:pPr>
      <w:spacing w:line="240" w:lineRule="auto"/>
    </w:pPr>
    <w:rPr>
      <w:rFonts w:ascii="Arial" w:eastAsia="Times New Roman" w:hAnsi="Arial"/>
      <w:sz w:val="20"/>
      <w:szCs w:val="24"/>
      <w:lang w:eastAsia="en-AU"/>
    </w:rPr>
  </w:style>
  <w:style w:type="character" w:customStyle="1" w:styleId="BodytextChar">
    <w:name w:val="Body text Char"/>
    <w:basedOn w:val="DefaultParagraphFont"/>
    <w:link w:val="BodyText1"/>
    <w:rsid w:val="0045149E"/>
    <w:rPr>
      <w:rFonts w:ascii="Arial" w:eastAsia="Times New Roman" w:hAnsi="Arial" w:cs="Times New Roman"/>
      <w:sz w:val="20"/>
      <w:szCs w:val="24"/>
    </w:rPr>
  </w:style>
</w:styles>
</file>

<file path=word/webSettings.xml><?xml version="1.0" encoding="utf-8"?>
<w:webSettings xmlns:r="http://schemas.openxmlformats.org/officeDocument/2006/relationships" xmlns:w="http://schemas.openxmlformats.org/wordprocessingml/2006/main">
  <w:divs>
    <w:div w:id="328212409">
      <w:bodyDiv w:val="1"/>
      <w:marLeft w:val="0"/>
      <w:marRight w:val="0"/>
      <w:marTop w:val="0"/>
      <w:marBottom w:val="0"/>
      <w:divBdr>
        <w:top w:val="none" w:sz="0" w:space="0" w:color="auto"/>
        <w:left w:val="none" w:sz="0" w:space="0" w:color="auto"/>
        <w:bottom w:val="none" w:sz="0" w:space="0" w:color="auto"/>
        <w:right w:val="none" w:sz="0" w:space="0" w:color="auto"/>
      </w:divBdr>
    </w:div>
    <w:div w:id="756947737">
      <w:bodyDiv w:val="1"/>
      <w:marLeft w:val="0"/>
      <w:marRight w:val="0"/>
      <w:marTop w:val="0"/>
      <w:marBottom w:val="0"/>
      <w:divBdr>
        <w:top w:val="none" w:sz="0" w:space="0" w:color="auto"/>
        <w:left w:val="none" w:sz="0" w:space="0" w:color="auto"/>
        <w:bottom w:val="none" w:sz="0" w:space="0" w:color="auto"/>
        <w:right w:val="none" w:sz="0" w:space="0" w:color="auto"/>
      </w:divBdr>
    </w:div>
    <w:div w:id="1087729604">
      <w:bodyDiv w:val="1"/>
      <w:marLeft w:val="0"/>
      <w:marRight w:val="0"/>
      <w:marTop w:val="0"/>
      <w:marBottom w:val="0"/>
      <w:divBdr>
        <w:top w:val="none" w:sz="0" w:space="0" w:color="auto"/>
        <w:left w:val="none" w:sz="0" w:space="0" w:color="auto"/>
        <w:bottom w:val="none" w:sz="0" w:space="0" w:color="auto"/>
        <w:right w:val="none" w:sz="0" w:space="0" w:color="auto"/>
      </w:divBdr>
    </w:div>
    <w:div w:id="1165172242">
      <w:bodyDiv w:val="1"/>
      <w:marLeft w:val="0"/>
      <w:marRight w:val="0"/>
      <w:marTop w:val="0"/>
      <w:marBottom w:val="0"/>
      <w:divBdr>
        <w:top w:val="none" w:sz="0" w:space="0" w:color="auto"/>
        <w:left w:val="none" w:sz="0" w:space="0" w:color="auto"/>
        <w:bottom w:val="none" w:sz="0" w:space="0" w:color="auto"/>
        <w:right w:val="none" w:sz="0" w:space="0" w:color="auto"/>
      </w:divBdr>
    </w:div>
    <w:div w:id="1507138523">
      <w:bodyDiv w:val="1"/>
      <w:marLeft w:val="0"/>
      <w:marRight w:val="0"/>
      <w:marTop w:val="0"/>
      <w:marBottom w:val="0"/>
      <w:divBdr>
        <w:top w:val="none" w:sz="0" w:space="0" w:color="auto"/>
        <w:left w:val="none" w:sz="0" w:space="0" w:color="auto"/>
        <w:bottom w:val="none" w:sz="0" w:space="0" w:color="auto"/>
        <w:right w:val="none" w:sz="0" w:space="0" w:color="auto"/>
      </w:divBdr>
    </w:div>
    <w:div w:id="1588266244">
      <w:bodyDiv w:val="1"/>
      <w:marLeft w:val="0"/>
      <w:marRight w:val="0"/>
      <w:marTop w:val="0"/>
      <w:marBottom w:val="0"/>
      <w:divBdr>
        <w:top w:val="none" w:sz="0" w:space="0" w:color="auto"/>
        <w:left w:val="none" w:sz="0" w:space="0" w:color="auto"/>
        <w:bottom w:val="none" w:sz="0" w:space="0" w:color="auto"/>
        <w:right w:val="none" w:sz="0" w:space="0" w:color="auto"/>
      </w:divBdr>
    </w:div>
    <w:div w:id="1673025044">
      <w:bodyDiv w:val="1"/>
      <w:marLeft w:val="0"/>
      <w:marRight w:val="0"/>
      <w:marTop w:val="0"/>
      <w:marBottom w:val="0"/>
      <w:divBdr>
        <w:top w:val="none" w:sz="0" w:space="0" w:color="auto"/>
        <w:left w:val="none" w:sz="0" w:space="0" w:color="auto"/>
        <w:bottom w:val="none" w:sz="0" w:space="0" w:color="auto"/>
        <w:right w:val="none" w:sz="0" w:space="0" w:color="auto"/>
      </w:divBdr>
    </w:div>
    <w:div w:id="1963806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tpli.vic.gov.au/regionalgrowthplans" TargetMode="External"/><Relationship Id="rId13" Type="http://schemas.openxmlformats.org/officeDocument/2006/relationships/footer" Target="footer1.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tyles" Target="styles.xml"/><Relationship Id="rId21" Type="http://schemas.openxmlformats.org/officeDocument/2006/relationships/hyperlink" Target="http://www.dtpli.vic.gov.au/regionalgrowthplan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3.xml"/><Relationship Id="rId25"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fontTable" Target="fontTable.xml"/><Relationship Id="rId10" Type="http://schemas.openxmlformats.org/officeDocument/2006/relationships/hyperlink" Target="http://www.dtpli.vic.gov.au/regionalgrowthplans"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header" Target="header13.xml"/><Relationship Id="rId48"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C607-0AF5-48AC-B587-A60533A5C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66</Pages>
  <Words>28781</Words>
  <Characters>164053</Characters>
  <Application>Microsoft Office Word</Application>
  <DocSecurity>0</DocSecurity>
  <Lines>1367</Lines>
  <Paragraphs>384</Paragraphs>
  <ScaleCrop>false</ScaleCrop>
  <HeadingPairs>
    <vt:vector size="2" baseType="variant">
      <vt:variant>
        <vt:lpstr>Title</vt:lpstr>
      </vt:variant>
      <vt:variant>
        <vt:i4>1</vt:i4>
      </vt:variant>
    </vt:vector>
  </HeadingPairs>
  <TitlesOfParts>
    <vt:vector size="1" baseType="lpstr">
      <vt:lpstr/>
    </vt:vector>
  </TitlesOfParts>
  <Company>CenITex</Company>
  <LinksUpToDate>false</LinksUpToDate>
  <CharactersWithSpaces>192450</CharactersWithSpaces>
  <SharedDoc>false</SharedDoc>
  <HLinks>
    <vt:vector size="324" baseType="variant">
      <vt:variant>
        <vt:i4>1638457</vt:i4>
      </vt:variant>
      <vt:variant>
        <vt:i4>338</vt:i4>
      </vt:variant>
      <vt:variant>
        <vt:i4>0</vt:i4>
      </vt:variant>
      <vt:variant>
        <vt:i4>5</vt:i4>
      </vt:variant>
      <vt:variant>
        <vt:lpwstr/>
      </vt:variant>
      <vt:variant>
        <vt:lpwstr>_Toc358229002</vt:lpwstr>
      </vt:variant>
      <vt:variant>
        <vt:i4>1638457</vt:i4>
      </vt:variant>
      <vt:variant>
        <vt:i4>332</vt:i4>
      </vt:variant>
      <vt:variant>
        <vt:i4>0</vt:i4>
      </vt:variant>
      <vt:variant>
        <vt:i4>5</vt:i4>
      </vt:variant>
      <vt:variant>
        <vt:lpwstr/>
      </vt:variant>
      <vt:variant>
        <vt:lpwstr>_Toc358229001</vt:lpwstr>
      </vt:variant>
      <vt:variant>
        <vt:i4>1638457</vt:i4>
      </vt:variant>
      <vt:variant>
        <vt:i4>326</vt:i4>
      </vt:variant>
      <vt:variant>
        <vt:i4>0</vt:i4>
      </vt:variant>
      <vt:variant>
        <vt:i4>5</vt:i4>
      </vt:variant>
      <vt:variant>
        <vt:lpwstr/>
      </vt:variant>
      <vt:variant>
        <vt:lpwstr>_Toc358229000</vt:lpwstr>
      </vt:variant>
      <vt:variant>
        <vt:i4>1114160</vt:i4>
      </vt:variant>
      <vt:variant>
        <vt:i4>320</vt:i4>
      </vt:variant>
      <vt:variant>
        <vt:i4>0</vt:i4>
      </vt:variant>
      <vt:variant>
        <vt:i4>5</vt:i4>
      </vt:variant>
      <vt:variant>
        <vt:lpwstr/>
      </vt:variant>
      <vt:variant>
        <vt:lpwstr>_Toc358228999</vt:lpwstr>
      </vt:variant>
      <vt:variant>
        <vt:i4>1114160</vt:i4>
      </vt:variant>
      <vt:variant>
        <vt:i4>314</vt:i4>
      </vt:variant>
      <vt:variant>
        <vt:i4>0</vt:i4>
      </vt:variant>
      <vt:variant>
        <vt:i4>5</vt:i4>
      </vt:variant>
      <vt:variant>
        <vt:lpwstr/>
      </vt:variant>
      <vt:variant>
        <vt:lpwstr>_Toc358228998</vt:lpwstr>
      </vt:variant>
      <vt:variant>
        <vt:i4>1114160</vt:i4>
      </vt:variant>
      <vt:variant>
        <vt:i4>308</vt:i4>
      </vt:variant>
      <vt:variant>
        <vt:i4>0</vt:i4>
      </vt:variant>
      <vt:variant>
        <vt:i4>5</vt:i4>
      </vt:variant>
      <vt:variant>
        <vt:lpwstr/>
      </vt:variant>
      <vt:variant>
        <vt:lpwstr>_Toc358228997</vt:lpwstr>
      </vt:variant>
      <vt:variant>
        <vt:i4>1114160</vt:i4>
      </vt:variant>
      <vt:variant>
        <vt:i4>302</vt:i4>
      </vt:variant>
      <vt:variant>
        <vt:i4>0</vt:i4>
      </vt:variant>
      <vt:variant>
        <vt:i4>5</vt:i4>
      </vt:variant>
      <vt:variant>
        <vt:lpwstr/>
      </vt:variant>
      <vt:variant>
        <vt:lpwstr>_Toc358228996</vt:lpwstr>
      </vt:variant>
      <vt:variant>
        <vt:i4>1114160</vt:i4>
      </vt:variant>
      <vt:variant>
        <vt:i4>296</vt:i4>
      </vt:variant>
      <vt:variant>
        <vt:i4>0</vt:i4>
      </vt:variant>
      <vt:variant>
        <vt:i4>5</vt:i4>
      </vt:variant>
      <vt:variant>
        <vt:lpwstr/>
      </vt:variant>
      <vt:variant>
        <vt:lpwstr>_Toc358228995</vt:lpwstr>
      </vt:variant>
      <vt:variant>
        <vt:i4>1114160</vt:i4>
      </vt:variant>
      <vt:variant>
        <vt:i4>290</vt:i4>
      </vt:variant>
      <vt:variant>
        <vt:i4>0</vt:i4>
      </vt:variant>
      <vt:variant>
        <vt:i4>5</vt:i4>
      </vt:variant>
      <vt:variant>
        <vt:lpwstr/>
      </vt:variant>
      <vt:variant>
        <vt:lpwstr>_Toc358228994</vt:lpwstr>
      </vt:variant>
      <vt:variant>
        <vt:i4>1114160</vt:i4>
      </vt:variant>
      <vt:variant>
        <vt:i4>284</vt:i4>
      </vt:variant>
      <vt:variant>
        <vt:i4>0</vt:i4>
      </vt:variant>
      <vt:variant>
        <vt:i4>5</vt:i4>
      </vt:variant>
      <vt:variant>
        <vt:lpwstr/>
      </vt:variant>
      <vt:variant>
        <vt:lpwstr>_Toc358228993</vt:lpwstr>
      </vt:variant>
      <vt:variant>
        <vt:i4>1114160</vt:i4>
      </vt:variant>
      <vt:variant>
        <vt:i4>278</vt:i4>
      </vt:variant>
      <vt:variant>
        <vt:i4>0</vt:i4>
      </vt:variant>
      <vt:variant>
        <vt:i4>5</vt:i4>
      </vt:variant>
      <vt:variant>
        <vt:lpwstr/>
      </vt:variant>
      <vt:variant>
        <vt:lpwstr>_Toc358228992</vt:lpwstr>
      </vt:variant>
      <vt:variant>
        <vt:i4>1114160</vt:i4>
      </vt:variant>
      <vt:variant>
        <vt:i4>272</vt:i4>
      </vt:variant>
      <vt:variant>
        <vt:i4>0</vt:i4>
      </vt:variant>
      <vt:variant>
        <vt:i4>5</vt:i4>
      </vt:variant>
      <vt:variant>
        <vt:lpwstr/>
      </vt:variant>
      <vt:variant>
        <vt:lpwstr>_Toc358228991</vt:lpwstr>
      </vt:variant>
      <vt:variant>
        <vt:i4>1114160</vt:i4>
      </vt:variant>
      <vt:variant>
        <vt:i4>266</vt:i4>
      </vt:variant>
      <vt:variant>
        <vt:i4>0</vt:i4>
      </vt:variant>
      <vt:variant>
        <vt:i4>5</vt:i4>
      </vt:variant>
      <vt:variant>
        <vt:lpwstr/>
      </vt:variant>
      <vt:variant>
        <vt:lpwstr>_Toc358228990</vt:lpwstr>
      </vt:variant>
      <vt:variant>
        <vt:i4>1048624</vt:i4>
      </vt:variant>
      <vt:variant>
        <vt:i4>260</vt:i4>
      </vt:variant>
      <vt:variant>
        <vt:i4>0</vt:i4>
      </vt:variant>
      <vt:variant>
        <vt:i4>5</vt:i4>
      </vt:variant>
      <vt:variant>
        <vt:lpwstr/>
      </vt:variant>
      <vt:variant>
        <vt:lpwstr>_Toc358228989</vt:lpwstr>
      </vt:variant>
      <vt:variant>
        <vt:i4>1048624</vt:i4>
      </vt:variant>
      <vt:variant>
        <vt:i4>254</vt:i4>
      </vt:variant>
      <vt:variant>
        <vt:i4>0</vt:i4>
      </vt:variant>
      <vt:variant>
        <vt:i4>5</vt:i4>
      </vt:variant>
      <vt:variant>
        <vt:lpwstr/>
      </vt:variant>
      <vt:variant>
        <vt:lpwstr>_Toc358228988</vt:lpwstr>
      </vt:variant>
      <vt:variant>
        <vt:i4>1048624</vt:i4>
      </vt:variant>
      <vt:variant>
        <vt:i4>248</vt:i4>
      </vt:variant>
      <vt:variant>
        <vt:i4>0</vt:i4>
      </vt:variant>
      <vt:variant>
        <vt:i4>5</vt:i4>
      </vt:variant>
      <vt:variant>
        <vt:lpwstr/>
      </vt:variant>
      <vt:variant>
        <vt:lpwstr>_Toc358228987</vt:lpwstr>
      </vt:variant>
      <vt:variant>
        <vt:i4>1572921</vt:i4>
      </vt:variant>
      <vt:variant>
        <vt:i4>221</vt:i4>
      </vt:variant>
      <vt:variant>
        <vt:i4>0</vt:i4>
      </vt:variant>
      <vt:variant>
        <vt:i4>5</vt:i4>
      </vt:variant>
      <vt:variant>
        <vt:lpwstr/>
      </vt:variant>
      <vt:variant>
        <vt:lpwstr>_Toc357587587</vt:lpwstr>
      </vt:variant>
      <vt:variant>
        <vt:i4>1572921</vt:i4>
      </vt:variant>
      <vt:variant>
        <vt:i4>215</vt:i4>
      </vt:variant>
      <vt:variant>
        <vt:i4>0</vt:i4>
      </vt:variant>
      <vt:variant>
        <vt:i4>5</vt:i4>
      </vt:variant>
      <vt:variant>
        <vt:lpwstr/>
      </vt:variant>
      <vt:variant>
        <vt:lpwstr>_Toc357587586</vt:lpwstr>
      </vt:variant>
      <vt:variant>
        <vt:i4>1572921</vt:i4>
      </vt:variant>
      <vt:variant>
        <vt:i4>209</vt:i4>
      </vt:variant>
      <vt:variant>
        <vt:i4>0</vt:i4>
      </vt:variant>
      <vt:variant>
        <vt:i4>5</vt:i4>
      </vt:variant>
      <vt:variant>
        <vt:lpwstr/>
      </vt:variant>
      <vt:variant>
        <vt:lpwstr>_Toc357587585</vt:lpwstr>
      </vt:variant>
      <vt:variant>
        <vt:i4>1572921</vt:i4>
      </vt:variant>
      <vt:variant>
        <vt:i4>203</vt:i4>
      </vt:variant>
      <vt:variant>
        <vt:i4>0</vt:i4>
      </vt:variant>
      <vt:variant>
        <vt:i4>5</vt:i4>
      </vt:variant>
      <vt:variant>
        <vt:lpwstr/>
      </vt:variant>
      <vt:variant>
        <vt:lpwstr>_Toc357587584</vt:lpwstr>
      </vt:variant>
      <vt:variant>
        <vt:i4>1572921</vt:i4>
      </vt:variant>
      <vt:variant>
        <vt:i4>197</vt:i4>
      </vt:variant>
      <vt:variant>
        <vt:i4>0</vt:i4>
      </vt:variant>
      <vt:variant>
        <vt:i4>5</vt:i4>
      </vt:variant>
      <vt:variant>
        <vt:lpwstr/>
      </vt:variant>
      <vt:variant>
        <vt:lpwstr>_Toc357587583</vt:lpwstr>
      </vt:variant>
      <vt:variant>
        <vt:i4>1572921</vt:i4>
      </vt:variant>
      <vt:variant>
        <vt:i4>191</vt:i4>
      </vt:variant>
      <vt:variant>
        <vt:i4>0</vt:i4>
      </vt:variant>
      <vt:variant>
        <vt:i4>5</vt:i4>
      </vt:variant>
      <vt:variant>
        <vt:lpwstr/>
      </vt:variant>
      <vt:variant>
        <vt:lpwstr>_Toc357587582</vt:lpwstr>
      </vt:variant>
      <vt:variant>
        <vt:i4>1572921</vt:i4>
      </vt:variant>
      <vt:variant>
        <vt:i4>185</vt:i4>
      </vt:variant>
      <vt:variant>
        <vt:i4>0</vt:i4>
      </vt:variant>
      <vt:variant>
        <vt:i4>5</vt:i4>
      </vt:variant>
      <vt:variant>
        <vt:lpwstr/>
      </vt:variant>
      <vt:variant>
        <vt:lpwstr>_Toc357587581</vt:lpwstr>
      </vt:variant>
      <vt:variant>
        <vt:i4>1572921</vt:i4>
      </vt:variant>
      <vt:variant>
        <vt:i4>179</vt:i4>
      </vt:variant>
      <vt:variant>
        <vt:i4>0</vt:i4>
      </vt:variant>
      <vt:variant>
        <vt:i4>5</vt:i4>
      </vt:variant>
      <vt:variant>
        <vt:lpwstr/>
      </vt:variant>
      <vt:variant>
        <vt:lpwstr>_Toc357587580</vt:lpwstr>
      </vt:variant>
      <vt:variant>
        <vt:i4>1507385</vt:i4>
      </vt:variant>
      <vt:variant>
        <vt:i4>173</vt:i4>
      </vt:variant>
      <vt:variant>
        <vt:i4>0</vt:i4>
      </vt:variant>
      <vt:variant>
        <vt:i4>5</vt:i4>
      </vt:variant>
      <vt:variant>
        <vt:lpwstr/>
      </vt:variant>
      <vt:variant>
        <vt:lpwstr>_Toc357587579</vt:lpwstr>
      </vt:variant>
      <vt:variant>
        <vt:i4>1507385</vt:i4>
      </vt:variant>
      <vt:variant>
        <vt:i4>167</vt:i4>
      </vt:variant>
      <vt:variant>
        <vt:i4>0</vt:i4>
      </vt:variant>
      <vt:variant>
        <vt:i4>5</vt:i4>
      </vt:variant>
      <vt:variant>
        <vt:lpwstr/>
      </vt:variant>
      <vt:variant>
        <vt:lpwstr>_Toc357587578</vt:lpwstr>
      </vt:variant>
      <vt:variant>
        <vt:i4>1507385</vt:i4>
      </vt:variant>
      <vt:variant>
        <vt:i4>161</vt:i4>
      </vt:variant>
      <vt:variant>
        <vt:i4>0</vt:i4>
      </vt:variant>
      <vt:variant>
        <vt:i4>5</vt:i4>
      </vt:variant>
      <vt:variant>
        <vt:lpwstr/>
      </vt:variant>
      <vt:variant>
        <vt:lpwstr>_Toc357587577</vt:lpwstr>
      </vt:variant>
      <vt:variant>
        <vt:i4>1507385</vt:i4>
      </vt:variant>
      <vt:variant>
        <vt:i4>155</vt:i4>
      </vt:variant>
      <vt:variant>
        <vt:i4>0</vt:i4>
      </vt:variant>
      <vt:variant>
        <vt:i4>5</vt:i4>
      </vt:variant>
      <vt:variant>
        <vt:lpwstr/>
      </vt:variant>
      <vt:variant>
        <vt:lpwstr>_Toc357587576</vt:lpwstr>
      </vt:variant>
      <vt:variant>
        <vt:i4>1507385</vt:i4>
      </vt:variant>
      <vt:variant>
        <vt:i4>149</vt:i4>
      </vt:variant>
      <vt:variant>
        <vt:i4>0</vt:i4>
      </vt:variant>
      <vt:variant>
        <vt:i4>5</vt:i4>
      </vt:variant>
      <vt:variant>
        <vt:lpwstr/>
      </vt:variant>
      <vt:variant>
        <vt:lpwstr>_Toc357587575</vt:lpwstr>
      </vt:variant>
      <vt:variant>
        <vt:i4>1507385</vt:i4>
      </vt:variant>
      <vt:variant>
        <vt:i4>143</vt:i4>
      </vt:variant>
      <vt:variant>
        <vt:i4>0</vt:i4>
      </vt:variant>
      <vt:variant>
        <vt:i4>5</vt:i4>
      </vt:variant>
      <vt:variant>
        <vt:lpwstr/>
      </vt:variant>
      <vt:variant>
        <vt:lpwstr>_Toc357587574</vt:lpwstr>
      </vt:variant>
      <vt:variant>
        <vt:i4>1507385</vt:i4>
      </vt:variant>
      <vt:variant>
        <vt:i4>137</vt:i4>
      </vt:variant>
      <vt:variant>
        <vt:i4>0</vt:i4>
      </vt:variant>
      <vt:variant>
        <vt:i4>5</vt:i4>
      </vt:variant>
      <vt:variant>
        <vt:lpwstr/>
      </vt:variant>
      <vt:variant>
        <vt:lpwstr>_Toc357587573</vt:lpwstr>
      </vt:variant>
      <vt:variant>
        <vt:i4>1507385</vt:i4>
      </vt:variant>
      <vt:variant>
        <vt:i4>131</vt:i4>
      </vt:variant>
      <vt:variant>
        <vt:i4>0</vt:i4>
      </vt:variant>
      <vt:variant>
        <vt:i4>5</vt:i4>
      </vt:variant>
      <vt:variant>
        <vt:lpwstr/>
      </vt:variant>
      <vt:variant>
        <vt:lpwstr>_Toc357587572</vt:lpwstr>
      </vt:variant>
      <vt:variant>
        <vt:i4>1507385</vt:i4>
      </vt:variant>
      <vt:variant>
        <vt:i4>125</vt:i4>
      </vt:variant>
      <vt:variant>
        <vt:i4>0</vt:i4>
      </vt:variant>
      <vt:variant>
        <vt:i4>5</vt:i4>
      </vt:variant>
      <vt:variant>
        <vt:lpwstr/>
      </vt:variant>
      <vt:variant>
        <vt:lpwstr>_Toc357587571</vt:lpwstr>
      </vt:variant>
      <vt:variant>
        <vt:i4>1507385</vt:i4>
      </vt:variant>
      <vt:variant>
        <vt:i4>119</vt:i4>
      </vt:variant>
      <vt:variant>
        <vt:i4>0</vt:i4>
      </vt:variant>
      <vt:variant>
        <vt:i4>5</vt:i4>
      </vt:variant>
      <vt:variant>
        <vt:lpwstr/>
      </vt:variant>
      <vt:variant>
        <vt:lpwstr>_Toc357587570</vt:lpwstr>
      </vt:variant>
      <vt:variant>
        <vt:i4>1441849</vt:i4>
      </vt:variant>
      <vt:variant>
        <vt:i4>113</vt:i4>
      </vt:variant>
      <vt:variant>
        <vt:i4>0</vt:i4>
      </vt:variant>
      <vt:variant>
        <vt:i4>5</vt:i4>
      </vt:variant>
      <vt:variant>
        <vt:lpwstr/>
      </vt:variant>
      <vt:variant>
        <vt:lpwstr>_Toc357587569</vt:lpwstr>
      </vt:variant>
      <vt:variant>
        <vt:i4>1441849</vt:i4>
      </vt:variant>
      <vt:variant>
        <vt:i4>107</vt:i4>
      </vt:variant>
      <vt:variant>
        <vt:i4>0</vt:i4>
      </vt:variant>
      <vt:variant>
        <vt:i4>5</vt:i4>
      </vt:variant>
      <vt:variant>
        <vt:lpwstr/>
      </vt:variant>
      <vt:variant>
        <vt:lpwstr>_Toc357587568</vt:lpwstr>
      </vt:variant>
      <vt:variant>
        <vt:i4>1441849</vt:i4>
      </vt:variant>
      <vt:variant>
        <vt:i4>101</vt:i4>
      </vt:variant>
      <vt:variant>
        <vt:i4>0</vt:i4>
      </vt:variant>
      <vt:variant>
        <vt:i4>5</vt:i4>
      </vt:variant>
      <vt:variant>
        <vt:lpwstr/>
      </vt:variant>
      <vt:variant>
        <vt:lpwstr>_Toc357587567</vt:lpwstr>
      </vt:variant>
      <vt:variant>
        <vt:i4>1441849</vt:i4>
      </vt:variant>
      <vt:variant>
        <vt:i4>95</vt:i4>
      </vt:variant>
      <vt:variant>
        <vt:i4>0</vt:i4>
      </vt:variant>
      <vt:variant>
        <vt:i4>5</vt:i4>
      </vt:variant>
      <vt:variant>
        <vt:lpwstr/>
      </vt:variant>
      <vt:variant>
        <vt:lpwstr>_Toc357587566</vt:lpwstr>
      </vt:variant>
      <vt:variant>
        <vt:i4>1441849</vt:i4>
      </vt:variant>
      <vt:variant>
        <vt:i4>89</vt:i4>
      </vt:variant>
      <vt:variant>
        <vt:i4>0</vt:i4>
      </vt:variant>
      <vt:variant>
        <vt:i4>5</vt:i4>
      </vt:variant>
      <vt:variant>
        <vt:lpwstr/>
      </vt:variant>
      <vt:variant>
        <vt:lpwstr>_Toc357587565</vt:lpwstr>
      </vt:variant>
      <vt:variant>
        <vt:i4>1441849</vt:i4>
      </vt:variant>
      <vt:variant>
        <vt:i4>83</vt:i4>
      </vt:variant>
      <vt:variant>
        <vt:i4>0</vt:i4>
      </vt:variant>
      <vt:variant>
        <vt:i4>5</vt:i4>
      </vt:variant>
      <vt:variant>
        <vt:lpwstr/>
      </vt:variant>
      <vt:variant>
        <vt:lpwstr>_Toc357587564</vt:lpwstr>
      </vt:variant>
      <vt:variant>
        <vt:i4>1441849</vt:i4>
      </vt:variant>
      <vt:variant>
        <vt:i4>77</vt:i4>
      </vt:variant>
      <vt:variant>
        <vt:i4>0</vt:i4>
      </vt:variant>
      <vt:variant>
        <vt:i4>5</vt:i4>
      </vt:variant>
      <vt:variant>
        <vt:lpwstr/>
      </vt:variant>
      <vt:variant>
        <vt:lpwstr>_Toc357587563</vt:lpwstr>
      </vt:variant>
      <vt:variant>
        <vt:i4>1441849</vt:i4>
      </vt:variant>
      <vt:variant>
        <vt:i4>71</vt:i4>
      </vt:variant>
      <vt:variant>
        <vt:i4>0</vt:i4>
      </vt:variant>
      <vt:variant>
        <vt:i4>5</vt:i4>
      </vt:variant>
      <vt:variant>
        <vt:lpwstr/>
      </vt:variant>
      <vt:variant>
        <vt:lpwstr>_Toc357587562</vt:lpwstr>
      </vt:variant>
      <vt:variant>
        <vt:i4>1441849</vt:i4>
      </vt:variant>
      <vt:variant>
        <vt:i4>65</vt:i4>
      </vt:variant>
      <vt:variant>
        <vt:i4>0</vt:i4>
      </vt:variant>
      <vt:variant>
        <vt:i4>5</vt:i4>
      </vt:variant>
      <vt:variant>
        <vt:lpwstr/>
      </vt:variant>
      <vt:variant>
        <vt:lpwstr>_Toc357587561</vt:lpwstr>
      </vt:variant>
      <vt:variant>
        <vt:i4>1441849</vt:i4>
      </vt:variant>
      <vt:variant>
        <vt:i4>59</vt:i4>
      </vt:variant>
      <vt:variant>
        <vt:i4>0</vt:i4>
      </vt:variant>
      <vt:variant>
        <vt:i4>5</vt:i4>
      </vt:variant>
      <vt:variant>
        <vt:lpwstr/>
      </vt:variant>
      <vt:variant>
        <vt:lpwstr>_Toc357587560</vt:lpwstr>
      </vt:variant>
      <vt:variant>
        <vt:i4>1376313</vt:i4>
      </vt:variant>
      <vt:variant>
        <vt:i4>53</vt:i4>
      </vt:variant>
      <vt:variant>
        <vt:i4>0</vt:i4>
      </vt:variant>
      <vt:variant>
        <vt:i4>5</vt:i4>
      </vt:variant>
      <vt:variant>
        <vt:lpwstr/>
      </vt:variant>
      <vt:variant>
        <vt:lpwstr>_Toc357587559</vt:lpwstr>
      </vt:variant>
      <vt:variant>
        <vt:i4>1376313</vt:i4>
      </vt:variant>
      <vt:variant>
        <vt:i4>47</vt:i4>
      </vt:variant>
      <vt:variant>
        <vt:i4>0</vt:i4>
      </vt:variant>
      <vt:variant>
        <vt:i4>5</vt:i4>
      </vt:variant>
      <vt:variant>
        <vt:lpwstr/>
      </vt:variant>
      <vt:variant>
        <vt:lpwstr>_Toc357587558</vt:lpwstr>
      </vt:variant>
      <vt:variant>
        <vt:i4>1376313</vt:i4>
      </vt:variant>
      <vt:variant>
        <vt:i4>41</vt:i4>
      </vt:variant>
      <vt:variant>
        <vt:i4>0</vt:i4>
      </vt:variant>
      <vt:variant>
        <vt:i4>5</vt:i4>
      </vt:variant>
      <vt:variant>
        <vt:lpwstr/>
      </vt:variant>
      <vt:variant>
        <vt:lpwstr>_Toc357587557</vt:lpwstr>
      </vt:variant>
      <vt:variant>
        <vt:i4>1376313</vt:i4>
      </vt:variant>
      <vt:variant>
        <vt:i4>35</vt:i4>
      </vt:variant>
      <vt:variant>
        <vt:i4>0</vt:i4>
      </vt:variant>
      <vt:variant>
        <vt:i4>5</vt:i4>
      </vt:variant>
      <vt:variant>
        <vt:lpwstr/>
      </vt:variant>
      <vt:variant>
        <vt:lpwstr>_Toc357587556</vt:lpwstr>
      </vt:variant>
      <vt:variant>
        <vt:i4>1376313</vt:i4>
      </vt:variant>
      <vt:variant>
        <vt:i4>29</vt:i4>
      </vt:variant>
      <vt:variant>
        <vt:i4>0</vt:i4>
      </vt:variant>
      <vt:variant>
        <vt:i4>5</vt:i4>
      </vt:variant>
      <vt:variant>
        <vt:lpwstr/>
      </vt:variant>
      <vt:variant>
        <vt:lpwstr>_Toc357587555</vt:lpwstr>
      </vt:variant>
      <vt:variant>
        <vt:i4>1376313</vt:i4>
      </vt:variant>
      <vt:variant>
        <vt:i4>23</vt:i4>
      </vt:variant>
      <vt:variant>
        <vt:i4>0</vt:i4>
      </vt:variant>
      <vt:variant>
        <vt:i4>5</vt:i4>
      </vt:variant>
      <vt:variant>
        <vt:lpwstr/>
      </vt:variant>
      <vt:variant>
        <vt:lpwstr>_Toc357587554</vt:lpwstr>
      </vt:variant>
      <vt:variant>
        <vt:i4>1376313</vt:i4>
      </vt:variant>
      <vt:variant>
        <vt:i4>17</vt:i4>
      </vt:variant>
      <vt:variant>
        <vt:i4>0</vt:i4>
      </vt:variant>
      <vt:variant>
        <vt:i4>5</vt:i4>
      </vt:variant>
      <vt:variant>
        <vt:lpwstr/>
      </vt:variant>
      <vt:variant>
        <vt:lpwstr>_Toc357587553</vt:lpwstr>
      </vt:variant>
      <vt:variant>
        <vt:i4>1376313</vt:i4>
      </vt:variant>
      <vt:variant>
        <vt:i4>11</vt:i4>
      </vt:variant>
      <vt:variant>
        <vt:i4>0</vt:i4>
      </vt:variant>
      <vt:variant>
        <vt:i4>5</vt:i4>
      </vt:variant>
      <vt:variant>
        <vt:lpwstr/>
      </vt:variant>
      <vt:variant>
        <vt:lpwstr>_Toc357587552</vt:lpwstr>
      </vt:variant>
      <vt:variant>
        <vt:i4>1376313</vt:i4>
      </vt:variant>
      <vt:variant>
        <vt:i4>5</vt:i4>
      </vt:variant>
      <vt:variant>
        <vt:i4>0</vt:i4>
      </vt:variant>
      <vt:variant>
        <vt:i4>5</vt:i4>
      </vt:variant>
      <vt:variant>
        <vt:lpwstr/>
      </vt:variant>
      <vt:variant>
        <vt:lpwstr>_Toc357587551</vt:lpwstr>
      </vt:variant>
      <vt:variant>
        <vt:i4>7602287</vt:i4>
      </vt:variant>
      <vt:variant>
        <vt:i4>0</vt:i4>
      </vt:variant>
      <vt:variant>
        <vt:i4>0</vt:i4>
      </vt:variant>
      <vt:variant>
        <vt:i4>5</vt:i4>
      </vt:variant>
      <vt:variant>
        <vt:lpwstr>http://www.dpcd.vic.gov.au/regionalgrowthplans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cb47</dc:creator>
  <cp:lastModifiedBy>am</cp:lastModifiedBy>
  <cp:revision>3</cp:revision>
  <cp:lastPrinted>2014-04-10T06:23:00Z</cp:lastPrinted>
  <dcterms:created xsi:type="dcterms:W3CDTF">2014-06-13T05:39:00Z</dcterms:created>
  <dcterms:modified xsi:type="dcterms:W3CDTF">2014-06-17T01:26:00Z</dcterms:modified>
</cp:coreProperties>
</file>