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27637" w14:textId="77777777" w:rsidR="00C41552" w:rsidRDefault="00E0627B">
      <w:pPr>
        <w:spacing w:before="89" w:line="710" w:lineRule="auto"/>
        <w:ind w:left="118" w:right="2332" w:firstLine="3058"/>
        <w:rPr>
          <w:b/>
          <w:i/>
          <w:sz w:val="21"/>
        </w:rPr>
      </w:pPr>
      <w:bookmarkStart w:id="0" w:name="_GoBack"/>
      <w:bookmarkEnd w:id="0"/>
      <w:r>
        <w:rPr>
          <w:b/>
          <w:sz w:val="20"/>
        </w:rPr>
        <w:t>For Public Notice via Internet REASONS</w:t>
      </w:r>
      <w:r>
        <w:rPr>
          <w:b/>
          <w:spacing w:val="-25"/>
          <w:sz w:val="20"/>
        </w:rPr>
        <w:t xml:space="preserve"> </w:t>
      </w:r>
      <w:r>
        <w:rPr>
          <w:b/>
          <w:sz w:val="20"/>
        </w:rPr>
        <w:t>FOR</w:t>
      </w:r>
      <w:r>
        <w:rPr>
          <w:b/>
          <w:spacing w:val="-26"/>
          <w:sz w:val="20"/>
        </w:rPr>
        <w:t xml:space="preserve"> </w:t>
      </w:r>
      <w:r>
        <w:rPr>
          <w:b/>
          <w:sz w:val="20"/>
        </w:rPr>
        <w:t>DECISION</w:t>
      </w:r>
      <w:r>
        <w:rPr>
          <w:b/>
          <w:spacing w:val="-27"/>
          <w:sz w:val="20"/>
        </w:rPr>
        <w:t xml:space="preserve"> </w:t>
      </w:r>
      <w:r>
        <w:rPr>
          <w:b/>
          <w:sz w:val="20"/>
        </w:rPr>
        <w:t>UNDER</w:t>
      </w:r>
      <w:r>
        <w:rPr>
          <w:b/>
          <w:spacing w:val="-24"/>
          <w:sz w:val="20"/>
        </w:rPr>
        <w:t xml:space="preserve"> </w:t>
      </w:r>
      <w:r>
        <w:rPr>
          <w:b/>
          <w:i/>
          <w:sz w:val="21"/>
        </w:rPr>
        <w:t>ENVIRONMENT</w:t>
      </w:r>
      <w:r>
        <w:rPr>
          <w:b/>
          <w:i/>
          <w:spacing w:val="-30"/>
          <w:sz w:val="21"/>
        </w:rPr>
        <w:t xml:space="preserve"> </w:t>
      </w:r>
      <w:r>
        <w:rPr>
          <w:b/>
          <w:i/>
          <w:sz w:val="21"/>
        </w:rPr>
        <w:t>EFFECTS</w:t>
      </w:r>
      <w:r>
        <w:rPr>
          <w:b/>
          <w:i/>
          <w:spacing w:val="-27"/>
          <w:sz w:val="21"/>
        </w:rPr>
        <w:t xml:space="preserve"> </w:t>
      </w:r>
      <w:r>
        <w:rPr>
          <w:b/>
          <w:i/>
          <w:sz w:val="21"/>
        </w:rPr>
        <w:t>ACT</w:t>
      </w:r>
      <w:r>
        <w:rPr>
          <w:b/>
          <w:i/>
          <w:spacing w:val="-29"/>
          <w:sz w:val="21"/>
        </w:rPr>
        <w:t xml:space="preserve"> </w:t>
      </w:r>
      <w:r>
        <w:rPr>
          <w:b/>
          <w:i/>
          <w:sz w:val="21"/>
        </w:rPr>
        <w:t>1978</w:t>
      </w:r>
    </w:p>
    <w:p w14:paraId="1F027638" w14:textId="77777777" w:rsidR="00C41552" w:rsidRDefault="00E0627B">
      <w:pPr>
        <w:pStyle w:val="Heading2"/>
        <w:tabs>
          <w:tab w:val="left" w:pos="2999"/>
        </w:tabs>
        <w:spacing w:line="227" w:lineRule="exact"/>
      </w:pPr>
      <w:r>
        <w:t>Title</w:t>
      </w:r>
      <w:r>
        <w:rPr>
          <w:spacing w:val="-5"/>
        </w:rPr>
        <w:t xml:space="preserve"> </w:t>
      </w:r>
      <w:r>
        <w:t>of</w:t>
      </w:r>
      <w:r>
        <w:rPr>
          <w:spacing w:val="-1"/>
        </w:rPr>
        <w:t xml:space="preserve"> </w:t>
      </w:r>
      <w:r>
        <w:t>Proposal:</w:t>
      </w:r>
      <w:r>
        <w:tab/>
      </w:r>
      <w:proofErr w:type="spellStart"/>
      <w:r>
        <w:t>Nyah</w:t>
      </w:r>
      <w:proofErr w:type="spellEnd"/>
      <w:r>
        <w:t xml:space="preserve"> Floodplain Restoration</w:t>
      </w:r>
      <w:r>
        <w:rPr>
          <w:spacing w:val="-5"/>
        </w:rPr>
        <w:t xml:space="preserve"> </w:t>
      </w:r>
      <w:r>
        <w:t>Project</w:t>
      </w:r>
    </w:p>
    <w:p w14:paraId="1F027639" w14:textId="77777777" w:rsidR="00C41552" w:rsidRDefault="00C41552">
      <w:pPr>
        <w:pStyle w:val="BodyText"/>
        <w:spacing w:before="11"/>
        <w:ind w:left="0"/>
        <w:rPr>
          <w:b/>
          <w:sz w:val="19"/>
        </w:rPr>
      </w:pPr>
    </w:p>
    <w:p w14:paraId="1F02763A" w14:textId="77777777" w:rsidR="00C41552" w:rsidRDefault="00E0627B">
      <w:pPr>
        <w:tabs>
          <w:tab w:val="left" w:pos="2999"/>
        </w:tabs>
        <w:spacing w:before="1"/>
        <w:ind w:left="118"/>
        <w:jc w:val="both"/>
        <w:rPr>
          <w:b/>
          <w:sz w:val="20"/>
        </w:rPr>
      </w:pPr>
      <w:r>
        <w:rPr>
          <w:b/>
          <w:sz w:val="20"/>
        </w:rPr>
        <w:t>Proponent:</w:t>
      </w:r>
      <w:r>
        <w:rPr>
          <w:b/>
          <w:sz w:val="20"/>
        </w:rPr>
        <w:tab/>
        <w:t>Victorian Murray Floodplain Restoration</w:t>
      </w:r>
      <w:r>
        <w:rPr>
          <w:b/>
          <w:spacing w:val="-4"/>
          <w:sz w:val="20"/>
        </w:rPr>
        <w:t xml:space="preserve"> </w:t>
      </w:r>
      <w:r>
        <w:rPr>
          <w:b/>
          <w:sz w:val="20"/>
        </w:rPr>
        <w:t>Project</w:t>
      </w:r>
    </w:p>
    <w:p w14:paraId="1F02763B" w14:textId="77777777" w:rsidR="00C41552" w:rsidRDefault="00C41552">
      <w:pPr>
        <w:pStyle w:val="BodyText"/>
        <w:ind w:left="0"/>
        <w:rPr>
          <w:b/>
          <w:sz w:val="24"/>
        </w:rPr>
      </w:pPr>
    </w:p>
    <w:p w14:paraId="1F02763C" w14:textId="77777777" w:rsidR="00C41552" w:rsidRDefault="00E0627B">
      <w:pPr>
        <w:spacing w:before="193"/>
        <w:ind w:left="118"/>
        <w:jc w:val="both"/>
        <w:rPr>
          <w:b/>
          <w:sz w:val="20"/>
        </w:rPr>
      </w:pPr>
      <w:r>
        <w:rPr>
          <w:b/>
          <w:sz w:val="20"/>
        </w:rPr>
        <w:t>Description of Project:</w:t>
      </w:r>
    </w:p>
    <w:p w14:paraId="1F02763D" w14:textId="77777777" w:rsidR="00C41552" w:rsidRDefault="00E0627B">
      <w:pPr>
        <w:pStyle w:val="BodyText"/>
        <w:spacing w:before="119"/>
        <w:ind w:left="118" w:right="114"/>
        <w:jc w:val="both"/>
      </w:pPr>
      <w:r>
        <w:t xml:space="preserve">The proposed </w:t>
      </w:r>
      <w:proofErr w:type="spellStart"/>
      <w:r>
        <w:t>Nyah</w:t>
      </w:r>
      <w:proofErr w:type="spellEnd"/>
      <w:r>
        <w:t xml:space="preserve"> Floodplain Restoration Project aims to restore a more natural inundation regime across approximately 488 hectares (ha) of regionally and internationally significant floodplain by developing structures that contain inflows from the Murray </w:t>
      </w:r>
      <w:r>
        <w:t xml:space="preserve">River and conducting additional pumping when required. The proposed inundation area is in the northern part of </w:t>
      </w:r>
      <w:proofErr w:type="spellStart"/>
      <w:r>
        <w:t>Nyah-Vinifera</w:t>
      </w:r>
      <w:proofErr w:type="spellEnd"/>
      <w:r>
        <w:t xml:space="preserve"> Regional Park.</w:t>
      </w:r>
    </w:p>
    <w:p w14:paraId="1F02763E" w14:textId="77777777" w:rsidR="00C41552" w:rsidRDefault="00E0627B">
      <w:pPr>
        <w:pStyle w:val="BodyText"/>
        <w:spacing w:before="121"/>
        <w:ind w:left="118" w:right="114"/>
        <w:jc w:val="both"/>
      </w:pPr>
      <w:r>
        <w:t>The project involves the construction of five regulators, a series of containment banks/structures, block banks, spi</w:t>
      </w:r>
      <w:r>
        <w:t xml:space="preserve">llways and hardstand to facilitate managed inundation of the </w:t>
      </w:r>
      <w:proofErr w:type="spellStart"/>
      <w:r>
        <w:t>Nyah</w:t>
      </w:r>
      <w:proofErr w:type="spellEnd"/>
      <w:r>
        <w:t xml:space="preserve"> floodplain. Track and road construction and upgrades will also be required. As part of the works, two redundant structures (pipe and regulator) and a block bank are to be removed or decommis</w:t>
      </w:r>
      <w:r>
        <w:t xml:space="preserve">sioned in </w:t>
      </w:r>
      <w:proofErr w:type="spellStart"/>
      <w:r>
        <w:t>Parnee</w:t>
      </w:r>
      <w:proofErr w:type="spellEnd"/>
      <w:r>
        <w:t xml:space="preserve"> </w:t>
      </w:r>
      <w:proofErr w:type="spellStart"/>
      <w:r>
        <w:t>Malloo</w:t>
      </w:r>
      <w:proofErr w:type="spellEnd"/>
      <w:r>
        <w:rPr>
          <w:spacing w:val="-1"/>
        </w:rPr>
        <w:t xml:space="preserve"> </w:t>
      </w:r>
      <w:r>
        <w:t>Creek.</w:t>
      </w:r>
    </w:p>
    <w:p w14:paraId="1F02763F" w14:textId="77777777" w:rsidR="00C41552" w:rsidRDefault="00C41552">
      <w:pPr>
        <w:pStyle w:val="BodyText"/>
        <w:ind w:left="0"/>
        <w:rPr>
          <w:sz w:val="24"/>
        </w:rPr>
      </w:pPr>
    </w:p>
    <w:p w14:paraId="1F027640" w14:textId="77777777" w:rsidR="00C41552" w:rsidRDefault="00C41552">
      <w:pPr>
        <w:pStyle w:val="BodyText"/>
        <w:ind w:left="0"/>
        <w:rPr>
          <w:sz w:val="26"/>
        </w:rPr>
      </w:pPr>
    </w:p>
    <w:p w14:paraId="1F027641" w14:textId="77777777" w:rsidR="00C41552" w:rsidRDefault="00E0627B">
      <w:pPr>
        <w:pStyle w:val="Heading2"/>
        <w:jc w:val="left"/>
      </w:pPr>
      <w:r>
        <w:t>Decision:</w:t>
      </w:r>
    </w:p>
    <w:p w14:paraId="1F027642" w14:textId="77777777" w:rsidR="00C41552" w:rsidRDefault="00E0627B">
      <w:pPr>
        <w:pStyle w:val="BodyText"/>
        <w:spacing w:before="119"/>
        <w:ind w:left="118" w:right="111"/>
        <w:jc w:val="both"/>
      </w:pPr>
      <w:r>
        <w:t xml:space="preserve">The Minister for Planning has decided that an Environment Effects Statement (EES) is </w:t>
      </w:r>
      <w:r>
        <w:rPr>
          <w:b/>
          <w:u w:val="single"/>
        </w:rPr>
        <w:t>not</w:t>
      </w:r>
      <w:r>
        <w:rPr>
          <w:b/>
        </w:rPr>
        <w:t xml:space="preserve"> </w:t>
      </w:r>
      <w:r>
        <w:t xml:space="preserve">required for the </w:t>
      </w:r>
      <w:proofErr w:type="spellStart"/>
      <w:r>
        <w:t>Nyah</w:t>
      </w:r>
      <w:proofErr w:type="spellEnd"/>
      <w:r>
        <w:t xml:space="preserve"> Floodplain Restoration Project, as described in the referral accepted on 9 April 2020, </w:t>
      </w:r>
      <w:r>
        <w:rPr>
          <w:b/>
          <w:u w:val="single"/>
        </w:rPr>
        <w:t xml:space="preserve">subject to the </w:t>
      </w:r>
      <w:r>
        <w:rPr>
          <w:b/>
          <w:u w:val="single"/>
        </w:rPr>
        <w:t>following</w:t>
      </w:r>
      <w:r>
        <w:rPr>
          <w:b/>
          <w:spacing w:val="-3"/>
          <w:u w:val="single"/>
        </w:rPr>
        <w:t xml:space="preserve"> </w:t>
      </w:r>
      <w:r>
        <w:rPr>
          <w:b/>
          <w:u w:val="single"/>
        </w:rPr>
        <w:t>conditions</w:t>
      </w:r>
      <w:r>
        <w:t>:</w:t>
      </w:r>
    </w:p>
    <w:p w14:paraId="1F027643" w14:textId="77777777" w:rsidR="00C41552" w:rsidRDefault="00E0627B">
      <w:pPr>
        <w:pStyle w:val="ListParagraph"/>
        <w:numPr>
          <w:ilvl w:val="0"/>
          <w:numId w:val="2"/>
        </w:numPr>
        <w:tabs>
          <w:tab w:val="left" w:pos="545"/>
          <w:tab w:val="left" w:pos="547"/>
        </w:tabs>
        <w:ind w:right="625"/>
        <w:rPr>
          <w:sz w:val="20"/>
        </w:rPr>
      </w:pPr>
      <w:r>
        <w:rPr>
          <w:sz w:val="20"/>
        </w:rPr>
        <w:t>An environment report for the project must be prepared in consultation with DELWP and completed to the satisfaction of the Minister for Planning. The report needs to examine and document for both the construction and proposed inundation</w:t>
      </w:r>
      <w:r>
        <w:rPr>
          <w:spacing w:val="-5"/>
          <w:sz w:val="20"/>
        </w:rPr>
        <w:t xml:space="preserve"> </w:t>
      </w:r>
      <w:r>
        <w:rPr>
          <w:sz w:val="20"/>
        </w:rPr>
        <w:t>areas:</w:t>
      </w:r>
    </w:p>
    <w:p w14:paraId="1F027644" w14:textId="77777777" w:rsidR="00C41552" w:rsidRDefault="00E0627B">
      <w:pPr>
        <w:pStyle w:val="ListParagraph"/>
        <w:numPr>
          <w:ilvl w:val="1"/>
          <w:numId w:val="2"/>
        </w:numPr>
        <w:tabs>
          <w:tab w:val="left" w:pos="827"/>
        </w:tabs>
        <w:spacing w:before="121"/>
        <w:ind w:right="282"/>
        <w:jc w:val="left"/>
        <w:rPr>
          <w:sz w:val="20"/>
        </w:rPr>
      </w:pPr>
      <w:r>
        <w:rPr>
          <w:sz w:val="20"/>
        </w:rPr>
        <w:t>the expected benefits and ecological objectives of the project, with measurable indicators</w:t>
      </w:r>
      <w:r>
        <w:rPr>
          <w:spacing w:val="-35"/>
          <w:sz w:val="20"/>
        </w:rPr>
        <w:t xml:space="preserve"> </w:t>
      </w:r>
      <w:r>
        <w:rPr>
          <w:sz w:val="20"/>
        </w:rPr>
        <w:t>for monitoring and thresholds for</w:t>
      </w:r>
      <w:r>
        <w:rPr>
          <w:spacing w:val="2"/>
          <w:sz w:val="20"/>
        </w:rPr>
        <w:t xml:space="preserve"> </w:t>
      </w:r>
      <w:r>
        <w:rPr>
          <w:sz w:val="20"/>
        </w:rPr>
        <w:t>action;</w:t>
      </w:r>
    </w:p>
    <w:p w14:paraId="1F027645" w14:textId="77777777" w:rsidR="00C41552" w:rsidRDefault="00E0627B">
      <w:pPr>
        <w:pStyle w:val="ListParagraph"/>
        <w:numPr>
          <w:ilvl w:val="1"/>
          <w:numId w:val="2"/>
        </w:numPr>
        <w:tabs>
          <w:tab w:val="left" w:pos="827"/>
        </w:tabs>
        <w:ind w:right="763" w:hanging="293"/>
        <w:jc w:val="left"/>
        <w:rPr>
          <w:sz w:val="20"/>
        </w:rPr>
      </w:pPr>
      <w:r>
        <w:rPr>
          <w:sz w:val="20"/>
        </w:rPr>
        <w:t xml:space="preserve">assessment of project design alternatives to avoid and </w:t>
      </w:r>
      <w:proofErr w:type="spellStart"/>
      <w:r>
        <w:rPr>
          <w:sz w:val="20"/>
        </w:rPr>
        <w:t>minimise</w:t>
      </w:r>
      <w:proofErr w:type="spellEnd"/>
      <w:r>
        <w:rPr>
          <w:sz w:val="20"/>
        </w:rPr>
        <w:t xml:space="preserve"> adverse environmental effects, including options for the pr</w:t>
      </w:r>
      <w:r>
        <w:rPr>
          <w:sz w:val="20"/>
        </w:rPr>
        <w:t>oject layout and timing of inundation</w:t>
      </w:r>
      <w:r>
        <w:rPr>
          <w:spacing w:val="-12"/>
          <w:sz w:val="20"/>
        </w:rPr>
        <w:t xml:space="preserve"> </w:t>
      </w:r>
      <w:r>
        <w:rPr>
          <w:sz w:val="20"/>
        </w:rPr>
        <w:t>events;</w:t>
      </w:r>
    </w:p>
    <w:p w14:paraId="1F027646" w14:textId="77777777" w:rsidR="00C41552" w:rsidRDefault="00E0627B">
      <w:pPr>
        <w:pStyle w:val="ListParagraph"/>
        <w:numPr>
          <w:ilvl w:val="1"/>
          <w:numId w:val="2"/>
        </w:numPr>
        <w:tabs>
          <w:tab w:val="left" w:pos="827"/>
        </w:tabs>
        <w:spacing w:before="119"/>
        <w:ind w:right="799" w:hanging="339"/>
        <w:jc w:val="left"/>
        <w:rPr>
          <w:sz w:val="20"/>
        </w:rPr>
      </w:pPr>
      <w:r>
        <w:rPr>
          <w:sz w:val="20"/>
        </w:rPr>
        <w:t>assessment of predicted impacts (direct and indirect) on biodiversity values particularly associated</w:t>
      </w:r>
      <w:r>
        <w:rPr>
          <w:spacing w:val="-1"/>
          <w:sz w:val="20"/>
        </w:rPr>
        <w:t xml:space="preserve"> </w:t>
      </w:r>
      <w:r>
        <w:rPr>
          <w:sz w:val="20"/>
        </w:rPr>
        <w:t>with</w:t>
      </w:r>
    </w:p>
    <w:p w14:paraId="1F027647" w14:textId="77777777" w:rsidR="00C41552" w:rsidRDefault="00E0627B">
      <w:pPr>
        <w:pStyle w:val="ListParagraph"/>
        <w:numPr>
          <w:ilvl w:val="2"/>
          <w:numId w:val="2"/>
        </w:numPr>
        <w:tabs>
          <w:tab w:val="left" w:pos="1546"/>
          <w:tab w:val="left" w:pos="1547"/>
        </w:tabs>
        <w:spacing w:before="112"/>
        <w:ind w:hanging="361"/>
        <w:rPr>
          <w:sz w:val="20"/>
        </w:rPr>
      </w:pPr>
      <w:r>
        <w:rPr>
          <w:sz w:val="20"/>
        </w:rPr>
        <w:t>listed</w:t>
      </w:r>
      <w:r>
        <w:rPr>
          <w:spacing w:val="-10"/>
          <w:sz w:val="20"/>
        </w:rPr>
        <w:t xml:space="preserve"> </w:t>
      </w:r>
      <w:r>
        <w:rPr>
          <w:sz w:val="20"/>
        </w:rPr>
        <w:t>species</w:t>
      </w:r>
      <w:r>
        <w:rPr>
          <w:spacing w:val="-11"/>
          <w:sz w:val="20"/>
        </w:rPr>
        <w:t xml:space="preserve"> </w:t>
      </w:r>
      <w:r>
        <w:rPr>
          <w:sz w:val="20"/>
        </w:rPr>
        <w:t>of</w:t>
      </w:r>
      <w:r>
        <w:rPr>
          <w:spacing w:val="-11"/>
          <w:sz w:val="20"/>
        </w:rPr>
        <w:t xml:space="preserve"> </w:t>
      </w:r>
      <w:r>
        <w:rPr>
          <w:sz w:val="20"/>
        </w:rPr>
        <w:t>flora</w:t>
      </w:r>
      <w:r>
        <w:rPr>
          <w:spacing w:val="-10"/>
          <w:sz w:val="20"/>
        </w:rPr>
        <w:t xml:space="preserve"> </w:t>
      </w:r>
      <w:r>
        <w:rPr>
          <w:sz w:val="20"/>
        </w:rPr>
        <w:t>and</w:t>
      </w:r>
      <w:r>
        <w:rPr>
          <w:spacing w:val="-10"/>
          <w:sz w:val="20"/>
        </w:rPr>
        <w:t xml:space="preserve"> </w:t>
      </w:r>
      <w:r>
        <w:rPr>
          <w:sz w:val="20"/>
        </w:rPr>
        <w:t>fauna</w:t>
      </w:r>
      <w:r>
        <w:rPr>
          <w:spacing w:val="-10"/>
          <w:sz w:val="20"/>
        </w:rPr>
        <w:t xml:space="preserve"> </w:t>
      </w:r>
      <w:r>
        <w:rPr>
          <w:sz w:val="20"/>
        </w:rPr>
        <w:t>(under</w:t>
      </w:r>
      <w:r>
        <w:rPr>
          <w:spacing w:val="-10"/>
          <w:sz w:val="20"/>
        </w:rPr>
        <w:t xml:space="preserve"> </w:t>
      </w:r>
      <w:r>
        <w:rPr>
          <w:sz w:val="20"/>
        </w:rPr>
        <w:t>the</w:t>
      </w:r>
      <w:r>
        <w:rPr>
          <w:spacing w:val="-7"/>
          <w:sz w:val="20"/>
        </w:rPr>
        <w:t xml:space="preserve"> </w:t>
      </w:r>
      <w:r>
        <w:rPr>
          <w:i/>
          <w:sz w:val="21"/>
        </w:rPr>
        <w:t>Flora</w:t>
      </w:r>
      <w:r>
        <w:rPr>
          <w:i/>
          <w:spacing w:val="-13"/>
          <w:sz w:val="21"/>
        </w:rPr>
        <w:t xml:space="preserve"> </w:t>
      </w:r>
      <w:r>
        <w:rPr>
          <w:i/>
          <w:sz w:val="21"/>
        </w:rPr>
        <w:t>and</w:t>
      </w:r>
      <w:r>
        <w:rPr>
          <w:i/>
          <w:spacing w:val="-11"/>
          <w:sz w:val="21"/>
        </w:rPr>
        <w:t xml:space="preserve"> </w:t>
      </w:r>
      <w:r>
        <w:rPr>
          <w:i/>
          <w:sz w:val="21"/>
        </w:rPr>
        <w:t>Fauna</w:t>
      </w:r>
      <w:r>
        <w:rPr>
          <w:i/>
          <w:spacing w:val="-11"/>
          <w:sz w:val="21"/>
        </w:rPr>
        <w:t xml:space="preserve"> </w:t>
      </w:r>
      <w:r>
        <w:rPr>
          <w:i/>
          <w:sz w:val="21"/>
        </w:rPr>
        <w:t>Guarantee</w:t>
      </w:r>
      <w:r>
        <w:rPr>
          <w:i/>
          <w:spacing w:val="-13"/>
          <w:sz w:val="21"/>
        </w:rPr>
        <w:t xml:space="preserve"> </w:t>
      </w:r>
      <w:r>
        <w:rPr>
          <w:i/>
          <w:sz w:val="21"/>
        </w:rPr>
        <w:t>Act</w:t>
      </w:r>
      <w:r>
        <w:rPr>
          <w:i/>
          <w:spacing w:val="-11"/>
          <w:sz w:val="21"/>
        </w:rPr>
        <w:t xml:space="preserve"> </w:t>
      </w:r>
      <w:r>
        <w:rPr>
          <w:i/>
          <w:sz w:val="21"/>
        </w:rPr>
        <w:t>1988</w:t>
      </w:r>
      <w:r>
        <w:rPr>
          <w:i/>
          <w:spacing w:val="-10"/>
          <w:sz w:val="21"/>
        </w:rPr>
        <w:t xml:space="preserve"> </w:t>
      </w:r>
      <w:r>
        <w:rPr>
          <w:sz w:val="20"/>
        </w:rPr>
        <w:t>and</w:t>
      </w:r>
    </w:p>
    <w:p w14:paraId="1F027648" w14:textId="77777777" w:rsidR="00C41552" w:rsidRDefault="00E0627B">
      <w:pPr>
        <w:pStyle w:val="Heading1"/>
        <w:rPr>
          <w:i w:val="0"/>
          <w:sz w:val="20"/>
        </w:rPr>
      </w:pPr>
      <w:r>
        <w:t>Environment Protecti</w:t>
      </w:r>
      <w:r>
        <w:t>on and Biodiversity Conservation Act 1999</w:t>
      </w:r>
      <w:r>
        <w:rPr>
          <w:i w:val="0"/>
          <w:sz w:val="20"/>
        </w:rPr>
        <w:t>)</w:t>
      </w:r>
    </w:p>
    <w:p w14:paraId="1F027649" w14:textId="77777777" w:rsidR="00C41552" w:rsidRDefault="00E0627B">
      <w:pPr>
        <w:pStyle w:val="ListParagraph"/>
        <w:numPr>
          <w:ilvl w:val="2"/>
          <w:numId w:val="2"/>
        </w:numPr>
        <w:tabs>
          <w:tab w:val="left" w:pos="1546"/>
          <w:tab w:val="left" w:pos="1547"/>
        </w:tabs>
        <w:spacing w:before="126" w:line="252" w:lineRule="auto"/>
        <w:ind w:right="250"/>
        <w:rPr>
          <w:sz w:val="20"/>
        </w:rPr>
      </w:pPr>
      <w:r>
        <w:rPr>
          <w:sz w:val="20"/>
        </w:rPr>
        <w:t>listed</w:t>
      </w:r>
      <w:r>
        <w:rPr>
          <w:spacing w:val="-21"/>
          <w:sz w:val="20"/>
        </w:rPr>
        <w:t xml:space="preserve"> </w:t>
      </w:r>
      <w:r>
        <w:rPr>
          <w:sz w:val="20"/>
        </w:rPr>
        <w:t>communities</w:t>
      </w:r>
      <w:r>
        <w:rPr>
          <w:spacing w:val="-21"/>
          <w:sz w:val="20"/>
        </w:rPr>
        <w:t xml:space="preserve"> </w:t>
      </w:r>
      <w:r>
        <w:rPr>
          <w:sz w:val="20"/>
        </w:rPr>
        <w:t>(under</w:t>
      </w:r>
      <w:r>
        <w:rPr>
          <w:spacing w:val="-20"/>
          <w:sz w:val="20"/>
        </w:rPr>
        <w:t xml:space="preserve"> </w:t>
      </w:r>
      <w:r>
        <w:rPr>
          <w:sz w:val="20"/>
        </w:rPr>
        <w:t>the</w:t>
      </w:r>
      <w:r>
        <w:rPr>
          <w:spacing w:val="-19"/>
          <w:sz w:val="20"/>
        </w:rPr>
        <w:t xml:space="preserve"> </w:t>
      </w:r>
      <w:r>
        <w:rPr>
          <w:i/>
          <w:sz w:val="21"/>
        </w:rPr>
        <w:t>Flora</w:t>
      </w:r>
      <w:r>
        <w:rPr>
          <w:i/>
          <w:spacing w:val="-24"/>
          <w:sz w:val="21"/>
        </w:rPr>
        <w:t xml:space="preserve"> </w:t>
      </w:r>
      <w:r>
        <w:rPr>
          <w:i/>
          <w:sz w:val="21"/>
        </w:rPr>
        <w:t>and</w:t>
      </w:r>
      <w:r>
        <w:rPr>
          <w:i/>
          <w:spacing w:val="-22"/>
          <w:sz w:val="21"/>
        </w:rPr>
        <w:t xml:space="preserve"> </w:t>
      </w:r>
      <w:r>
        <w:rPr>
          <w:i/>
          <w:sz w:val="21"/>
        </w:rPr>
        <w:t>Fauna</w:t>
      </w:r>
      <w:r>
        <w:rPr>
          <w:i/>
          <w:spacing w:val="-21"/>
          <w:sz w:val="21"/>
        </w:rPr>
        <w:t xml:space="preserve"> </w:t>
      </w:r>
      <w:r>
        <w:rPr>
          <w:i/>
          <w:sz w:val="21"/>
        </w:rPr>
        <w:t>Guarantee</w:t>
      </w:r>
      <w:r>
        <w:rPr>
          <w:i/>
          <w:spacing w:val="-24"/>
          <w:sz w:val="21"/>
        </w:rPr>
        <w:t xml:space="preserve"> </w:t>
      </w:r>
      <w:r>
        <w:rPr>
          <w:i/>
          <w:sz w:val="21"/>
        </w:rPr>
        <w:t>Act</w:t>
      </w:r>
      <w:r>
        <w:rPr>
          <w:i/>
          <w:spacing w:val="-23"/>
          <w:sz w:val="21"/>
        </w:rPr>
        <w:t xml:space="preserve"> </w:t>
      </w:r>
      <w:r>
        <w:rPr>
          <w:i/>
          <w:sz w:val="21"/>
        </w:rPr>
        <w:t>1988</w:t>
      </w:r>
      <w:r>
        <w:rPr>
          <w:i/>
          <w:spacing w:val="-22"/>
          <w:sz w:val="21"/>
        </w:rPr>
        <w:t xml:space="preserve"> </w:t>
      </w:r>
      <w:r>
        <w:rPr>
          <w:sz w:val="20"/>
        </w:rPr>
        <w:t>and</w:t>
      </w:r>
      <w:r>
        <w:rPr>
          <w:spacing w:val="-20"/>
          <w:sz w:val="20"/>
        </w:rPr>
        <w:t xml:space="preserve"> </w:t>
      </w:r>
      <w:r>
        <w:rPr>
          <w:i/>
          <w:sz w:val="21"/>
        </w:rPr>
        <w:t>Environment Protection and Biodiversity Conservation Act 1999</w:t>
      </w:r>
      <w:r>
        <w:rPr>
          <w:sz w:val="20"/>
        </w:rPr>
        <w:t>), including the FFG Act-listed Victorian Temperate Woodland Bird</w:t>
      </w:r>
      <w:r>
        <w:rPr>
          <w:spacing w:val="-3"/>
          <w:sz w:val="20"/>
        </w:rPr>
        <w:t xml:space="preserve"> </w:t>
      </w:r>
      <w:r>
        <w:rPr>
          <w:sz w:val="20"/>
        </w:rPr>
        <w:t>Community</w:t>
      </w:r>
    </w:p>
    <w:p w14:paraId="1F02764A" w14:textId="77777777" w:rsidR="00C41552" w:rsidRDefault="00E0627B">
      <w:pPr>
        <w:pStyle w:val="ListParagraph"/>
        <w:numPr>
          <w:ilvl w:val="2"/>
          <w:numId w:val="2"/>
        </w:numPr>
        <w:tabs>
          <w:tab w:val="left" w:pos="1546"/>
          <w:tab w:val="left" w:pos="1547"/>
        </w:tabs>
        <w:spacing w:before="125" w:line="256" w:lineRule="auto"/>
        <w:ind w:right="335"/>
        <w:rPr>
          <w:sz w:val="20"/>
        </w:rPr>
      </w:pPr>
      <w:r>
        <w:rPr>
          <w:sz w:val="20"/>
        </w:rPr>
        <w:t xml:space="preserve">native vegetation, </w:t>
      </w:r>
      <w:proofErr w:type="gramStart"/>
      <w:r>
        <w:rPr>
          <w:sz w:val="20"/>
        </w:rPr>
        <w:t>in particular large</w:t>
      </w:r>
      <w:proofErr w:type="gramEnd"/>
      <w:r>
        <w:rPr>
          <w:sz w:val="20"/>
        </w:rPr>
        <w:t xml:space="preserve"> old trees and endangered ecological</w:t>
      </w:r>
      <w:r>
        <w:rPr>
          <w:spacing w:val="-37"/>
          <w:sz w:val="20"/>
        </w:rPr>
        <w:t xml:space="preserve"> </w:t>
      </w:r>
      <w:r>
        <w:rPr>
          <w:sz w:val="20"/>
        </w:rPr>
        <w:t>vegetation classes (including the endangered Riverine Chenopod</w:t>
      </w:r>
      <w:r>
        <w:rPr>
          <w:spacing w:val="-5"/>
          <w:sz w:val="20"/>
        </w:rPr>
        <w:t xml:space="preserve"> </w:t>
      </w:r>
      <w:r>
        <w:rPr>
          <w:sz w:val="20"/>
        </w:rPr>
        <w:t>Woodland)</w:t>
      </w:r>
    </w:p>
    <w:p w14:paraId="1F02764B" w14:textId="77777777" w:rsidR="00C41552" w:rsidRDefault="00E0627B">
      <w:pPr>
        <w:pStyle w:val="ListParagraph"/>
        <w:numPr>
          <w:ilvl w:val="2"/>
          <w:numId w:val="2"/>
        </w:numPr>
        <w:tabs>
          <w:tab w:val="left" w:pos="1546"/>
          <w:tab w:val="left" w:pos="1547"/>
        </w:tabs>
        <w:spacing w:before="114"/>
        <w:ind w:hanging="361"/>
        <w:rPr>
          <w:sz w:val="20"/>
        </w:rPr>
      </w:pPr>
      <w:r>
        <w:rPr>
          <w:sz w:val="20"/>
        </w:rPr>
        <w:t>threatening</w:t>
      </w:r>
      <w:r>
        <w:rPr>
          <w:spacing w:val="-5"/>
          <w:sz w:val="20"/>
        </w:rPr>
        <w:t xml:space="preserve"> </w:t>
      </w:r>
      <w:r>
        <w:rPr>
          <w:sz w:val="20"/>
        </w:rPr>
        <w:t>processes</w:t>
      </w:r>
      <w:r>
        <w:rPr>
          <w:spacing w:val="-7"/>
          <w:sz w:val="20"/>
        </w:rPr>
        <w:t xml:space="preserve"> </w:t>
      </w:r>
      <w:r>
        <w:rPr>
          <w:sz w:val="20"/>
        </w:rPr>
        <w:t>(under</w:t>
      </w:r>
      <w:r>
        <w:rPr>
          <w:spacing w:val="-7"/>
          <w:sz w:val="20"/>
        </w:rPr>
        <w:t xml:space="preserve"> </w:t>
      </w:r>
      <w:r>
        <w:rPr>
          <w:sz w:val="20"/>
        </w:rPr>
        <w:t>the</w:t>
      </w:r>
      <w:r>
        <w:rPr>
          <w:spacing w:val="-5"/>
          <w:sz w:val="20"/>
        </w:rPr>
        <w:t xml:space="preserve"> </w:t>
      </w:r>
      <w:r>
        <w:rPr>
          <w:i/>
          <w:sz w:val="21"/>
        </w:rPr>
        <w:t>Flora</w:t>
      </w:r>
      <w:r>
        <w:rPr>
          <w:i/>
          <w:spacing w:val="-9"/>
          <w:sz w:val="21"/>
        </w:rPr>
        <w:t xml:space="preserve"> </w:t>
      </w:r>
      <w:r>
        <w:rPr>
          <w:i/>
          <w:sz w:val="21"/>
        </w:rPr>
        <w:t>and</w:t>
      </w:r>
      <w:r>
        <w:rPr>
          <w:i/>
          <w:spacing w:val="-8"/>
          <w:sz w:val="21"/>
        </w:rPr>
        <w:t xml:space="preserve"> </w:t>
      </w:r>
      <w:r>
        <w:rPr>
          <w:i/>
          <w:sz w:val="21"/>
        </w:rPr>
        <w:t>Fauna</w:t>
      </w:r>
      <w:r>
        <w:rPr>
          <w:i/>
          <w:spacing w:val="-7"/>
          <w:sz w:val="21"/>
        </w:rPr>
        <w:t xml:space="preserve"> </w:t>
      </w:r>
      <w:r>
        <w:rPr>
          <w:i/>
          <w:sz w:val="21"/>
        </w:rPr>
        <w:t>Guarantee</w:t>
      </w:r>
      <w:r>
        <w:rPr>
          <w:i/>
          <w:spacing w:val="-9"/>
          <w:sz w:val="21"/>
        </w:rPr>
        <w:t xml:space="preserve"> </w:t>
      </w:r>
      <w:r>
        <w:rPr>
          <w:i/>
          <w:sz w:val="21"/>
        </w:rPr>
        <w:t>Act</w:t>
      </w:r>
      <w:r>
        <w:rPr>
          <w:i/>
          <w:spacing w:val="-10"/>
          <w:sz w:val="21"/>
        </w:rPr>
        <w:t xml:space="preserve"> </w:t>
      </w:r>
      <w:r>
        <w:rPr>
          <w:i/>
          <w:sz w:val="21"/>
        </w:rPr>
        <w:t>1988</w:t>
      </w:r>
      <w:r>
        <w:rPr>
          <w:i/>
          <w:spacing w:val="-7"/>
          <w:sz w:val="21"/>
        </w:rPr>
        <w:t xml:space="preserve"> </w:t>
      </w:r>
      <w:r>
        <w:rPr>
          <w:sz w:val="20"/>
        </w:rPr>
        <w:t>and</w:t>
      </w:r>
    </w:p>
    <w:p w14:paraId="1F02764C" w14:textId="77777777" w:rsidR="00C41552" w:rsidRDefault="00E0627B">
      <w:pPr>
        <w:pStyle w:val="Heading1"/>
        <w:rPr>
          <w:i w:val="0"/>
          <w:sz w:val="20"/>
        </w:rPr>
      </w:pPr>
      <w:r>
        <w:t>Environment Protection and Biodiversity Conservation Act 1999</w:t>
      </w:r>
      <w:r>
        <w:rPr>
          <w:i w:val="0"/>
          <w:sz w:val="20"/>
        </w:rPr>
        <w:t>);</w:t>
      </w:r>
    </w:p>
    <w:p w14:paraId="1F02764D" w14:textId="77777777" w:rsidR="00C41552" w:rsidRDefault="00E0627B">
      <w:pPr>
        <w:pStyle w:val="ListParagraph"/>
        <w:numPr>
          <w:ilvl w:val="1"/>
          <w:numId w:val="2"/>
        </w:numPr>
        <w:tabs>
          <w:tab w:val="left" w:pos="827"/>
        </w:tabs>
        <w:spacing w:before="135"/>
        <w:ind w:hanging="349"/>
        <w:jc w:val="left"/>
        <w:rPr>
          <w:sz w:val="20"/>
        </w:rPr>
      </w:pPr>
      <w:r>
        <w:rPr>
          <w:sz w:val="20"/>
        </w:rPr>
        <w:t>effects on groundwater hydrogeology and water</w:t>
      </w:r>
      <w:r>
        <w:rPr>
          <w:spacing w:val="-7"/>
          <w:sz w:val="20"/>
        </w:rPr>
        <w:t xml:space="preserve"> </w:t>
      </w:r>
      <w:r>
        <w:rPr>
          <w:sz w:val="20"/>
        </w:rPr>
        <w:t>quality;</w:t>
      </w:r>
    </w:p>
    <w:p w14:paraId="1F02764E" w14:textId="77777777" w:rsidR="00C41552" w:rsidRDefault="00E0627B">
      <w:pPr>
        <w:pStyle w:val="ListParagraph"/>
        <w:numPr>
          <w:ilvl w:val="1"/>
          <w:numId w:val="2"/>
        </w:numPr>
        <w:tabs>
          <w:tab w:val="left" w:pos="827"/>
        </w:tabs>
        <w:spacing w:before="121"/>
        <w:ind w:hanging="301"/>
        <w:jc w:val="left"/>
        <w:rPr>
          <w:sz w:val="20"/>
        </w:rPr>
      </w:pPr>
      <w:r>
        <w:rPr>
          <w:sz w:val="20"/>
        </w:rPr>
        <w:t>potential for impacts on Aboriginal cultural</w:t>
      </w:r>
      <w:r>
        <w:rPr>
          <w:spacing w:val="-6"/>
          <w:sz w:val="20"/>
        </w:rPr>
        <w:t xml:space="preserve"> </w:t>
      </w:r>
      <w:r>
        <w:rPr>
          <w:sz w:val="20"/>
        </w:rPr>
        <w:t>heritage;</w:t>
      </w:r>
    </w:p>
    <w:p w14:paraId="1F02764F" w14:textId="77777777" w:rsidR="00C41552" w:rsidRDefault="00E0627B">
      <w:pPr>
        <w:pStyle w:val="ListParagraph"/>
        <w:numPr>
          <w:ilvl w:val="1"/>
          <w:numId w:val="2"/>
        </w:numPr>
        <w:tabs>
          <w:tab w:val="left" w:pos="827"/>
        </w:tabs>
        <w:spacing w:before="119"/>
        <w:ind w:right="296" w:hanging="348"/>
        <w:jc w:val="left"/>
        <w:rPr>
          <w:sz w:val="20"/>
        </w:rPr>
      </w:pPr>
      <w:r>
        <w:rPr>
          <w:sz w:val="20"/>
        </w:rPr>
        <w:t>potential cumulative impacts and benefits of the project in relation to other VMFRP projects (and other existing or planned projects in the area), particularly in relation to vegetation</w:t>
      </w:r>
      <w:r>
        <w:rPr>
          <w:spacing w:val="-43"/>
          <w:sz w:val="20"/>
        </w:rPr>
        <w:t xml:space="preserve"> </w:t>
      </w:r>
      <w:r>
        <w:rPr>
          <w:sz w:val="20"/>
        </w:rPr>
        <w:t>loss and impacts on downstream aquatic environments and beneficial water</w:t>
      </w:r>
      <w:r>
        <w:rPr>
          <w:spacing w:val="-10"/>
          <w:sz w:val="20"/>
        </w:rPr>
        <w:t xml:space="preserve"> </w:t>
      </w:r>
      <w:r>
        <w:rPr>
          <w:sz w:val="20"/>
        </w:rPr>
        <w:t>uses;</w:t>
      </w:r>
    </w:p>
    <w:p w14:paraId="1F027650" w14:textId="77777777" w:rsidR="00C41552" w:rsidRDefault="00E0627B">
      <w:pPr>
        <w:pStyle w:val="ListParagraph"/>
        <w:numPr>
          <w:ilvl w:val="1"/>
          <w:numId w:val="2"/>
        </w:numPr>
        <w:tabs>
          <w:tab w:val="left" w:pos="827"/>
        </w:tabs>
        <w:ind w:right="286" w:hanging="394"/>
        <w:jc w:val="left"/>
        <w:rPr>
          <w:sz w:val="20"/>
        </w:rPr>
      </w:pPr>
      <w:r>
        <w:rPr>
          <w:sz w:val="20"/>
        </w:rPr>
        <w:t xml:space="preserve">proposed native vegetation offset strategy which </w:t>
      </w:r>
      <w:proofErr w:type="gramStart"/>
      <w:r>
        <w:rPr>
          <w:sz w:val="20"/>
        </w:rPr>
        <w:t>takes into account</w:t>
      </w:r>
      <w:proofErr w:type="gramEnd"/>
      <w:r>
        <w:rPr>
          <w:sz w:val="20"/>
        </w:rPr>
        <w:t xml:space="preserve"> the findings of items </w:t>
      </w:r>
      <w:proofErr w:type="spellStart"/>
      <w:r>
        <w:rPr>
          <w:sz w:val="20"/>
        </w:rPr>
        <w:t>i</w:t>
      </w:r>
      <w:proofErr w:type="spellEnd"/>
      <w:r>
        <w:rPr>
          <w:spacing w:val="-33"/>
          <w:sz w:val="20"/>
        </w:rPr>
        <w:t xml:space="preserve"> </w:t>
      </w:r>
      <w:r>
        <w:rPr>
          <w:sz w:val="20"/>
        </w:rPr>
        <w:t>to vi;</w:t>
      </w:r>
      <w:r>
        <w:rPr>
          <w:spacing w:val="-2"/>
          <w:sz w:val="20"/>
        </w:rPr>
        <w:t xml:space="preserve"> </w:t>
      </w:r>
      <w:r>
        <w:rPr>
          <w:sz w:val="20"/>
        </w:rPr>
        <w:t>and</w:t>
      </w:r>
    </w:p>
    <w:p w14:paraId="1F027651" w14:textId="77777777" w:rsidR="00C41552" w:rsidRDefault="00C41552">
      <w:pPr>
        <w:rPr>
          <w:sz w:val="20"/>
        </w:rPr>
        <w:sectPr w:rsidR="00C41552">
          <w:headerReference w:type="default" r:id="rId12"/>
          <w:type w:val="continuous"/>
          <w:pgSz w:w="11910" w:h="16840"/>
          <w:pgMar w:top="900" w:right="1300" w:bottom="280" w:left="1300" w:header="432" w:footer="720" w:gutter="0"/>
          <w:cols w:space="720"/>
        </w:sectPr>
      </w:pPr>
    </w:p>
    <w:p w14:paraId="1F027652" w14:textId="77777777" w:rsidR="00C41552" w:rsidRDefault="00E0627B">
      <w:pPr>
        <w:pStyle w:val="ListParagraph"/>
        <w:numPr>
          <w:ilvl w:val="1"/>
          <w:numId w:val="2"/>
        </w:numPr>
        <w:tabs>
          <w:tab w:val="left" w:pos="827"/>
        </w:tabs>
        <w:spacing w:before="89"/>
        <w:ind w:right="391" w:hanging="440"/>
        <w:jc w:val="left"/>
        <w:rPr>
          <w:sz w:val="20"/>
        </w:rPr>
      </w:pPr>
      <w:r>
        <w:rPr>
          <w:sz w:val="20"/>
        </w:rPr>
        <w:lastRenderedPageBreak/>
        <w:t>mapping th</w:t>
      </w:r>
      <w:r>
        <w:rPr>
          <w:sz w:val="20"/>
        </w:rPr>
        <w:t>at clearly articulates full extent of works/ infrastructure and inundation areas,</w:t>
      </w:r>
      <w:r>
        <w:rPr>
          <w:spacing w:val="-45"/>
          <w:sz w:val="20"/>
        </w:rPr>
        <w:t xml:space="preserve"> </w:t>
      </w:r>
      <w:r>
        <w:rPr>
          <w:sz w:val="20"/>
        </w:rPr>
        <w:t>as well as key environmental assets/values to be avoided (e.g. no-go</w:t>
      </w:r>
      <w:r>
        <w:rPr>
          <w:spacing w:val="-11"/>
          <w:sz w:val="20"/>
        </w:rPr>
        <w:t xml:space="preserve"> </w:t>
      </w:r>
      <w:r>
        <w:rPr>
          <w:sz w:val="20"/>
        </w:rPr>
        <w:t>zones).</w:t>
      </w:r>
    </w:p>
    <w:p w14:paraId="1F027653" w14:textId="77777777" w:rsidR="00C41552" w:rsidRDefault="00E0627B">
      <w:pPr>
        <w:pStyle w:val="ListParagraph"/>
        <w:numPr>
          <w:ilvl w:val="0"/>
          <w:numId w:val="2"/>
        </w:numPr>
        <w:tabs>
          <w:tab w:val="left" w:pos="545"/>
          <w:tab w:val="left" w:pos="547"/>
        </w:tabs>
        <w:spacing w:before="130" w:line="230" w:lineRule="auto"/>
        <w:ind w:right="407"/>
        <w:rPr>
          <w:sz w:val="20"/>
        </w:rPr>
      </w:pPr>
      <w:r>
        <w:rPr>
          <w:sz w:val="20"/>
        </w:rPr>
        <w:t>The environment report (required under condition (a)) will inform the final project design and subsequent</w:t>
      </w:r>
      <w:r>
        <w:rPr>
          <w:spacing w:val="-14"/>
          <w:sz w:val="20"/>
        </w:rPr>
        <w:t xml:space="preserve"> </w:t>
      </w:r>
      <w:r>
        <w:rPr>
          <w:sz w:val="20"/>
        </w:rPr>
        <w:t>planning</w:t>
      </w:r>
      <w:r>
        <w:rPr>
          <w:spacing w:val="-14"/>
          <w:sz w:val="20"/>
        </w:rPr>
        <w:t xml:space="preserve"> </w:t>
      </w:r>
      <w:r>
        <w:rPr>
          <w:sz w:val="20"/>
        </w:rPr>
        <w:t>and</w:t>
      </w:r>
      <w:r>
        <w:rPr>
          <w:spacing w:val="-14"/>
          <w:sz w:val="20"/>
        </w:rPr>
        <w:t xml:space="preserve"> </w:t>
      </w:r>
      <w:r>
        <w:rPr>
          <w:sz w:val="20"/>
        </w:rPr>
        <w:t>approval</w:t>
      </w:r>
      <w:r>
        <w:rPr>
          <w:spacing w:val="-14"/>
          <w:sz w:val="20"/>
        </w:rPr>
        <w:t xml:space="preserve"> </w:t>
      </w:r>
      <w:r>
        <w:rPr>
          <w:sz w:val="20"/>
        </w:rPr>
        <w:t>processes,</w:t>
      </w:r>
      <w:r>
        <w:rPr>
          <w:spacing w:val="-14"/>
          <w:sz w:val="20"/>
        </w:rPr>
        <w:t xml:space="preserve"> </w:t>
      </w:r>
      <w:r>
        <w:rPr>
          <w:sz w:val="20"/>
        </w:rPr>
        <w:t>particularly</w:t>
      </w:r>
      <w:r>
        <w:rPr>
          <w:spacing w:val="-15"/>
          <w:sz w:val="20"/>
        </w:rPr>
        <w:t xml:space="preserve"> </w:t>
      </w:r>
      <w:r>
        <w:rPr>
          <w:sz w:val="20"/>
        </w:rPr>
        <w:t>under</w:t>
      </w:r>
      <w:r>
        <w:rPr>
          <w:spacing w:val="-14"/>
          <w:sz w:val="20"/>
        </w:rPr>
        <w:t xml:space="preserve"> </w:t>
      </w:r>
      <w:r>
        <w:rPr>
          <w:sz w:val="20"/>
        </w:rPr>
        <w:t>the</w:t>
      </w:r>
      <w:r>
        <w:rPr>
          <w:spacing w:val="-11"/>
          <w:sz w:val="20"/>
        </w:rPr>
        <w:t xml:space="preserve"> </w:t>
      </w:r>
      <w:r>
        <w:rPr>
          <w:i/>
          <w:sz w:val="21"/>
        </w:rPr>
        <w:t>Planning</w:t>
      </w:r>
      <w:r>
        <w:rPr>
          <w:i/>
          <w:spacing w:val="-18"/>
          <w:sz w:val="21"/>
        </w:rPr>
        <w:t xml:space="preserve"> </w:t>
      </w:r>
      <w:r>
        <w:rPr>
          <w:i/>
          <w:sz w:val="21"/>
        </w:rPr>
        <w:t>and</w:t>
      </w:r>
      <w:r>
        <w:rPr>
          <w:i/>
          <w:spacing w:val="-15"/>
          <w:sz w:val="21"/>
        </w:rPr>
        <w:t xml:space="preserve"> </w:t>
      </w:r>
      <w:r>
        <w:rPr>
          <w:i/>
          <w:sz w:val="21"/>
        </w:rPr>
        <w:t>Environment Act</w:t>
      </w:r>
      <w:r>
        <w:rPr>
          <w:i/>
          <w:spacing w:val="-5"/>
          <w:sz w:val="21"/>
        </w:rPr>
        <w:t xml:space="preserve"> </w:t>
      </w:r>
      <w:r>
        <w:rPr>
          <w:i/>
          <w:sz w:val="21"/>
        </w:rPr>
        <w:t>1987</w:t>
      </w:r>
      <w:r>
        <w:rPr>
          <w:sz w:val="20"/>
        </w:rPr>
        <w:t>.</w:t>
      </w:r>
    </w:p>
    <w:p w14:paraId="1F027654" w14:textId="77777777" w:rsidR="00C41552" w:rsidRDefault="00E0627B">
      <w:pPr>
        <w:pStyle w:val="ListParagraph"/>
        <w:numPr>
          <w:ilvl w:val="0"/>
          <w:numId w:val="2"/>
        </w:numPr>
        <w:tabs>
          <w:tab w:val="left" w:pos="545"/>
          <w:tab w:val="left" w:pos="547"/>
        </w:tabs>
        <w:spacing w:before="116"/>
        <w:ind w:right="321"/>
        <w:rPr>
          <w:sz w:val="20"/>
        </w:rPr>
      </w:pPr>
      <w:r>
        <w:rPr>
          <w:sz w:val="20"/>
        </w:rPr>
        <w:t>Prior to any works and the removal of any native vegetation</w:t>
      </w:r>
      <w:r>
        <w:rPr>
          <w:sz w:val="20"/>
        </w:rPr>
        <w:t xml:space="preserve">, a flora and fauna management plan, informed by the final environment report, must be prepared for the project by qualified consultants to the satisfaction of the Secretary of DELWP. This must include detailed measures and procedures intended to avoid, </w:t>
      </w:r>
      <w:proofErr w:type="spellStart"/>
      <w:r>
        <w:rPr>
          <w:sz w:val="20"/>
        </w:rPr>
        <w:t>mi</w:t>
      </w:r>
      <w:r>
        <w:rPr>
          <w:sz w:val="20"/>
        </w:rPr>
        <w:t>nimise</w:t>
      </w:r>
      <w:proofErr w:type="spellEnd"/>
      <w:r>
        <w:rPr>
          <w:sz w:val="20"/>
        </w:rPr>
        <w:t xml:space="preserve"> and mitigate potential impacts on flora, fauna and native vegetation within the project site and inundation area during construction and</w:t>
      </w:r>
      <w:r>
        <w:rPr>
          <w:spacing w:val="-36"/>
          <w:sz w:val="20"/>
        </w:rPr>
        <w:t xml:space="preserve"> </w:t>
      </w:r>
      <w:r>
        <w:rPr>
          <w:sz w:val="20"/>
        </w:rPr>
        <w:t>operation.</w:t>
      </w:r>
    </w:p>
    <w:p w14:paraId="1F027655" w14:textId="77777777" w:rsidR="00C41552" w:rsidRDefault="00E0627B">
      <w:pPr>
        <w:pStyle w:val="ListParagraph"/>
        <w:numPr>
          <w:ilvl w:val="0"/>
          <w:numId w:val="2"/>
        </w:numPr>
        <w:tabs>
          <w:tab w:val="left" w:pos="545"/>
          <w:tab w:val="left" w:pos="547"/>
        </w:tabs>
        <w:ind w:right="199"/>
        <w:rPr>
          <w:sz w:val="20"/>
        </w:rPr>
      </w:pPr>
      <w:r>
        <w:rPr>
          <w:sz w:val="20"/>
        </w:rPr>
        <w:t>An environmental management framework (EMF), informed by the findings and conclusions of the environment report, must be completed by the proponent to the satisfaction of the Secretary of DELWP prior to the commencement of works. The EMF needs to be prepar</w:t>
      </w:r>
      <w:r>
        <w:rPr>
          <w:sz w:val="20"/>
        </w:rPr>
        <w:t>ed in consultation with DELWP and include a statement of all environmental commitments for the project, including details of the required content and review process for additional management and monitoring plans to be</w:t>
      </w:r>
      <w:r>
        <w:rPr>
          <w:spacing w:val="-3"/>
          <w:sz w:val="20"/>
        </w:rPr>
        <w:t xml:space="preserve"> </w:t>
      </w:r>
      <w:r>
        <w:rPr>
          <w:sz w:val="20"/>
        </w:rPr>
        <w:t>developed.</w:t>
      </w:r>
    </w:p>
    <w:p w14:paraId="1F027656" w14:textId="77777777" w:rsidR="00C41552" w:rsidRDefault="00E0627B">
      <w:pPr>
        <w:pStyle w:val="ListParagraph"/>
        <w:numPr>
          <w:ilvl w:val="0"/>
          <w:numId w:val="2"/>
        </w:numPr>
        <w:tabs>
          <w:tab w:val="left" w:pos="545"/>
          <w:tab w:val="left" w:pos="547"/>
        </w:tabs>
        <w:spacing w:before="122"/>
        <w:ind w:right="139"/>
        <w:rPr>
          <w:sz w:val="20"/>
        </w:rPr>
      </w:pPr>
      <w:r>
        <w:rPr>
          <w:sz w:val="20"/>
        </w:rPr>
        <w:t>A construction environmenta</w:t>
      </w:r>
      <w:r>
        <w:rPr>
          <w:sz w:val="20"/>
        </w:rPr>
        <w:t>l management plan (CEMP), informed by the findings and conclusions of the environment report, must be completed by the proponent to the satisfaction of the Secretary of DELWP prior to the commencement of works. The CEMP must be prepared in consultation wit</w:t>
      </w:r>
      <w:r>
        <w:rPr>
          <w:sz w:val="20"/>
        </w:rPr>
        <w:t xml:space="preserve">h DELWP and other relevant agencies including Parks Victoria, Heritage Victoria, Aboriginal Victoria, the Environmental Protection Authority, and the Mallee Catchment Management Authority. The CEMP will document all avoidance and mitigation measures to be </w:t>
      </w:r>
      <w:r>
        <w:rPr>
          <w:sz w:val="20"/>
        </w:rPr>
        <w:t>implemented for the project during construction, and responsibilities for</w:t>
      </w:r>
      <w:r>
        <w:rPr>
          <w:spacing w:val="-8"/>
          <w:sz w:val="20"/>
        </w:rPr>
        <w:t xml:space="preserve"> </w:t>
      </w:r>
      <w:r>
        <w:rPr>
          <w:sz w:val="20"/>
        </w:rPr>
        <w:t>implementation.</w:t>
      </w:r>
    </w:p>
    <w:p w14:paraId="1F027657" w14:textId="77777777" w:rsidR="00C41552" w:rsidRDefault="00E0627B">
      <w:pPr>
        <w:pStyle w:val="ListParagraph"/>
        <w:numPr>
          <w:ilvl w:val="0"/>
          <w:numId w:val="2"/>
        </w:numPr>
        <w:tabs>
          <w:tab w:val="left" w:pos="545"/>
          <w:tab w:val="left" w:pos="547"/>
        </w:tabs>
        <w:ind w:right="251"/>
        <w:rPr>
          <w:sz w:val="20"/>
        </w:rPr>
      </w:pPr>
      <w:r>
        <w:rPr>
          <w:sz w:val="20"/>
        </w:rPr>
        <w:t>An operating plan, informed by the findings and conclusions of the environment report, must be completed by the proponent to the satisfaction of the Secretary of DELW</w:t>
      </w:r>
      <w:r>
        <w:rPr>
          <w:sz w:val="20"/>
        </w:rPr>
        <w:t>P prior to the commencement of works. The operating plan must be prepared in consultation with DELWP and other relevant agencies including Parks Victoria, Heritage Victoria, Aboriginal Victoria, the Environmental Protection Authority, and the Mallee Catchm</w:t>
      </w:r>
      <w:r>
        <w:rPr>
          <w:sz w:val="20"/>
        </w:rPr>
        <w:t>ent Management Authority. The operating plan will document all avoidance and mitigation measures to be implemented for the project during operations (including the planned timing of inundation events), as well as responsibilities for implementation.</w:t>
      </w:r>
    </w:p>
    <w:p w14:paraId="1F027658" w14:textId="77777777" w:rsidR="00C41552" w:rsidRDefault="00C41552">
      <w:pPr>
        <w:pStyle w:val="BodyText"/>
        <w:spacing w:before="12"/>
        <w:ind w:left="0"/>
        <w:rPr>
          <w:sz w:val="19"/>
        </w:rPr>
      </w:pPr>
    </w:p>
    <w:p w14:paraId="1F027659" w14:textId="77777777" w:rsidR="00C41552" w:rsidRDefault="00E0627B">
      <w:pPr>
        <w:pStyle w:val="Heading2"/>
      </w:pPr>
      <w:r>
        <w:t>Reaso</w:t>
      </w:r>
      <w:r>
        <w:t>ns for Decision:</w:t>
      </w:r>
    </w:p>
    <w:p w14:paraId="1F02765A" w14:textId="77777777" w:rsidR="00C41552" w:rsidRDefault="00E0627B">
      <w:pPr>
        <w:pStyle w:val="BodyText"/>
        <w:spacing w:before="121"/>
        <w:ind w:left="118" w:right="115"/>
        <w:jc w:val="both"/>
      </w:pPr>
      <w:r>
        <w:t>There is uncertainty regarding the balance between intended ecological benefits of the project and the potentially significant adverse effects of the project. Assessment of the potentially significant effects is necessary to ensure their e</w:t>
      </w:r>
      <w:r>
        <w:t>xtent, related uncertainty and acceptability are sufficiently investigated.</w:t>
      </w:r>
    </w:p>
    <w:p w14:paraId="1F02765B" w14:textId="77777777" w:rsidR="00C41552" w:rsidRDefault="00E0627B">
      <w:pPr>
        <w:pStyle w:val="BodyText"/>
        <w:spacing w:line="240" w:lineRule="exact"/>
        <w:ind w:left="118"/>
        <w:jc w:val="both"/>
      </w:pPr>
      <w:r>
        <w:t>Key uncertainties remaining include:</w:t>
      </w:r>
    </w:p>
    <w:p w14:paraId="1F02765C" w14:textId="77777777" w:rsidR="00C41552" w:rsidRDefault="00E0627B">
      <w:pPr>
        <w:pStyle w:val="ListParagraph"/>
        <w:numPr>
          <w:ilvl w:val="0"/>
          <w:numId w:val="1"/>
        </w:numPr>
        <w:tabs>
          <w:tab w:val="left" w:pos="476"/>
          <w:tab w:val="left" w:pos="477"/>
        </w:tabs>
        <w:ind w:right="402"/>
        <w:rPr>
          <w:sz w:val="20"/>
        </w:rPr>
      </w:pPr>
      <w:r>
        <w:rPr>
          <w:sz w:val="20"/>
        </w:rPr>
        <w:t>the extent of potential environmental effects and benefits for native vegetation and biodiversity values, as well as the feasibility and effect</w:t>
      </w:r>
      <w:r>
        <w:rPr>
          <w:sz w:val="20"/>
        </w:rPr>
        <w:t>iveness of avoidance, mitigation and offsetting measures;</w:t>
      </w:r>
    </w:p>
    <w:p w14:paraId="1F02765D" w14:textId="77777777" w:rsidR="00C41552" w:rsidRDefault="00E0627B">
      <w:pPr>
        <w:pStyle w:val="ListParagraph"/>
        <w:numPr>
          <w:ilvl w:val="0"/>
          <w:numId w:val="1"/>
        </w:numPr>
        <w:tabs>
          <w:tab w:val="left" w:pos="476"/>
          <w:tab w:val="left" w:pos="477"/>
        </w:tabs>
        <w:spacing w:before="119"/>
        <w:ind w:hanging="359"/>
        <w:rPr>
          <w:sz w:val="20"/>
        </w:rPr>
      </w:pPr>
      <w:r>
        <w:rPr>
          <w:sz w:val="20"/>
        </w:rPr>
        <w:t>the potential for impacts on hydrogeology and water</w:t>
      </w:r>
      <w:r>
        <w:rPr>
          <w:spacing w:val="-18"/>
          <w:sz w:val="20"/>
        </w:rPr>
        <w:t xml:space="preserve"> </w:t>
      </w:r>
      <w:r>
        <w:rPr>
          <w:sz w:val="20"/>
        </w:rPr>
        <w:t>quality;</w:t>
      </w:r>
    </w:p>
    <w:p w14:paraId="1F02765E" w14:textId="77777777" w:rsidR="00C41552" w:rsidRDefault="00E0627B">
      <w:pPr>
        <w:pStyle w:val="ListParagraph"/>
        <w:numPr>
          <w:ilvl w:val="0"/>
          <w:numId w:val="1"/>
        </w:numPr>
        <w:tabs>
          <w:tab w:val="left" w:pos="476"/>
          <w:tab w:val="left" w:pos="477"/>
        </w:tabs>
        <w:spacing w:before="118"/>
        <w:ind w:hanging="359"/>
        <w:rPr>
          <w:sz w:val="20"/>
        </w:rPr>
      </w:pPr>
      <w:r>
        <w:rPr>
          <w:sz w:val="20"/>
        </w:rPr>
        <w:t>the potential for impacts on Aboriginal cultural heritage;</w:t>
      </w:r>
      <w:r>
        <w:rPr>
          <w:spacing w:val="-20"/>
          <w:sz w:val="20"/>
        </w:rPr>
        <w:t xml:space="preserve"> </w:t>
      </w:r>
      <w:r>
        <w:rPr>
          <w:sz w:val="20"/>
        </w:rPr>
        <w:t>and</w:t>
      </w:r>
    </w:p>
    <w:p w14:paraId="1F02765F" w14:textId="77777777" w:rsidR="00C41552" w:rsidRDefault="00E0627B">
      <w:pPr>
        <w:pStyle w:val="ListParagraph"/>
        <w:numPr>
          <w:ilvl w:val="0"/>
          <w:numId w:val="1"/>
        </w:numPr>
        <w:tabs>
          <w:tab w:val="left" w:pos="476"/>
          <w:tab w:val="left" w:pos="477"/>
        </w:tabs>
        <w:spacing w:before="122" w:line="235" w:lineRule="auto"/>
        <w:ind w:right="683"/>
        <w:rPr>
          <w:sz w:val="20"/>
        </w:rPr>
      </w:pPr>
      <w:r>
        <w:rPr>
          <w:sz w:val="20"/>
        </w:rPr>
        <w:t xml:space="preserve">the potential for cumulative impacts in conjunction with other projects proposed such as the nearby </w:t>
      </w:r>
      <w:proofErr w:type="spellStart"/>
      <w:r>
        <w:rPr>
          <w:sz w:val="20"/>
        </w:rPr>
        <w:t>Vinifera</w:t>
      </w:r>
      <w:proofErr w:type="spellEnd"/>
      <w:r>
        <w:rPr>
          <w:sz w:val="20"/>
        </w:rPr>
        <w:t xml:space="preserve"> Floodplain Restoration</w:t>
      </w:r>
      <w:r>
        <w:rPr>
          <w:spacing w:val="1"/>
          <w:sz w:val="20"/>
        </w:rPr>
        <w:t xml:space="preserve"> </w:t>
      </w:r>
      <w:r>
        <w:rPr>
          <w:sz w:val="20"/>
        </w:rPr>
        <w:t>Project.</w:t>
      </w:r>
    </w:p>
    <w:p w14:paraId="1F027660" w14:textId="77777777" w:rsidR="00C41552" w:rsidRDefault="00E0627B">
      <w:pPr>
        <w:pStyle w:val="BodyText"/>
        <w:spacing w:before="122"/>
        <w:ind w:left="118" w:right="164"/>
      </w:pPr>
      <w:r>
        <w:t>The conditions set out through this decision provide the most appropriate means for examining these potentially sig</w:t>
      </w:r>
      <w:r>
        <w:t>nificant effects and related uncertainties, including the development of adequate measures to avoid and mitigate impacts in the context of relevant policy and regulatory requirements.</w:t>
      </w:r>
    </w:p>
    <w:p w14:paraId="1F027661" w14:textId="77777777" w:rsidR="00C41552" w:rsidRDefault="00E0627B">
      <w:pPr>
        <w:spacing w:before="127" w:line="232" w:lineRule="auto"/>
        <w:ind w:left="118" w:right="184"/>
        <w:rPr>
          <w:sz w:val="20"/>
        </w:rPr>
      </w:pPr>
      <w:r>
        <w:rPr>
          <w:sz w:val="20"/>
        </w:rPr>
        <w:t>Other residual potential effects should be readily addressed through res</w:t>
      </w:r>
      <w:r>
        <w:rPr>
          <w:sz w:val="20"/>
        </w:rPr>
        <w:t>pective statutory requirements,</w:t>
      </w:r>
      <w:r>
        <w:rPr>
          <w:spacing w:val="-22"/>
          <w:sz w:val="20"/>
        </w:rPr>
        <w:t xml:space="preserve"> </w:t>
      </w:r>
      <w:r>
        <w:rPr>
          <w:sz w:val="20"/>
        </w:rPr>
        <w:t>under</w:t>
      </w:r>
      <w:r>
        <w:rPr>
          <w:spacing w:val="-23"/>
          <w:sz w:val="20"/>
        </w:rPr>
        <w:t xml:space="preserve"> </w:t>
      </w:r>
      <w:r>
        <w:rPr>
          <w:sz w:val="20"/>
        </w:rPr>
        <w:t>the</w:t>
      </w:r>
      <w:r>
        <w:rPr>
          <w:spacing w:val="-21"/>
          <w:sz w:val="20"/>
        </w:rPr>
        <w:t xml:space="preserve"> </w:t>
      </w:r>
      <w:r>
        <w:rPr>
          <w:i/>
          <w:sz w:val="21"/>
        </w:rPr>
        <w:t>Planning</w:t>
      </w:r>
      <w:r>
        <w:rPr>
          <w:i/>
          <w:spacing w:val="-25"/>
          <w:sz w:val="21"/>
        </w:rPr>
        <w:t xml:space="preserve"> </w:t>
      </w:r>
      <w:r>
        <w:rPr>
          <w:i/>
          <w:sz w:val="21"/>
        </w:rPr>
        <w:t>and</w:t>
      </w:r>
      <w:r>
        <w:rPr>
          <w:i/>
          <w:spacing w:val="-25"/>
          <w:sz w:val="21"/>
        </w:rPr>
        <w:t xml:space="preserve"> </w:t>
      </w:r>
      <w:r>
        <w:rPr>
          <w:i/>
          <w:sz w:val="21"/>
        </w:rPr>
        <w:t>Environment</w:t>
      </w:r>
      <w:r>
        <w:rPr>
          <w:i/>
          <w:spacing w:val="-25"/>
          <w:sz w:val="21"/>
        </w:rPr>
        <w:t xml:space="preserve"> </w:t>
      </w:r>
      <w:r>
        <w:rPr>
          <w:i/>
          <w:sz w:val="21"/>
        </w:rPr>
        <w:t>Act</w:t>
      </w:r>
      <w:r>
        <w:rPr>
          <w:i/>
          <w:spacing w:val="-25"/>
          <w:sz w:val="21"/>
        </w:rPr>
        <w:t xml:space="preserve"> </w:t>
      </w:r>
      <w:r>
        <w:rPr>
          <w:i/>
          <w:sz w:val="21"/>
        </w:rPr>
        <w:t>1987,</w:t>
      </w:r>
      <w:r>
        <w:rPr>
          <w:i/>
          <w:spacing w:val="-26"/>
          <w:sz w:val="21"/>
        </w:rPr>
        <w:t xml:space="preserve"> </w:t>
      </w:r>
      <w:r>
        <w:rPr>
          <w:i/>
          <w:sz w:val="21"/>
        </w:rPr>
        <w:t>Water</w:t>
      </w:r>
      <w:r>
        <w:rPr>
          <w:i/>
          <w:spacing w:val="-26"/>
          <w:sz w:val="21"/>
        </w:rPr>
        <w:t xml:space="preserve"> </w:t>
      </w:r>
      <w:r>
        <w:rPr>
          <w:i/>
          <w:sz w:val="21"/>
        </w:rPr>
        <w:t>Act</w:t>
      </w:r>
      <w:r>
        <w:rPr>
          <w:i/>
          <w:spacing w:val="-24"/>
          <w:sz w:val="21"/>
        </w:rPr>
        <w:t xml:space="preserve"> </w:t>
      </w:r>
      <w:r>
        <w:rPr>
          <w:i/>
          <w:sz w:val="21"/>
        </w:rPr>
        <w:t>1989,</w:t>
      </w:r>
      <w:r>
        <w:rPr>
          <w:i/>
          <w:spacing w:val="-23"/>
          <w:sz w:val="21"/>
        </w:rPr>
        <w:t xml:space="preserve"> </w:t>
      </w:r>
      <w:r>
        <w:rPr>
          <w:i/>
          <w:sz w:val="21"/>
        </w:rPr>
        <w:t>Heritage</w:t>
      </w:r>
      <w:r>
        <w:rPr>
          <w:i/>
          <w:spacing w:val="-25"/>
          <w:sz w:val="21"/>
        </w:rPr>
        <w:t xml:space="preserve"> </w:t>
      </w:r>
      <w:r>
        <w:rPr>
          <w:i/>
          <w:sz w:val="21"/>
        </w:rPr>
        <w:t>Act</w:t>
      </w:r>
      <w:r>
        <w:rPr>
          <w:i/>
          <w:spacing w:val="-25"/>
          <w:sz w:val="21"/>
        </w:rPr>
        <w:t xml:space="preserve"> </w:t>
      </w:r>
      <w:r>
        <w:rPr>
          <w:i/>
          <w:sz w:val="21"/>
        </w:rPr>
        <w:t>2017</w:t>
      </w:r>
      <w:r>
        <w:rPr>
          <w:i/>
          <w:spacing w:val="-26"/>
          <w:sz w:val="21"/>
        </w:rPr>
        <w:t xml:space="preserve"> </w:t>
      </w:r>
      <w:r>
        <w:rPr>
          <w:sz w:val="20"/>
        </w:rPr>
        <w:t xml:space="preserve">and </w:t>
      </w:r>
      <w:r>
        <w:rPr>
          <w:i/>
          <w:sz w:val="21"/>
        </w:rPr>
        <w:t xml:space="preserve">Environment Protection Act 1970 </w:t>
      </w:r>
      <w:r>
        <w:rPr>
          <w:sz w:val="20"/>
        </w:rPr>
        <w:t>(to be superseded by the Environment Protection Amendment Act 2018 from 1 July 2021).</w:t>
      </w:r>
    </w:p>
    <w:p w14:paraId="1F027662" w14:textId="77777777" w:rsidR="00C41552" w:rsidRDefault="00C41552">
      <w:pPr>
        <w:pStyle w:val="BodyText"/>
        <w:ind w:left="0"/>
        <w:rPr>
          <w:sz w:val="24"/>
        </w:rPr>
      </w:pPr>
    </w:p>
    <w:p w14:paraId="1F027663" w14:textId="77777777" w:rsidR="00C41552" w:rsidRDefault="00E0627B">
      <w:pPr>
        <w:spacing w:before="191"/>
        <w:ind w:left="118"/>
        <w:rPr>
          <w:sz w:val="20"/>
        </w:rPr>
      </w:pPr>
      <w:r>
        <w:rPr>
          <w:b/>
          <w:sz w:val="20"/>
        </w:rPr>
        <w:t xml:space="preserve">Date of Decision: </w:t>
      </w:r>
      <w:r>
        <w:rPr>
          <w:sz w:val="20"/>
        </w:rPr>
        <w:t>11 / 06 / 2020</w:t>
      </w:r>
    </w:p>
    <w:sectPr w:rsidR="00C41552">
      <w:pgSz w:w="11910" w:h="16840"/>
      <w:pgMar w:top="900" w:right="1300" w:bottom="280" w:left="130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27669" w14:textId="77777777" w:rsidR="00000000" w:rsidRDefault="00E0627B">
      <w:r>
        <w:separator/>
      </w:r>
    </w:p>
  </w:endnote>
  <w:endnote w:type="continuationSeparator" w:id="0">
    <w:p w14:paraId="1F02766B" w14:textId="77777777" w:rsidR="00000000" w:rsidRDefault="00E0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27665" w14:textId="77777777" w:rsidR="00000000" w:rsidRDefault="00E0627B">
      <w:r>
        <w:separator/>
      </w:r>
    </w:p>
  </w:footnote>
  <w:footnote w:type="continuationSeparator" w:id="0">
    <w:p w14:paraId="1F027667" w14:textId="77777777" w:rsidR="00000000" w:rsidRDefault="00E06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7664" w14:textId="77777777" w:rsidR="00C41552" w:rsidRDefault="00E0627B">
    <w:pPr>
      <w:pStyle w:val="BodyText"/>
      <w:spacing w:line="14" w:lineRule="auto"/>
      <w:ind w:left="0"/>
    </w:pPr>
    <w:r>
      <w:pict w14:anchorId="1F027665">
        <v:shapetype id="_x0000_t202" coordsize="21600,21600" o:spt="202" path="m,l,21600r21600,l21600,xe">
          <v:stroke joinstyle="miter"/>
          <v:path gradientshapeok="t" o:connecttype="rect"/>
        </v:shapetype>
        <v:shape id="_x0000_s1025" type="#_x0000_t202" style="position:absolute;margin-left:354.65pt;margin-top:20.6pt;width:170.9pt;height:13.15pt;z-index:-251658752;mso-position-horizontal-relative:page;mso-position-vertical-relative:page" filled="f" stroked="f">
          <v:textbox inset="0,0,0,0">
            <w:txbxContent>
              <w:p w14:paraId="1F027666" w14:textId="77777777" w:rsidR="00C41552" w:rsidRDefault="00E0627B">
                <w:pPr>
                  <w:pStyle w:val="BodyText"/>
                  <w:spacing w:before="12"/>
                  <w:ind w:left="20"/>
                  <w:rPr>
                    <w:rFonts w:ascii="Arial"/>
                  </w:rPr>
                </w:pPr>
                <w:r>
                  <w:rPr>
                    <w:rFonts w:ascii="Arial"/>
                  </w:rPr>
                  <w:t>EES REFERRAL NUMBER 2020R-04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C00A7"/>
    <w:multiLevelType w:val="hybridMultilevel"/>
    <w:tmpl w:val="481A7D6A"/>
    <w:lvl w:ilvl="0" w:tplc="E2CA0A6C">
      <w:start w:val="1"/>
      <w:numFmt w:val="lowerLetter"/>
      <w:lvlText w:val="%1)"/>
      <w:lvlJc w:val="left"/>
      <w:pPr>
        <w:ind w:left="546" w:hanging="428"/>
        <w:jc w:val="left"/>
      </w:pPr>
      <w:rPr>
        <w:rFonts w:ascii="Tahoma" w:eastAsia="Tahoma" w:hAnsi="Tahoma" w:cs="Tahoma" w:hint="default"/>
        <w:spacing w:val="0"/>
        <w:w w:val="99"/>
        <w:sz w:val="20"/>
        <w:szCs w:val="20"/>
        <w:lang w:val="en-US" w:eastAsia="en-US" w:bidi="ar-SA"/>
      </w:rPr>
    </w:lvl>
    <w:lvl w:ilvl="1" w:tplc="41F0EE78">
      <w:start w:val="1"/>
      <w:numFmt w:val="lowerRoman"/>
      <w:lvlText w:val="%2."/>
      <w:lvlJc w:val="left"/>
      <w:pPr>
        <w:ind w:left="826" w:hanging="248"/>
        <w:jc w:val="right"/>
      </w:pPr>
      <w:rPr>
        <w:rFonts w:ascii="Tahoma" w:eastAsia="Tahoma" w:hAnsi="Tahoma" w:cs="Tahoma" w:hint="default"/>
        <w:w w:val="99"/>
        <w:sz w:val="20"/>
        <w:szCs w:val="20"/>
        <w:lang w:val="en-US" w:eastAsia="en-US" w:bidi="ar-SA"/>
      </w:rPr>
    </w:lvl>
    <w:lvl w:ilvl="2" w:tplc="FCB2CDFE">
      <w:numFmt w:val="bullet"/>
      <w:lvlText w:val=""/>
      <w:lvlJc w:val="left"/>
      <w:pPr>
        <w:ind w:left="1546" w:hanging="360"/>
      </w:pPr>
      <w:rPr>
        <w:rFonts w:ascii="Symbol" w:eastAsia="Symbol" w:hAnsi="Symbol" w:cs="Symbol" w:hint="default"/>
        <w:w w:val="99"/>
        <w:sz w:val="20"/>
        <w:szCs w:val="20"/>
        <w:lang w:val="en-US" w:eastAsia="en-US" w:bidi="ar-SA"/>
      </w:rPr>
    </w:lvl>
    <w:lvl w:ilvl="3" w:tplc="2A288DF6">
      <w:numFmt w:val="bullet"/>
      <w:lvlText w:val="•"/>
      <w:lvlJc w:val="left"/>
      <w:pPr>
        <w:ind w:left="2510" w:hanging="360"/>
      </w:pPr>
      <w:rPr>
        <w:rFonts w:hint="default"/>
        <w:lang w:val="en-US" w:eastAsia="en-US" w:bidi="ar-SA"/>
      </w:rPr>
    </w:lvl>
    <w:lvl w:ilvl="4" w:tplc="941EF036">
      <w:numFmt w:val="bullet"/>
      <w:lvlText w:val="•"/>
      <w:lvlJc w:val="left"/>
      <w:pPr>
        <w:ind w:left="3481" w:hanging="360"/>
      </w:pPr>
      <w:rPr>
        <w:rFonts w:hint="default"/>
        <w:lang w:val="en-US" w:eastAsia="en-US" w:bidi="ar-SA"/>
      </w:rPr>
    </w:lvl>
    <w:lvl w:ilvl="5" w:tplc="E398E620">
      <w:numFmt w:val="bullet"/>
      <w:lvlText w:val="•"/>
      <w:lvlJc w:val="left"/>
      <w:pPr>
        <w:ind w:left="4452" w:hanging="360"/>
      </w:pPr>
      <w:rPr>
        <w:rFonts w:hint="default"/>
        <w:lang w:val="en-US" w:eastAsia="en-US" w:bidi="ar-SA"/>
      </w:rPr>
    </w:lvl>
    <w:lvl w:ilvl="6" w:tplc="F54C0E20">
      <w:numFmt w:val="bullet"/>
      <w:lvlText w:val="•"/>
      <w:lvlJc w:val="left"/>
      <w:pPr>
        <w:ind w:left="5423" w:hanging="360"/>
      </w:pPr>
      <w:rPr>
        <w:rFonts w:hint="default"/>
        <w:lang w:val="en-US" w:eastAsia="en-US" w:bidi="ar-SA"/>
      </w:rPr>
    </w:lvl>
    <w:lvl w:ilvl="7" w:tplc="45E280F4">
      <w:numFmt w:val="bullet"/>
      <w:lvlText w:val="•"/>
      <w:lvlJc w:val="left"/>
      <w:pPr>
        <w:ind w:left="6394" w:hanging="360"/>
      </w:pPr>
      <w:rPr>
        <w:rFonts w:hint="default"/>
        <w:lang w:val="en-US" w:eastAsia="en-US" w:bidi="ar-SA"/>
      </w:rPr>
    </w:lvl>
    <w:lvl w:ilvl="8" w:tplc="7630ABAE">
      <w:numFmt w:val="bullet"/>
      <w:lvlText w:val="•"/>
      <w:lvlJc w:val="left"/>
      <w:pPr>
        <w:ind w:left="7364" w:hanging="360"/>
      </w:pPr>
      <w:rPr>
        <w:rFonts w:hint="default"/>
        <w:lang w:val="en-US" w:eastAsia="en-US" w:bidi="ar-SA"/>
      </w:rPr>
    </w:lvl>
  </w:abstractNum>
  <w:abstractNum w:abstractNumId="1" w15:restartNumberingAfterBreak="0">
    <w:nsid w:val="3C7D4426"/>
    <w:multiLevelType w:val="hybridMultilevel"/>
    <w:tmpl w:val="6FC08A98"/>
    <w:lvl w:ilvl="0" w:tplc="88CA2AC2">
      <w:numFmt w:val="bullet"/>
      <w:lvlText w:val=""/>
      <w:lvlJc w:val="left"/>
      <w:pPr>
        <w:ind w:left="476" w:hanging="358"/>
      </w:pPr>
      <w:rPr>
        <w:rFonts w:ascii="Symbol" w:eastAsia="Symbol" w:hAnsi="Symbol" w:cs="Symbol" w:hint="default"/>
        <w:w w:val="99"/>
        <w:sz w:val="20"/>
        <w:szCs w:val="20"/>
        <w:lang w:val="en-US" w:eastAsia="en-US" w:bidi="ar-SA"/>
      </w:rPr>
    </w:lvl>
    <w:lvl w:ilvl="1" w:tplc="B68241F6">
      <w:numFmt w:val="bullet"/>
      <w:lvlText w:val="•"/>
      <w:lvlJc w:val="left"/>
      <w:pPr>
        <w:ind w:left="1362" w:hanging="358"/>
      </w:pPr>
      <w:rPr>
        <w:rFonts w:hint="default"/>
        <w:lang w:val="en-US" w:eastAsia="en-US" w:bidi="ar-SA"/>
      </w:rPr>
    </w:lvl>
    <w:lvl w:ilvl="2" w:tplc="FE22F162">
      <w:numFmt w:val="bullet"/>
      <w:lvlText w:val="•"/>
      <w:lvlJc w:val="left"/>
      <w:pPr>
        <w:ind w:left="2245" w:hanging="358"/>
      </w:pPr>
      <w:rPr>
        <w:rFonts w:hint="default"/>
        <w:lang w:val="en-US" w:eastAsia="en-US" w:bidi="ar-SA"/>
      </w:rPr>
    </w:lvl>
    <w:lvl w:ilvl="3" w:tplc="DE527A86">
      <w:numFmt w:val="bullet"/>
      <w:lvlText w:val="•"/>
      <w:lvlJc w:val="left"/>
      <w:pPr>
        <w:ind w:left="3127" w:hanging="358"/>
      </w:pPr>
      <w:rPr>
        <w:rFonts w:hint="default"/>
        <w:lang w:val="en-US" w:eastAsia="en-US" w:bidi="ar-SA"/>
      </w:rPr>
    </w:lvl>
    <w:lvl w:ilvl="4" w:tplc="CCA2D894">
      <w:numFmt w:val="bullet"/>
      <w:lvlText w:val="•"/>
      <w:lvlJc w:val="left"/>
      <w:pPr>
        <w:ind w:left="4010" w:hanging="358"/>
      </w:pPr>
      <w:rPr>
        <w:rFonts w:hint="default"/>
        <w:lang w:val="en-US" w:eastAsia="en-US" w:bidi="ar-SA"/>
      </w:rPr>
    </w:lvl>
    <w:lvl w:ilvl="5" w:tplc="2588349C">
      <w:numFmt w:val="bullet"/>
      <w:lvlText w:val="•"/>
      <w:lvlJc w:val="left"/>
      <w:pPr>
        <w:ind w:left="4893" w:hanging="358"/>
      </w:pPr>
      <w:rPr>
        <w:rFonts w:hint="default"/>
        <w:lang w:val="en-US" w:eastAsia="en-US" w:bidi="ar-SA"/>
      </w:rPr>
    </w:lvl>
    <w:lvl w:ilvl="6" w:tplc="9E26B36E">
      <w:numFmt w:val="bullet"/>
      <w:lvlText w:val="•"/>
      <w:lvlJc w:val="left"/>
      <w:pPr>
        <w:ind w:left="5775" w:hanging="358"/>
      </w:pPr>
      <w:rPr>
        <w:rFonts w:hint="default"/>
        <w:lang w:val="en-US" w:eastAsia="en-US" w:bidi="ar-SA"/>
      </w:rPr>
    </w:lvl>
    <w:lvl w:ilvl="7" w:tplc="2440FF74">
      <w:numFmt w:val="bullet"/>
      <w:lvlText w:val="•"/>
      <w:lvlJc w:val="left"/>
      <w:pPr>
        <w:ind w:left="6658" w:hanging="358"/>
      </w:pPr>
      <w:rPr>
        <w:rFonts w:hint="default"/>
        <w:lang w:val="en-US" w:eastAsia="en-US" w:bidi="ar-SA"/>
      </w:rPr>
    </w:lvl>
    <w:lvl w:ilvl="8" w:tplc="A704D4F4">
      <w:numFmt w:val="bullet"/>
      <w:lvlText w:val="•"/>
      <w:lvlJc w:val="left"/>
      <w:pPr>
        <w:ind w:left="7541" w:hanging="358"/>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41552"/>
    <w:rsid w:val="00C41552"/>
    <w:rsid w:val="00E06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7637"/>
  <w15:docId w15:val="{DBF87E96-629E-4AAC-BA0E-3925D80D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8"/>
      <w:ind w:left="1546"/>
      <w:outlineLvl w:val="0"/>
    </w:pPr>
    <w:rPr>
      <w:i/>
      <w:sz w:val="21"/>
      <w:szCs w:val="21"/>
    </w:rPr>
  </w:style>
  <w:style w:type="paragraph" w:styleId="Heading2">
    <w:name w:val="heading 2"/>
    <w:basedOn w:val="Normal"/>
    <w:uiPriority w:val="9"/>
    <w:unhideWhenUsed/>
    <w:qFormat/>
    <w:pPr>
      <w:ind w:left="11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pPr>
    <w:rPr>
      <w:sz w:val="20"/>
      <w:szCs w:val="20"/>
    </w:rPr>
  </w:style>
  <w:style w:type="paragraph" w:styleId="ListParagraph">
    <w:name w:val="List Paragraph"/>
    <w:basedOn w:val="Normal"/>
    <w:uiPriority w:val="1"/>
    <w:qFormat/>
    <w:pPr>
      <w:spacing w:before="120"/>
      <w:ind w:left="826"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7BF302DE9F142A7FC8F6BDB078D2B" ma:contentTypeVersion="18" ma:contentTypeDescription="Create a new document." ma:contentTypeScope="" ma:versionID="0812da5dda4c4daf113ef96b1227addf">
  <xsd:schema xmlns:xsd="http://www.w3.org/2001/XMLSchema" xmlns:xs="http://www.w3.org/2001/XMLSchema" xmlns:p="http://schemas.microsoft.com/office/2006/metadata/properties" xmlns:ns3="a5f32de4-e402-4188-b034-e71ca7d22e54" xmlns:ns4="7546a009-0153-4d62-8250-8473d68a91dc" xmlns:ns5="57b47edb-1694-4e08-b87e-bb2a9697f011" targetNamespace="http://schemas.microsoft.com/office/2006/metadata/properties" ma:root="true" ma:fieldsID="5e5a367a87bb0c8e534bb016b30e59f8" ns3:_="" ns4:_="" ns5:_="">
    <xsd:import namespace="a5f32de4-e402-4188-b034-e71ca7d22e54"/>
    <xsd:import namespace="7546a009-0153-4d62-8250-8473d68a91dc"/>
    <xsd:import namespace="57b47edb-1694-4e08-b87e-bb2a9697f011"/>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46a009-0153-4d62-8250-8473d68a91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47edb-1694-4e08-b87e-bb2a9697f01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8E2DA-083A-494A-B561-42FD1572E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7546a009-0153-4d62-8250-8473d68a91dc"/>
    <ds:schemaRef ds:uri="57b47edb-1694-4e08-b87e-bb2a9697f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DDB5A-C6BC-4C35-A3C0-7C63B788C029}">
  <ds:schemaRefs>
    <ds:schemaRef ds:uri="Microsoft.SharePoint.Taxonomy.ContentTypeSync"/>
  </ds:schemaRefs>
</ds:datastoreItem>
</file>

<file path=customXml/itemProps3.xml><?xml version="1.0" encoding="utf-8"?>
<ds:datastoreItem xmlns:ds="http://schemas.openxmlformats.org/officeDocument/2006/customXml" ds:itemID="{3D0FC9B3-7AEF-42F3-875D-7545016B860D}">
  <ds:schemaRefs>
    <ds:schemaRef ds:uri="http://schemas.microsoft.com/sharepoint/events"/>
  </ds:schemaRefs>
</ds:datastoreItem>
</file>

<file path=customXml/itemProps4.xml><?xml version="1.0" encoding="utf-8"?>
<ds:datastoreItem xmlns:ds="http://schemas.openxmlformats.org/officeDocument/2006/customXml" ds:itemID="{35B9BAC6-1ED6-4FB1-BCBD-D4AB82C49244}">
  <ds:schemaRefs>
    <ds:schemaRef ds:uri="http://schemas.microsoft.com/sharepoint/v3/contenttype/forms"/>
  </ds:schemaRefs>
</ds:datastoreItem>
</file>

<file path=customXml/itemProps5.xml><?xml version="1.0" encoding="utf-8"?>
<ds:datastoreItem xmlns:ds="http://schemas.openxmlformats.org/officeDocument/2006/customXml" ds:itemID="{361356D4-4058-4C66-815C-E0A20FD7B09F}">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57b47edb-1694-4e08-b87e-bb2a9697f011"/>
    <ds:schemaRef ds:uri="http://purl.org/dc/terms/"/>
    <ds:schemaRef ds:uri="http://schemas.openxmlformats.org/package/2006/metadata/core-properties"/>
    <ds:schemaRef ds:uri="7546a009-0153-4d62-8250-8473d68a91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Attachment 2</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mk43</dc:creator>
  <cp:lastModifiedBy>Daniel Banfai (DELWP)</cp:lastModifiedBy>
  <cp:revision>2</cp:revision>
  <dcterms:created xsi:type="dcterms:W3CDTF">2020-06-25T00:44:00Z</dcterms:created>
  <dcterms:modified xsi:type="dcterms:W3CDTF">2020-06-25T00:44:00Z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Microsoft® Word for Office 365</vt:lpwstr>
  </property>
  <property fmtid="{D5CDD505-2E9C-101B-9397-08002B2CF9AE}" pid="4" name="LastSaved">
    <vt:filetime>2020-06-25T00:00:00Z</vt:filetime>
  </property>
  <property fmtid="{D5CDD505-2E9C-101B-9397-08002B2CF9AE}" pid="5" name="ContentTypeId">
    <vt:lpwstr>0x010100B437BF302DE9F142A7FC8F6BDB078D2B</vt:lpwstr>
  </property>
</Properties>
</file>