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6"/>
        <w:ind w:left="5952" w:right="0" w:firstLine="0"/>
        <w:jc w:val="left"/>
        <w:rPr>
          <w:sz w:val="20"/>
        </w:rPr>
      </w:pPr>
      <w:r>
        <w:rPr>
          <w:sz w:val="20"/>
        </w:rPr>
        <w:t>EES REFERRAL NUMBER 2019-R10</w:t>
      </w:r>
    </w:p>
    <w:p>
      <w:pPr>
        <w:pStyle w:val="BodyText"/>
        <w:spacing w:before="5"/>
        <w:rPr>
          <w:sz w:val="29"/>
        </w:rPr>
      </w:pPr>
    </w:p>
    <w:p>
      <w:pPr>
        <w:pStyle w:val="Heading1"/>
        <w:ind w:left="3309" w:right="3177"/>
        <w:jc w:val="center"/>
      </w:pPr>
      <w:r>
        <w:rPr/>
        <w:t>For Public Notice via Internet</w:t>
      </w:r>
    </w:p>
    <w:p>
      <w:pPr>
        <w:pStyle w:val="BodyText"/>
        <w:spacing w:before="1"/>
        <w:rPr>
          <w:b/>
          <w:sz w:val="22"/>
        </w:rPr>
      </w:pPr>
    </w:p>
    <w:p>
      <w:pPr>
        <w:spacing w:before="0"/>
        <w:ind w:left="258" w:right="0" w:firstLine="0"/>
        <w:jc w:val="both"/>
        <w:rPr>
          <w:b/>
          <w:i/>
          <w:sz w:val="22"/>
        </w:rPr>
      </w:pPr>
      <w:r>
        <w:rPr>
          <w:b/>
          <w:sz w:val="22"/>
        </w:rPr>
        <w:t>REASONS FOR DECISION UNDER </w:t>
      </w:r>
      <w:r>
        <w:rPr>
          <w:b/>
          <w:i/>
          <w:sz w:val="22"/>
        </w:rPr>
        <w:t>ENVIRONMENT EFFECTS ACT 1978</w:t>
      </w:r>
    </w:p>
    <w:p>
      <w:pPr>
        <w:pStyle w:val="BodyText"/>
        <w:rPr>
          <w:b/>
          <w:i/>
          <w:sz w:val="22"/>
        </w:rPr>
      </w:pPr>
    </w:p>
    <w:p>
      <w:pPr>
        <w:tabs>
          <w:tab w:pos="3139" w:val="left" w:leader="none"/>
        </w:tabs>
        <w:spacing w:line="480" w:lineRule="auto" w:before="0"/>
        <w:ind w:left="258" w:right="2621" w:firstLine="0"/>
        <w:jc w:val="left"/>
        <w:rPr>
          <w:rFonts w:ascii="Tahoma"/>
          <w:b/>
          <w:sz w:val="20"/>
        </w:rPr>
      </w:pPr>
      <w:r>
        <w:rPr>
          <w:rFonts w:ascii="Tahoma"/>
          <w:b/>
          <w:sz w:val="20"/>
        </w:rPr>
        <w:t>Title</w:t>
      </w:r>
      <w:r>
        <w:rPr>
          <w:rFonts w:ascii="Tahoma"/>
          <w:b/>
          <w:spacing w:val="-5"/>
          <w:sz w:val="20"/>
        </w:rPr>
        <w:t> </w:t>
      </w:r>
      <w:r>
        <w:rPr>
          <w:rFonts w:ascii="Tahoma"/>
          <w:b/>
          <w:sz w:val="20"/>
        </w:rPr>
        <w:t>of</w:t>
      </w:r>
      <w:r>
        <w:rPr>
          <w:rFonts w:ascii="Tahoma"/>
          <w:b/>
          <w:spacing w:val="-1"/>
          <w:sz w:val="20"/>
        </w:rPr>
        <w:t> </w:t>
      </w:r>
      <w:r>
        <w:rPr>
          <w:rFonts w:ascii="Tahoma"/>
          <w:b/>
          <w:sz w:val="20"/>
        </w:rPr>
        <w:t>Proposal:</w:t>
        <w:tab/>
        <w:t>Warburton Mountain Bike</w:t>
      </w:r>
      <w:r>
        <w:rPr>
          <w:rFonts w:ascii="Tahoma"/>
          <w:b/>
          <w:spacing w:val="-16"/>
          <w:sz w:val="20"/>
        </w:rPr>
        <w:t> </w:t>
      </w:r>
      <w:r>
        <w:rPr>
          <w:rFonts w:ascii="Tahoma"/>
          <w:b/>
          <w:sz w:val="20"/>
        </w:rPr>
        <w:t>Destination Proponent:</w:t>
        <w:tab/>
        <w:t>Yarra Ranges</w:t>
      </w:r>
      <w:r>
        <w:rPr>
          <w:rFonts w:ascii="Tahoma"/>
          <w:b/>
          <w:spacing w:val="-2"/>
          <w:sz w:val="20"/>
        </w:rPr>
        <w:t> </w:t>
      </w:r>
      <w:r>
        <w:rPr>
          <w:rFonts w:ascii="Tahoma"/>
          <w:b/>
          <w:sz w:val="20"/>
        </w:rPr>
        <w:t>Council</w:t>
      </w:r>
    </w:p>
    <w:p>
      <w:pPr>
        <w:pStyle w:val="BodyText"/>
        <w:rPr>
          <w:rFonts w:ascii="Tahoma"/>
          <w:b/>
          <w:sz w:val="24"/>
        </w:rPr>
      </w:pPr>
    </w:p>
    <w:p>
      <w:pPr>
        <w:spacing w:before="192"/>
        <w:ind w:left="258" w:right="0" w:firstLine="0"/>
        <w:jc w:val="left"/>
        <w:rPr>
          <w:rFonts w:ascii="Tahoma"/>
          <w:b/>
          <w:sz w:val="20"/>
        </w:rPr>
      </w:pPr>
      <w:r>
        <w:rPr>
          <w:rFonts w:ascii="Tahoma"/>
          <w:b/>
          <w:sz w:val="20"/>
        </w:rPr>
        <w:t>Description of Project:</w:t>
      </w:r>
    </w:p>
    <w:p>
      <w:pPr>
        <w:pStyle w:val="BodyText"/>
        <w:spacing w:before="119"/>
        <w:ind w:left="258" w:right="119"/>
        <w:jc w:val="both"/>
      </w:pPr>
      <w:r>
        <w:rPr/>
        <w:t>The Warburton Mountain Bike Destination project is centred around the township of Warburton and would include construction of 44 new mountain bike trails totalling approximately 186 km. The trails would</w:t>
      </w:r>
      <w:r>
        <w:rPr>
          <w:spacing w:val="-5"/>
        </w:rPr>
        <w:t> </w:t>
      </w:r>
      <w:r>
        <w:rPr/>
        <w:t>occur</w:t>
      </w:r>
      <w:r>
        <w:rPr>
          <w:spacing w:val="-8"/>
        </w:rPr>
        <w:t> </w:t>
      </w:r>
      <w:r>
        <w:rPr/>
        <w:t>in</w:t>
      </w:r>
      <w:r>
        <w:rPr>
          <w:spacing w:val="-5"/>
        </w:rPr>
        <w:t> </w:t>
      </w:r>
      <w:r>
        <w:rPr/>
        <w:t>groups</w:t>
      </w:r>
      <w:r>
        <w:rPr>
          <w:spacing w:val="-3"/>
        </w:rPr>
        <w:t> </w:t>
      </w:r>
      <w:r>
        <w:rPr/>
        <w:t>located</w:t>
      </w:r>
      <w:r>
        <w:rPr>
          <w:spacing w:val="-4"/>
        </w:rPr>
        <w:t> </w:t>
      </w:r>
      <w:r>
        <w:rPr/>
        <w:t>in</w:t>
      </w:r>
      <w:r>
        <w:rPr>
          <w:spacing w:val="-5"/>
        </w:rPr>
        <w:t> </w:t>
      </w:r>
      <w:r>
        <w:rPr/>
        <w:t>slightly</w:t>
      </w:r>
      <w:r>
        <w:rPr>
          <w:spacing w:val="-5"/>
        </w:rPr>
        <w:t> </w:t>
      </w:r>
      <w:r>
        <w:rPr/>
        <w:t>separate</w:t>
      </w:r>
      <w:r>
        <w:rPr>
          <w:spacing w:val="-4"/>
        </w:rPr>
        <w:t> </w:t>
      </w:r>
      <w:r>
        <w:rPr/>
        <w:t>areas</w:t>
      </w:r>
      <w:r>
        <w:rPr>
          <w:spacing w:val="-4"/>
        </w:rPr>
        <w:t> </w:t>
      </w:r>
      <w:r>
        <w:rPr/>
        <w:t>extending</w:t>
      </w:r>
      <w:r>
        <w:rPr>
          <w:spacing w:val="-4"/>
        </w:rPr>
        <w:t> </w:t>
      </w:r>
      <w:r>
        <w:rPr/>
        <w:t>across</w:t>
      </w:r>
      <w:r>
        <w:rPr>
          <w:spacing w:val="-5"/>
        </w:rPr>
        <w:t> </w:t>
      </w:r>
      <w:r>
        <w:rPr/>
        <w:t>the</w:t>
      </w:r>
      <w:r>
        <w:rPr>
          <w:spacing w:val="-3"/>
        </w:rPr>
        <w:t> </w:t>
      </w:r>
      <w:r>
        <w:rPr/>
        <w:t>forested</w:t>
      </w:r>
      <w:r>
        <w:rPr>
          <w:spacing w:val="-4"/>
        </w:rPr>
        <w:t> </w:t>
      </w:r>
      <w:r>
        <w:rPr/>
        <w:t>slopes</w:t>
      </w:r>
      <w:r>
        <w:rPr>
          <w:spacing w:val="-5"/>
        </w:rPr>
        <w:t> </w:t>
      </w:r>
      <w:r>
        <w:rPr/>
        <w:t>of</w:t>
      </w:r>
      <w:r>
        <w:rPr>
          <w:spacing w:val="-6"/>
        </w:rPr>
        <w:t> </w:t>
      </w:r>
      <w:r>
        <w:rPr/>
        <w:t>Mt. Donna Buang, Mt. Little Joe and Mt. Tugwell, within the Yarra Ranges National Park and two State forests.</w:t>
      </w:r>
    </w:p>
    <w:p>
      <w:pPr>
        <w:pStyle w:val="BodyText"/>
        <w:spacing w:before="120"/>
        <w:ind w:left="258" w:right="119"/>
        <w:jc w:val="both"/>
      </w:pPr>
      <w:r>
        <w:rPr/>
        <w:t>As</w:t>
      </w:r>
      <w:r>
        <w:rPr>
          <w:spacing w:val="-17"/>
        </w:rPr>
        <w:t> </w:t>
      </w:r>
      <w:r>
        <w:rPr/>
        <w:t>part</w:t>
      </w:r>
      <w:r>
        <w:rPr>
          <w:spacing w:val="-18"/>
        </w:rPr>
        <w:t> </w:t>
      </w:r>
      <w:r>
        <w:rPr/>
        <w:t>of</w:t>
      </w:r>
      <w:r>
        <w:rPr>
          <w:spacing w:val="-17"/>
        </w:rPr>
        <w:t> </w:t>
      </w:r>
      <w:r>
        <w:rPr/>
        <w:t>the</w:t>
      </w:r>
      <w:r>
        <w:rPr>
          <w:spacing w:val="-16"/>
        </w:rPr>
        <w:t> </w:t>
      </w:r>
      <w:r>
        <w:rPr/>
        <w:t>project,</w:t>
      </w:r>
      <w:r>
        <w:rPr>
          <w:spacing w:val="-18"/>
        </w:rPr>
        <w:t> </w:t>
      </w:r>
      <w:r>
        <w:rPr/>
        <w:t>a</w:t>
      </w:r>
      <w:r>
        <w:rPr>
          <w:spacing w:val="-17"/>
        </w:rPr>
        <w:t> </w:t>
      </w:r>
      <w:r>
        <w:rPr/>
        <w:t>new</w:t>
      </w:r>
      <w:r>
        <w:rPr>
          <w:spacing w:val="-15"/>
        </w:rPr>
        <w:t> </w:t>
      </w:r>
      <w:r>
        <w:rPr/>
        <w:t>Visitor’s</w:t>
      </w:r>
      <w:r>
        <w:rPr>
          <w:spacing w:val="-17"/>
        </w:rPr>
        <w:t> </w:t>
      </w:r>
      <w:r>
        <w:rPr/>
        <w:t>Hub</w:t>
      </w:r>
      <w:r>
        <w:rPr>
          <w:spacing w:val="-16"/>
        </w:rPr>
        <w:t> </w:t>
      </w:r>
      <w:r>
        <w:rPr/>
        <w:t>(main</w:t>
      </w:r>
      <w:r>
        <w:rPr>
          <w:spacing w:val="-17"/>
        </w:rPr>
        <w:t> </w:t>
      </w:r>
      <w:r>
        <w:rPr/>
        <w:t>trail</w:t>
      </w:r>
      <w:r>
        <w:rPr>
          <w:spacing w:val="-16"/>
        </w:rPr>
        <w:t> </w:t>
      </w:r>
      <w:r>
        <w:rPr/>
        <w:t>head)</w:t>
      </w:r>
      <w:r>
        <w:rPr>
          <w:spacing w:val="-17"/>
        </w:rPr>
        <w:t> </w:t>
      </w:r>
      <w:r>
        <w:rPr/>
        <w:t>is</w:t>
      </w:r>
      <w:r>
        <w:rPr>
          <w:spacing w:val="-17"/>
        </w:rPr>
        <w:t> </w:t>
      </w:r>
      <w:r>
        <w:rPr/>
        <w:t>proposed</w:t>
      </w:r>
      <w:r>
        <w:rPr>
          <w:spacing w:val="-16"/>
        </w:rPr>
        <w:t> </w:t>
      </w:r>
      <w:r>
        <w:rPr/>
        <w:t>at</w:t>
      </w:r>
      <w:r>
        <w:rPr>
          <w:spacing w:val="-17"/>
        </w:rPr>
        <w:t> </w:t>
      </w:r>
      <w:r>
        <w:rPr/>
        <w:t>the</w:t>
      </w:r>
      <w:r>
        <w:rPr>
          <w:spacing w:val="-16"/>
        </w:rPr>
        <w:t> </w:t>
      </w:r>
      <w:r>
        <w:rPr/>
        <w:t>Warburton</w:t>
      </w:r>
      <w:r>
        <w:rPr>
          <w:spacing w:val="-15"/>
        </w:rPr>
        <w:t> </w:t>
      </w:r>
      <w:r>
        <w:rPr/>
        <w:t>Golf</w:t>
      </w:r>
      <w:r>
        <w:rPr>
          <w:spacing w:val="-14"/>
        </w:rPr>
        <w:t> </w:t>
      </w:r>
      <w:r>
        <w:rPr/>
        <w:t>Course, with the existing carpark to be upgraded to accommodate a nominal 177 cars, a new shelter, and four or five wash bays to be used by mountain bike riders. Three other trail heads are proposed: a new area located on top of Mt. Tugwell, off Mt. Bride Road which will include a carpark, a bus turnaround bay, toilet and picnic area; another at Mt. Donna Buang trail head which will include upgrades to the existing carpark, toilet and picnic area, and lastly the establishment of parking and connecting trails at Wesburn</w:t>
      </w:r>
      <w:r>
        <w:rPr>
          <w:spacing w:val="-6"/>
        </w:rPr>
        <w:t> </w:t>
      </w:r>
      <w:r>
        <w:rPr/>
        <w:t>Park.</w:t>
      </w:r>
    </w:p>
    <w:p>
      <w:pPr>
        <w:pStyle w:val="BodyText"/>
        <w:spacing w:before="120"/>
        <w:ind w:left="258" w:right="120"/>
        <w:jc w:val="both"/>
      </w:pPr>
      <w:r>
        <w:rPr/>
        <w:t>Additionally, two bridges are proposed to be constructed for the project trails, with the preferred design including a bridge across the Warburton Hwy and Yarra River adjacent to the Mayer Bridge as well as a bridge to allow mountain bikers to safely cross over Old Warburton Road.</w:t>
      </w:r>
    </w:p>
    <w:p>
      <w:pPr>
        <w:pStyle w:val="BodyText"/>
        <w:spacing w:before="7"/>
        <w:rPr>
          <w:sz w:val="32"/>
        </w:rPr>
      </w:pPr>
    </w:p>
    <w:p>
      <w:pPr>
        <w:pStyle w:val="Heading1"/>
      </w:pPr>
      <w:r>
        <w:rPr/>
        <w:t>Decision:</w:t>
      </w:r>
    </w:p>
    <w:p>
      <w:pPr>
        <w:pStyle w:val="BodyText"/>
        <w:spacing w:before="118"/>
        <w:ind w:left="258" w:right="118"/>
        <w:jc w:val="both"/>
      </w:pPr>
      <w:r>
        <w:rPr/>
        <w:t>The Minister for Planning has decided that an environment effects statement (EES) </w:t>
      </w:r>
      <w:r>
        <w:rPr>
          <w:u w:val="single"/>
        </w:rPr>
        <w:t>is required</w:t>
      </w:r>
      <w:r>
        <w:rPr/>
        <w:t> for the proposed Warburton Mountain Bike Destination, as described in the referral accepted on 20 December 2019.</w:t>
      </w:r>
    </w:p>
    <w:p>
      <w:pPr>
        <w:pStyle w:val="BodyText"/>
        <w:spacing w:before="8"/>
        <w:rPr>
          <w:sz w:val="32"/>
        </w:rPr>
      </w:pPr>
    </w:p>
    <w:p>
      <w:pPr>
        <w:pStyle w:val="Heading1"/>
        <w:jc w:val="both"/>
      </w:pPr>
      <w:r>
        <w:rPr/>
        <w:t>Reasons for Decision:</w:t>
      </w:r>
    </w:p>
    <w:p>
      <w:pPr>
        <w:pStyle w:val="ListParagraph"/>
        <w:numPr>
          <w:ilvl w:val="0"/>
          <w:numId w:val="1"/>
        </w:numPr>
        <w:tabs>
          <w:tab w:pos="600" w:val="left" w:leader="none"/>
        </w:tabs>
        <w:spacing w:line="240" w:lineRule="auto" w:before="119" w:after="0"/>
        <w:ind w:left="599" w:right="229" w:hanging="341"/>
        <w:jc w:val="both"/>
        <w:rPr>
          <w:sz w:val="21"/>
        </w:rPr>
      </w:pPr>
      <w:r>
        <w:rPr>
          <w:sz w:val="21"/>
        </w:rPr>
        <w:t>The project has the potential for significant environmental effects, in particular on native vegetation, flora and fauna species and communities listed under the </w:t>
      </w:r>
      <w:r>
        <w:rPr>
          <w:i/>
          <w:sz w:val="21"/>
        </w:rPr>
        <w:t>Flora and Fauna </w:t>
      </w:r>
      <w:r>
        <w:rPr>
          <w:i/>
          <w:sz w:val="21"/>
        </w:rPr>
        <w:t>Guarantee Act 1988 </w:t>
      </w:r>
      <w:r>
        <w:rPr>
          <w:sz w:val="21"/>
        </w:rPr>
        <w:t>and </w:t>
      </w:r>
      <w:r>
        <w:rPr>
          <w:i/>
          <w:sz w:val="21"/>
        </w:rPr>
        <w:t>Environment Protection and Biodiversity Conservation Act 1999</w:t>
      </w:r>
      <w:r>
        <w:rPr>
          <w:sz w:val="21"/>
        </w:rPr>
        <w:t>, as well as environmentally sensitive</w:t>
      </w:r>
      <w:r>
        <w:rPr>
          <w:spacing w:val="-2"/>
          <w:sz w:val="21"/>
        </w:rPr>
        <w:t> </w:t>
      </w:r>
      <w:r>
        <w:rPr>
          <w:sz w:val="21"/>
        </w:rPr>
        <w:t>waterways.</w:t>
      </w:r>
    </w:p>
    <w:p>
      <w:pPr>
        <w:pStyle w:val="ListParagraph"/>
        <w:numPr>
          <w:ilvl w:val="0"/>
          <w:numId w:val="1"/>
        </w:numPr>
        <w:tabs>
          <w:tab w:pos="600" w:val="left" w:leader="none"/>
        </w:tabs>
        <w:spacing w:line="240" w:lineRule="auto" w:before="177" w:after="0"/>
        <w:ind w:left="599" w:right="229" w:hanging="341"/>
        <w:jc w:val="both"/>
        <w:rPr>
          <w:sz w:val="21"/>
        </w:rPr>
      </w:pPr>
      <w:r>
        <w:rPr>
          <w:sz w:val="21"/>
        </w:rPr>
        <w:t>An environment effects statement (EES) is warranted to provide an integrated, robust and transparent process to assess the proposal’s effects and associated uncertainties, and to evaluate effectiveness of the proposed avoidance, mitigation, management and offsetting measures, prior to any statutory approval</w:t>
      </w:r>
      <w:r>
        <w:rPr>
          <w:spacing w:val="-9"/>
          <w:sz w:val="21"/>
        </w:rPr>
        <w:t> </w:t>
      </w:r>
      <w:r>
        <w:rPr>
          <w:sz w:val="21"/>
        </w:rPr>
        <w:t>decisions.</w:t>
      </w:r>
    </w:p>
    <w:p>
      <w:pPr>
        <w:pStyle w:val="BodyText"/>
        <w:rPr>
          <w:sz w:val="24"/>
        </w:rPr>
      </w:pPr>
    </w:p>
    <w:p>
      <w:pPr>
        <w:pStyle w:val="BodyText"/>
        <w:spacing w:before="4"/>
        <w:rPr>
          <w:sz w:val="25"/>
        </w:rPr>
      </w:pPr>
    </w:p>
    <w:p>
      <w:pPr>
        <w:spacing w:before="0"/>
        <w:ind w:left="117" w:right="0" w:firstLine="0"/>
        <w:jc w:val="left"/>
        <w:rPr>
          <w:sz w:val="22"/>
        </w:rPr>
      </w:pPr>
      <w:r>
        <w:rPr>
          <w:b/>
          <w:sz w:val="22"/>
        </w:rPr>
        <w:t>Date of Decision: </w:t>
      </w:r>
      <w:r>
        <w:rPr>
          <w:sz w:val="22"/>
        </w:rPr>
        <w:t>21 / 05 / 2020</w:t>
      </w:r>
    </w:p>
    <w:sectPr>
      <w:type w:val="continuous"/>
      <w:pgSz w:w="11910" w:h="16840"/>
      <w:pgMar w:top="340" w:bottom="280" w:left="116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99" w:hanging="341"/>
      </w:pPr>
      <w:rPr>
        <w:rFonts w:hint="default" w:ascii="Symbol" w:hAnsi="Symbol" w:eastAsia="Symbol" w:cs="Symbol"/>
        <w:w w:val="100"/>
        <w:sz w:val="21"/>
        <w:szCs w:val="21"/>
        <w:lang w:val="en-US" w:eastAsia="en-US" w:bidi="ar-SA"/>
      </w:rPr>
    </w:lvl>
    <w:lvl w:ilvl="1">
      <w:start w:val="0"/>
      <w:numFmt w:val="bullet"/>
      <w:lvlText w:val="•"/>
      <w:lvlJc w:val="left"/>
      <w:pPr>
        <w:ind w:left="1496" w:hanging="341"/>
      </w:pPr>
      <w:rPr>
        <w:rFonts w:hint="default"/>
        <w:lang w:val="en-US" w:eastAsia="en-US" w:bidi="ar-SA"/>
      </w:rPr>
    </w:lvl>
    <w:lvl w:ilvl="2">
      <w:start w:val="0"/>
      <w:numFmt w:val="bullet"/>
      <w:lvlText w:val="•"/>
      <w:lvlJc w:val="left"/>
      <w:pPr>
        <w:ind w:left="2393" w:hanging="341"/>
      </w:pPr>
      <w:rPr>
        <w:rFonts w:hint="default"/>
        <w:lang w:val="en-US" w:eastAsia="en-US" w:bidi="ar-SA"/>
      </w:rPr>
    </w:lvl>
    <w:lvl w:ilvl="3">
      <w:start w:val="0"/>
      <w:numFmt w:val="bullet"/>
      <w:lvlText w:val="•"/>
      <w:lvlJc w:val="left"/>
      <w:pPr>
        <w:ind w:left="3289" w:hanging="341"/>
      </w:pPr>
      <w:rPr>
        <w:rFonts w:hint="default"/>
        <w:lang w:val="en-US" w:eastAsia="en-US" w:bidi="ar-SA"/>
      </w:rPr>
    </w:lvl>
    <w:lvl w:ilvl="4">
      <w:start w:val="0"/>
      <w:numFmt w:val="bullet"/>
      <w:lvlText w:val="•"/>
      <w:lvlJc w:val="left"/>
      <w:pPr>
        <w:ind w:left="4186" w:hanging="341"/>
      </w:pPr>
      <w:rPr>
        <w:rFonts w:hint="default"/>
        <w:lang w:val="en-US" w:eastAsia="en-US" w:bidi="ar-SA"/>
      </w:rPr>
    </w:lvl>
    <w:lvl w:ilvl="5">
      <w:start w:val="0"/>
      <w:numFmt w:val="bullet"/>
      <w:lvlText w:val="•"/>
      <w:lvlJc w:val="left"/>
      <w:pPr>
        <w:ind w:left="5083" w:hanging="341"/>
      </w:pPr>
      <w:rPr>
        <w:rFonts w:hint="default"/>
        <w:lang w:val="en-US" w:eastAsia="en-US" w:bidi="ar-SA"/>
      </w:rPr>
    </w:lvl>
    <w:lvl w:ilvl="6">
      <w:start w:val="0"/>
      <w:numFmt w:val="bullet"/>
      <w:lvlText w:val="•"/>
      <w:lvlJc w:val="left"/>
      <w:pPr>
        <w:ind w:left="5979" w:hanging="341"/>
      </w:pPr>
      <w:rPr>
        <w:rFonts w:hint="default"/>
        <w:lang w:val="en-US" w:eastAsia="en-US" w:bidi="ar-SA"/>
      </w:rPr>
    </w:lvl>
    <w:lvl w:ilvl="7">
      <w:start w:val="0"/>
      <w:numFmt w:val="bullet"/>
      <w:lvlText w:val="•"/>
      <w:lvlJc w:val="left"/>
      <w:pPr>
        <w:ind w:left="6876" w:hanging="341"/>
      </w:pPr>
      <w:rPr>
        <w:rFonts w:hint="default"/>
        <w:lang w:val="en-US" w:eastAsia="en-US" w:bidi="ar-SA"/>
      </w:rPr>
    </w:lvl>
    <w:lvl w:ilvl="8">
      <w:start w:val="0"/>
      <w:numFmt w:val="bullet"/>
      <w:lvlText w:val="•"/>
      <w:lvlJc w:val="left"/>
      <w:pPr>
        <w:ind w:left="7773" w:hanging="34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1"/>
      <w:szCs w:val="21"/>
      <w:lang w:val="en-US" w:eastAsia="en-US" w:bidi="ar-SA"/>
    </w:rPr>
  </w:style>
  <w:style w:styleId="Heading1" w:type="paragraph">
    <w:name w:val="Heading 1"/>
    <w:basedOn w:val="Normal"/>
    <w:uiPriority w:val="1"/>
    <w:qFormat/>
    <w:pPr>
      <w:ind w:left="258"/>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before="119"/>
      <w:ind w:left="599" w:right="229" w:hanging="341"/>
      <w:jc w:val="both"/>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2020-05-25T03:37:09Z</dcterms:created>
  <dcterms:modified xsi:type="dcterms:W3CDTF">2020-05-25T03:37:09Z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Microsoft® Word for Office 365</vt:lpwstr>
  </property>
  <property fmtid="{D5CDD505-2E9C-101B-9397-08002B2CF9AE}" pid="4" name="LastSaved">
    <vt:filetime>2020-05-25T00:00:00Z</vt:filetime>
  </property>
</Properties>
</file>